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AA" w:rsidRPr="00A90A1B" w:rsidRDefault="00A53AAA" w:rsidP="00A53AAA">
      <w:pPr>
        <w:jc w:val="center"/>
        <w:rPr>
          <w:b/>
        </w:rPr>
      </w:pPr>
      <w:r w:rsidRPr="00A90A1B">
        <w:rPr>
          <w:noProof/>
        </w:rPr>
        <w:drawing>
          <wp:inline distT="0" distB="0" distL="0" distR="0" wp14:anchorId="18FFF857" wp14:editId="2EE6D66E">
            <wp:extent cx="59436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AAA" w:rsidRPr="00A90A1B" w:rsidRDefault="00A53AAA" w:rsidP="00A53AAA">
      <w:pPr>
        <w:jc w:val="center"/>
        <w:rPr>
          <w:b/>
        </w:rPr>
      </w:pPr>
      <w:r w:rsidRPr="00A90A1B">
        <w:rPr>
          <w:b/>
        </w:rPr>
        <w:t>MINISTRIA E DREJTËSISË</w:t>
      </w:r>
    </w:p>
    <w:p w:rsidR="00A53AAA" w:rsidRPr="00A90A1B" w:rsidRDefault="00A53AAA" w:rsidP="00A53AAA">
      <w:pPr>
        <w:jc w:val="center"/>
        <w:rPr>
          <w:b/>
        </w:rPr>
      </w:pPr>
      <w:r w:rsidRPr="00A90A1B">
        <w:rPr>
          <w:b/>
        </w:rPr>
        <w:t>Drejtoria e Financës</w:t>
      </w:r>
    </w:p>
    <w:p w:rsidR="00A53AAA" w:rsidRPr="00A90A1B" w:rsidRDefault="00A53AAA" w:rsidP="00A53AAA">
      <w:pPr>
        <w:jc w:val="center"/>
        <w:rPr>
          <w:b/>
        </w:rPr>
      </w:pPr>
    </w:p>
    <w:p w:rsidR="00A53AAA" w:rsidRPr="00A90A1B" w:rsidRDefault="00A53AAA" w:rsidP="00A53AAA">
      <w:pPr>
        <w:keepNext/>
        <w:jc w:val="center"/>
        <w:outlineLvl w:val="5"/>
      </w:pPr>
      <w:proofErr w:type="gramStart"/>
      <w:r w:rsidRPr="00A90A1B">
        <w:t>Nr. _____Prot.</w:t>
      </w:r>
      <w:proofErr w:type="gramEnd"/>
      <w:r w:rsidRPr="00A90A1B">
        <w:t xml:space="preserve">                                                                               </w:t>
      </w:r>
      <w:proofErr w:type="gramStart"/>
      <w:r w:rsidRPr="00A90A1B">
        <w:t>Tiranë, më ___.___.</w:t>
      </w:r>
      <w:proofErr w:type="gramEnd"/>
      <w:r w:rsidRPr="00A90A1B">
        <w:t xml:space="preserve"> 201</w:t>
      </w:r>
      <w:r w:rsidR="00D7246B" w:rsidRPr="00A90A1B">
        <w:t>5</w:t>
      </w:r>
    </w:p>
    <w:p w:rsidR="00A53AAA" w:rsidRPr="00A90A1B" w:rsidRDefault="00A53AAA" w:rsidP="00A53AAA">
      <w:pPr>
        <w:keepNext/>
        <w:outlineLvl w:val="5"/>
      </w:pPr>
      <w:r w:rsidRPr="00A90A1B">
        <w:t>(</w:t>
      </w:r>
      <w:proofErr w:type="gramStart"/>
      <w:r w:rsidRPr="00A90A1B">
        <w:t>lutemi</w:t>
      </w:r>
      <w:proofErr w:type="gramEnd"/>
      <w:r w:rsidRPr="00A90A1B">
        <w:t xml:space="preserve"> </w:t>
      </w:r>
      <w:r w:rsidR="00AD210F" w:rsidRPr="00A90A1B">
        <w:t xml:space="preserve">t’i </w:t>
      </w:r>
      <w:r w:rsidRPr="00A90A1B">
        <w:t>refero</w:t>
      </w:r>
      <w:r w:rsidR="00AD210F" w:rsidRPr="00A90A1B">
        <w:t>he</w:t>
      </w:r>
      <w:r w:rsidRPr="00A90A1B">
        <w:t xml:space="preserve">ni në rast përgjigjeje) </w:t>
      </w:r>
    </w:p>
    <w:p w:rsidR="00A53AAA" w:rsidRPr="00A90A1B" w:rsidRDefault="00A53AAA" w:rsidP="00A53AAA">
      <w:pPr>
        <w:jc w:val="center"/>
        <w:rPr>
          <w:b/>
          <w:bCs/>
        </w:rPr>
      </w:pPr>
    </w:p>
    <w:p w:rsidR="00A53AAA" w:rsidRPr="00A90A1B" w:rsidRDefault="00A53AAA" w:rsidP="00A53AAA">
      <w:pPr>
        <w:jc w:val="center"/>
        <w:rPr>
          <w:b/>
          <w:bCs/>
        </w:rPr>
      </w:pPr>
    </w:p>
    <w:p w:rsidR="00A53AAA" w:rsidRPr="00A90A1B" w:rsidRDefault="003722B1" w:rsidP="00A53AAA">
      <w:pPr>
        <w:rPr>
          <w:bCs/>
        </w:rPr>
      </w:pPr>
      <w:r w:rsidRPr="00A90A1B">
        <w:rPr>
          <w:b/>
          <w:bCs/>
        </w:rPr>
        <w:t>Lënda</w:t>
      </w:r>
      <w:r w:rsidR="00A53AAA" w:rsidRPr="00A90A1B">
        <w:rPr>
          <w:b/>
          <w:bCs/>
        </w:rPr>
        <w:t xml:space="preserve">:              </w:t>
      </w:r>
      <w:r w:rsidR="00A53AAA" w:rsidRPr="00A90A1B">
        <w:rPr>
          <w:u w:val="single"/>
        </w:rPr>
        <w:t>Dërgohen raportet e monitorimit për viti</w:t>
      </w:r>
      <w:r w:rsidR="00D7246B" w:rsidRPr="00A90A1B">
        <w:rPr>
          <w:u w:val="single"/>
        </w:rPr>
        <w:t>n</w:t>
      </w:r>
      <w:r w:rsidR="00A53AAA" w:rsidRPr="00A90A1B">
        <w:rPr>
          <w:u w:val="single"/>
        </w:rPr>
        <w:t xml:space="preserve"> 201</w:t>
      </w:r>
      <w:r w:rsidR="00DE7FF6" w:rsidRPr="00A90A1B">
        <w:rPr>
          <w:u w:val="single"/>
        </w:rPr>
        <w:t>4</w:t>
      </w:r>
    </w:p>
    <w:p w:rsidR="00A53AAA" w:rsidRPr="00A90A1B" w:rsidRDefault="00A53AAA" w:rsidP="00A53AAA">
      <w:pPr>
        <w:rPr>
          <w:bCs/>
        </w:rPr>
      </w:pPr>
    </w:p>
    <w:p w:rsidR="00C7600C" w:rsidRPr="00A90A1B" w:rsidRDefault="00C7600C" w:rsidP="00C7600C">
      <w:pPr>
        <w:ind w:firstLine="540"/>
      </w:pPr>
    </w:p>
    <w:p w:rsidR="00C7600C" w:rsidRPr="00A90A1B" w:rsidRDefault="00C7600C" w:rsidP="00C7600C">
      <w:pPr>
        <w:rPr>
          <w:b/>
        </w:rPr>
      </w:pPr>
    </w:p>
    <w:p w:rsidR="00C7600C" w:rsidRPr="00A90A1B" w:rsidRDefault="003722B1" w:rsidP="00C7600C">
      <w:pPr>
        <w:tabs>
          <w:tab w:val="left" w:pos="1260"/>
        </w:tabs>
        <w:rPr>
          <w:b/>
        </w:rPr>
      </w:pPr>
      <w:r w:rsidRPr="00A90A1B">
        <w:rPr>
          <w:b/>
          <w:bCs/>
        </w:rPr>
        <w:t>Drejtuar</w:t>
      </w:r>
      <w:r w:rsidR="00C7600C" w:rsidRPr="00A90A1B">
        <w:rPr>
          <w:b/>
        </w:rPr>
        <w:t>:</w:t>
      </w:r>
      <w:r w:rsidR="00C7600C" w:rsidRPr="00A90A1B">
        <w:t xml:space="preserve">      </w:t>
      </w:r>
      <w:r w:rsidR="00C7600C" w:rsidRPr="00A90A1B">
        <w:rPr>
          <w:b/>
        </w:rPr>
        <w:t>MINISTRI</w:t>
      </w:r>
      <w:r w:rsidRPr="00A90A1B">
        <w:rPr>
          <w:b/>
        </w:rPr>
        <w:t>SË</w:t>
      </w:r>
      <w:r w:rsidR="00C7600C" w:rsidRPr="00A90A1B">
        <w:rPr>
          <w:b/>
        </w:rPr>
        <w:t xml:space="preserve"> </w:t>
      </w:r>
      <w:r w:rsidRPr="00A90A1B">
        <w:rPr>
          <w:b/>
        </w:rPr>
        <w:t>SË</w:t>
      </w:r>
      <w:r w:rsidR="00C7600C" w:rsidRPr="00A90A1B">
        <w:rPr>
          <w:b/>
        </w:rPr>
        <w:t xml:space="preserve"> FINANCAVE</w:t>
      </w:r>
    </w:p>
    <w:p w:rsidR="00C7600C" w:rsidRPr="00A90A1B" w:rsidRDefault="00C7600C" w:rsidP="00C7600C">
      <w:pPr>
        <w:pStyle w:val="Subtitle"/>
        <w:jc w:val="both"/>
      </w:pPr>
      <w:r w:rsidRPr="00A90A1B">
        <w:rPr>
          <w:b w:val="0"/>
        </w:rPr>
        <w:t xml:space="preserve">                     </w:t>
      </w:r>
      <w:r w:rsidRPr="00A90A1B">
        <w:t xml:space="preserve">Drejtoria e Përgjithshme e Buxhetit </w:t>
      </w:r>
    </w:p>
    <w:p w:rsidR="00C7600C" w:rsidRPr="00A90A1B" w:rsidRDefault="00C7600C" w:rsidP="00C7600C">
      <w:pPr>
        <w:pStyle w:val="Subtitle"/>
        <w:jc w:val="both"/>
        <w:rPr>
          <w:b w:val="0"/>
        </w:rPr>
      </w:pPr>
      <w:r w:rsidRPr="00A90A1B">
        <w:t xml:space="preserve">                     Drejtoria e M</w:t>
      </w:r>
      <w:r w:rsidR="00933BDE" w:rsidRPr="00A90A1B">
        <w:t>onitori</w:t>
      </w:r>
      <w:r w:rsidRPr="00A90A1B">
        <w:t xml:space="preserve">mit dhe </w:t>
      </w:r>
      <w:r w:rsidR="00933BDE" w:rsidRPr="00A90A1B">
        <w:t>Zbatimit</w:t>
      </w:r>
      <w:r w:rsidRPr="00A90A1B">
        <w:t xml:space="preserve"> të Buxhetit</w:t>
      </w:r>
    </w:p>
    <w:p w:rsidR="00C7600C" w:rsidRPr="00A90A1B" w:rsidRDefault="00C7600C" w:rsidP="00C7600C">
      <w:pPr>
        <w:pStyle w:val="Subtitle"/>
        <w:jc w:val="right"/>
        <w:rPr>
          <w:u w:val="single"/>
        </w:rPr>
      </w:pPr>
      <w:r w:rsidRPr="00A90A1B">
        <w:rPr>
          <w:u w:val="single"/>
        </w:rPr>
        <w:t>TIRANË</w:t>
      </w:r>
    </w:p>
    <w:p w:rsidR="00C7600C" w:rsidRPr="00A90A1B" w:rsidRDefault="00C7600C" w:rsidP="00C7600C">
      <w:pPr>
        <w:pStyle w:val="Subtitle"/>
        <w:jc w:val="right"/>
        <w:rPr>
          <w:u w:val="single"/>
        </w:rPr>
      </w:pPr>
    </w:p>
    <w:p w:rsidR="00C7600C" w:rsidRPr="00A90A1B" w:rsidRDefault="00C7600C" w:rsidP="00C7600C">
      <w:pPr>
        <w:pStyle w:val="Subtitle"/>
        <w:jc w:val="both"/>
        <w:rPr>
          <w:b w:val="0"/>
          <w:bCs w:val="0"/>
        </w:rPr>
      </w:pPr>
      <w:r w:rsidRPr="00A90A1B">
        <w:rPr>
          <w:b w:val="0"/>
        </w:rPr>
        <w:t xml:space="preserve">                     </w:t>
      </w:r>
    </w:p>
    <w:p w:rsidR="00C7600C" w:rsidRPr="00A90A1B" w:rsidRDefault="00C7600C" w:rsidP="00C7600C">
      <w:pPr>
        <w:pStyle w:val="Subtitle"/>
        <w:jc w:val="both"/>
        <w:rPr>
          <w:b w:val="0"/>
          <w:bCs w:val="0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  <w:r w:rsidRPr="00A90A1B">
        <w:rPr>
          <w:b w:val="0"/>
        </w:rPr>
        <w:t>Në zbatim të Ligjit nr. 9936, datë 26.06.2008 “Për menaxhimin e sistemit buxhetor në Republ</w:t>
      </w:r>
      <w:r w:rsidR="00A46512" w:rsidRPr="00A90A1B">
        <w:rPr>
          <w:b w:val="0"/>
        </w:rPr>
        <w:t>ikën e Shqipërisë”, ligjit Nr.185/2013, Udhëzimit plotësues Nr.3, datë 17.01.2014 “Për zbatimin e Buxhetit të vitit 2014</w:t>
      </w:r>
      <w:r w:rsidRPr="00A90A1B">
        <w:rPr>
          <w:b w:val="0"/>
        </w:rPr>
        <w:t xml:space="preserve">, si edhe </w:t>
      </w:r>
      <w:r w:rsidRPr="00A90A1B">
        <w:rPr>
          <w:b w:val="0"/>
          <w:bCs w:val="0"/>
        </w:rPr>
        <w:t>Udhëzimit të Ministrisë së Financave, Nr. 2</w:t>
      </w:r>
      <w:r w:rsidRPr="00A90A1B">
        <w:rPr>
          <w:b w:val="0"/>
        </w:rPr>
        <w:t>, datë 6.02.2012 “Për procedurat standarte të zbatimit të buxhetit”,</w:t>
      </w:r>
      <w:r w:rsidRPr="00A90A1B">
        <w:rPr>
          <w:b w:val="0"/>
          <w:bCs w:val="0"/>
        </w:rPr>
        <w:t xml:space="preserve"> pika 256, ju dërgojmë  raportet e monitorimit të buxhetit për  viti</w:t>
      </w:r>
      <w:r w:rsidR="00D7246B" w:rsidRPr="00A90A1B">
        <w:rPr>
          <w:b w:val="0"/>
          <w:bCs w:val="0"/>
        </w:rPr>
        <w:t>n</w:t>
      </w:r>
      <w:r w:rsidRPr="00A90A1B">
        <w:rPr>
          <w:b w:val="0"/>
          <w:bCs w:val="0"/>
        </w:rPr>
        <w:t xml:space="preserve"> 201</w:t>
      </w:r>
      <w:r w:rsidR="00DE7FF6" w:rsidRPr="00A90A1B">
        <w:rPr>
          <w:b w:val="0"/>
          <w:bCs w:val="0"/>
        </w:rPr>
        <w:t>4</w:t>
      </w:r>
      <w:r w:rsidRPr="00A90A1B">
        <w:rPr>
          <w:b w:val="0"/>
          <w:bCs w:val="0"/>
        </w:rPr>
        <w:t>, duke evidentuar performancën financiare dhe realizimin e produkteve dhe objektivave, sipas programeve.</w:t>
      </w: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Ministria e Drejtësisë, </w:t>
      </w:r>
      <w:r w:rsidR="000C1405" w:rsidRPr="00A90A1B">
        <w:rPr>
          <w:b w:val="0"/>
          <w:bCs w:val="0"/>
        </w:rPr>
        <w:t>gjat</w:t>
      </w:r>
      <w:r w:rsidR="0061663F" w:rsidRPr="00A90A1B">
        <w:rPr>
          <w:b w:val="0"/>
          <w:bCs w:val="0"/>
        </w:rPr>
        <w:t>ë</w:t>
      </w:r>
      <w:r w:rsidR="000C1405" w:rsidRPr="00A90A1B">
        <w:rPr>
          <w:b w:val="0"/>
          <w:bCs w:val="0"/>
        </w:rPr>
        <w:t xml:space="preserve"> </w:t>
      </w:r>
      <w:r w:rsidRPr="00A90A1B">
        <w:rPr>
          <w:b w:val="0"/>
          <w:bCs w:val="0"/>
        </w:rPr>
        <w:t>viti</w:t>
      </w:r>
      <w:r w:rsidR="00DE7FF6" w:rsidRPr="00A90A1B">
        <w:rPr>
          <w:b w:val="0"/>
          <w:bCs w:val="0"/>
        </w:rPr>
        <w:t>t</w:t>
      </w:r>
      <w:r w:rsidRPr="00A90A1B">
        <w:rPr>
          <w:b w:val="0"/>
          <w:bCs w:val="0"/>
        </w:rPr>
        <w:t xml:space="preserve"> 201</w:t>
      </w:r>
      <w:r w:rsidR="00DE7FF6" w:rsidRPr="00A90A1B">
        <w:rPr>
          <w:b w:val="0"/>
          <w:bCs w:val="0"/>
        </w:rPr>
        <w:t>4</w:t>
      </w:r>
      <w:r w:rsidRPr="00A90A1B">
        <w:rPr>
          <w:b w:val="0"/>
          <w:bCs w:val="0"/>
        </w:rPr>
        <w:t xml:space="preserve">, ka administruar dhe menaxhuar fondet buxhetore për  </w:t>
      </w:r>
      <w:r w:rsidR="00DE7FF6" w:rsidRPr="00A90A1B">
        <w:rPr>
          <w:b w:val="0"/>
          <w:bCs w:val="0"/>
        </w:rPr>
        <w:t>te</w:t>
      </w:r>
      <w:r w:rsidRPr="00A90A1B">
        <w:rPr>
          <w:b w:val="0"/>
          <w:bCs w:val="0"/>
        </w:rPr>
        <w:t>të programe të miratuara, konkretisht:</w:t>
      </w: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A90A1B" w:rsidRDefault="00C7600C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 xml:space="preserve">Planifikim, </w:t>
      </w:r>
      <w:r w:rsidR="00AB2E9A" w:rsidRPr="00A90A1B">
        <w:rPr>
          <w:b w:val="0"/>
          <w:bCs w:val="0"/>
        </w:rPr>
        <w:t>M</w:t>
      </w:r>
      <w:r w:rsidRPr="00A90A1B">
        <w:rPr>
          <w:b w:val="0"/>
          <w:bCs w:val="0"/>
        </w:rPr>
        <w:t xml:space="preserve">enaxhim dhe </w:t>
      </w:r>
      <w:r w:rsidR="00AB2E9A" w:rsidRPr="00A90A1B">
        <w:rPr>
          <w:b w:val="0"/>
          <w:bCs w:val="0"/>
        </w:rPr>
        <w:t>A</w:t>
      </w:r>
      <w:r w:rsidRPr="00A90A1B">
        <w:rPr>
          <w:b w:val="0"/>
          <w:bCs w:val="0"/>
        </w:rPr>
        <w:t>dministrim</w:t>
      </w:r>
    </w:p>
    <w:p w:rsidR="00C7600C" w:rsidRPr="00A90A1B" w:rsidRDefault="00AB2E9A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 xml:space="preserve">Qendra e </w:t>
      </w:r>
      <w:r w:rsidR="003722B1" w:rsidRPr="00A90A1B">
        <w:rPr>
          <w:b w:val="0"/>
          <w:bCs w:val="0"/>
        </w:rPr>
        <w:t>Botime</w:t>
      </w:r>
      <w:r w:rsidRPr="00A90A1B">
        <w:rPr>
          <w:b w:val="0"/>
          <w:bCs w:val="0"/>
        </w:rPr>
        <w:t>ve</w:t>
      </w:r>
      <w:r w:rsidR="00C7600C" w:rsidRPr="00A90A1B">
        <w:rPr>
          <w:b w:val="0"/>
          <w:bCs w:val="0"/>
        </w:rPr>
        <w:t xml:space="preserve"> Zyrtare</w:t>
      </w:r>
    </w:p>
    <w:p w:rsidR="00C7600C" w:rsidRPr="00A90A1B" w:rsidRDefault="00AB2E9A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 xml:space="preserve">Instituti i </w:t>
      </w:r>
      <w:r w:rsidR="00C7600C" w:rsidRPr="00A90A1B">
        <w:rPr>
          <w:b w:val="0"/>
          <w:bCs w:val="0"/>
        </w:rPr>
        <w:t>Mjekësi</w:t>
      </w:r>
      <w:r w:rsidRPr="00A90A1B">
        <w:rPr>
          <w:b w:val="0"/>
          <w:bCs w:val="0"/>
        </w:rPr>
        <w:t>së</w:t>
      </w:r>
      <w:r w:rsidR="00C7600C" w:rsidRPr="00A90A1B">
        <w:rPr>
          <w:b w:val="0"/>
          <w:bCs w:val="0"/>
        </w:rPr>
        <w:t xml:space="preserve"> Ligjore</w:t>
      </w:r>
    </w:p>
    <w:p w:rsidR="00C7600C" w:rsidRPr="00A90A1B" w:rsidRDefault="00C7600C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>Sistemi i Burgjeve</w:t>
      </w:r>
    </w:p>
    <w:p w:rsidR="00C7600C" w:rsidRPr="00A90A1B" w:rsidRDefault="00315C00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>Shërbimi i Përmbarimit G</w:t>
      </w:r>
      <w:r w:rsidR="00C7600C" w:rsidRPr="00A90A1B">
        <w:rPr>
          <w:b w:val="0"/>
          <w:bCs w:val="0"/>
        </w:rPr>
        <w:t>jyqësor</w:t>
      </w:r>
    </w:p>
    <w:p w:rsidR="00C7600C" w:rsidRPr="00A90A1B" w:rsidRDefault="00C7600C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>Shërbimi për Çështjet e Birësimit</w:t>
      </w:r>
    </w:p>
    <w:p w:rsidR="00C7600C" w:rsidRPr="00A90A1B" w:rsidRDefault="00C7600C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>Sh</w:t>
      </w:r>
      <w:r w:rsidR="00A46512" w:rsidRPr="00A90A1B">
        <w:rPr>
          <w:b w:val="0"/>
          <w:bCs w:val="0"/>
        </w:rPr>
        <w:t>ë</w:t>
      </w:r>
      <w:r w:rsidRPr="00A90A1B">
        <w:rPr>
          <w:b w:val="0"/>
          <w:bCs w:val="0"/>
        </w:rPr>
        <w:t>rbimi i Kthimit dhe Kompesimit të Pronave</w:t>
      </w:r>
    </w:p>
    <w:p w:rsidR="00C7600C" w:rsidRPr="00A90A1B" w:rsidRDefault="00206F0A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</w:rPr>
        <w:t>Shërbimi i Provës</w:t>
      </w:r>
    </w:p>
    <w:p w:rsidR="00C7600C" w:rsidRPr="00A90A1B" w:rsidRDefault="00C7600C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A90A1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A90A1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A90A1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A90A1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A90A1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A90A1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noProof/>
          <w:lang w:val="en-US"/>
        </w:rPr>
        <w:lastRenderedPageBreak/>
        <w:drawing>
          <wp:inline distT="0" distB="0" distL="0" distR="0" wp14:anchorId="68BD15F9" wp14:editId="3900CD65">
            <wp:extent cx="6286500" cy="56959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600C" w:rsidRPr="00A90A1B" w:rsidRDefault="00C7600C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C7600C" w:rsidRPr="00A90A1B" w:rsidRDefault="00C7600C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D61065" w:rsidRPr="00A90A1B" w:rsidRDefault="00D61065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D61065" w:rsidRPr="00A90A1B" w:rsidRDefault="00D61065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61065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  <w:r w:rsidRPr="00A90A1B">
        <w:rPr>
          <w:bCs w:val="0"/>
          <w:lang w:val="da-DK"/>
        </w:rPr>
        <w:lastRenderedPageBreak/>
        <w:t>Realizimi i Buxhetit sipas dy Z</w:t>
      </w:r>
      <w:r w:rsidR="00D24418" w:rsidRPr="00A90A1B">
        <w:rPr>
          <w:bCs w:val="0"/>
          <w:lang w:val="da-DK"/>
        </w:rPr>
        <w:t>ë</w:t>
      </w:r>
      <w:r w:rsidRPr="00A90A1B">
        <w:rPr>
          <w:bCs w:val="0"/>
          <w:lang w:val="da-DK"/>
        </w:rPr>
        <w:t>rave Kryesor</w:t>
      </w:r>
      <w:r w:rsidR="00D24418" w:rsidRPr="00A90A1B">
        <w:rPr>
          <w:bCs w:val="0"/>
          <w:lang w:val="da-DK"/>
        </w:rPr>
        <w:t>ë</w:t>
      </w:r>
      <w:r w:rsidRPr="00A90A1B">
        <w:rPr>
          <w:bCs w:val="0"/>
          <w:lang w:val="da-DK"/>
        </w:rPr>
        <w:t xml:space="preserve"> t</w:t>
      </w:r>
      <w:r w:rsidR="00D24418" w:rsidRPr="00A90A1B">
        <w:rPr>
          <w:bCs w:val="0"/>
          <w:lang w:val="da-DK"/>
        </w:rPr>
        <w:t>ë</w:t>
      </w:r>
      <w:r w:rsidRPr="00A90A1B">
        <w:rPr>
          <w:bCs w:val="0"/>
          <w:lang w:val="da-DK"/>
        </w:rPr>
        <w:t xml:space="preserve"> Shpenzimeve</w:t>
      </w:r>
      <w:r w:rsidR="00604CDE" w:rsidRPr="00A90A1B">
        <w:rPr>
          <w:bCs w:val="0"/>
          <w:lang w:val="da-DK"/>
        </w:rPr>
        <w:t xml:space="preserve"> n</w:t>
      </w:r>
      <w:r w:rsidR="00A90A1B">
        <w:rPr>
          <w:bCs w:val="0"/>
          <w:lang w:val="da-DK"/>
        </w:rPr>
        <w:t>ë</w:t>
      </w:r>
      <w:r w:rsidR="00604CDE" w:rsidRPr="00A90A1B">
        <w:rPr>
          <w:bCs w:val="0"/>
          <w:lang w:val="da-DK"/>
        </w:rPr>
        <w:t xml:space="preserve"> mij</w:t>
      </w:r>
      <w:r w:rsidR="00A90A1B">
        <w:rPr>
          <w:bCs w:val="0"/>
          <w:lang w:val="da-DK"/>
        </w:rPr>
        <w:t>ë</w:t>
      </w:r>
      <w:r w:rsidR="00604CDE" w:rsidRPr="00A90A1B">
        <w:rPr>
          <w:bCs w:val="0"/>
          <w:lang w:val="da-DK"/>
        </w:rPr>
        <w:t>ra lek</w:t>
      </w:r>
      <w:r w:rsidR="00A90A1B">
        <w:rPr>
          <w:bCs w:val="0"/>
          <w:lang w:val="da-DK"/>
        </w:rPr>
        <w:t>ë</w:t>
      </w:r>
    </w:p>
    <w:p w:rsidR="00A52304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61065" w:rsidRPr="00A90A1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noProof/>
          <w:lang w:val="en-US"/>
        </w:rPr>
        <w:drawing>
          <wp:inline distT="0" distB="0" distL="0" distR="0" wp14:anchorId="4515D8DA" wp14:editId="722CFAA2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1065" w:rsidRPr="00A90A1B" w:rsidRDefault="00D61065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C7600C" w:rsidRPr="00A90A1B" w:rsidRDefault="00C7600C" w:rsidP="00F775A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720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>Fondet buxhetore për vitin 201</w:t>
      </w:r>
      <w:r w:rsidR="00DE7FF6" w:rsidRPr="00A90A1B">
        <w:rPr>
          <w:b w:val="0"/>
          <w:bCs w:val="0"/>
          <w:lang w:val="da-DK"/>
        </w:rPr>
        <w:t>4</w:t>
      </w:r>
      <w:r w:rsidRPr="00A90A1B">
        <w:rPr>
          <w:b w:val="0"/>
          <w:bCs w:val="0"/>
          <w:lang w:val="da-DK"/>
        </w:rPr>
        <w:t xml:space="preserve">, për të gjithë Sistemin e Ministrisë së Drejtësisë, janë realizuar në </w:t>
      </w:r>
      <w:r w:rsidRPr="00A90A1B">
        <w:rPr>
          <w:bCs w:val="0"/>
          <w:lang w:val="da-DK"/>
        </w:rPr>
        <w:t xml:space="preserve">masën   </w:t>
      </w:r>
      <w:r w:rsidR="00A05DA6" w:rsidRPr="00A90A1B">
        <w:rPr>
          <w:bCs w:val="0"/>
          <w:lang w:val="da-DK"/>
        </w:rPr>
        <w:t>93</w:t>
      </w:r>
      <w:r w:rsidR="002840AB" w:rsidRPr="00A90A1B">
        <w:rPr>
          <w:bCs w:val="0"/>
          <w:lang w:val="da-DK"/>
        </w:rPr>
        <w:t>.</w:t>
      </w:r>
      <w:r w:rsidR="00A05DA6" w:rsidRPr="00A90A1B">
        <w:rPr>
          <w:bCs w:val="0"/>
          <w:lang w:val="da-DK"/>
        </w:rPr>
        <w:t>9</w:t>
      </w:r>
      <w:r w:rsidR="00D2257A" w:rsidRPr="00A90A1B">
        <w:rPr>
          <w:bCs w:val="0"/>
          <w:lang w:val="da-DK"/>
        </w:rPr>
        <w:t>1</w:t>
      </w:r>
      <w:r w:rsidRPr="00A90A1B">
        <w:rPr>
          <w:bCs w:val="0"/>
          <w:lang w:val="da-DK"/>
        </w:rPr>
        <w:t xml:space="preserve"> %,</w:t>
      </w:r>
      <w:r w:rsidRPr="00A90A1B">
        <w:rPr>
          <w:b w:val="0"/>
          <w:bCs w:val="0"/>
          <w:lang w:val="da-DK"/>
        </w:rPr>
        <w:t xml:space="preserve"> siç shihet edhe në tabelën e mëposhtme:</w:t>
      </w:r>
    </w:p>
    <w:p w:rsidR="00C7600C" w:rsidRPr="00A90A1B" w:rsidRDefault="00C7600C" w:rsidP="006F7EF8">
      <w:pPr>
        <w:spacing w:line="276" w:lineRule="auto"/>
        <w:ind w:right="-720"/>
        <w:jc w:val="both"/>
      </w:pPr>
      <w:r w:rsidRPr="00A90A1B">
        <w:t xml:space="preserve">          </w:t>
      </w:r>
    </w:p>
    <w:p w:rsidR="00A53AAA" w:rsidRPr="00A90A1B" w:rsidRDefault="00C7600C" w:rsidP="006F7EF8">
      <w:pPr>
        <w:spacing w:line="276" w:lineRule="auto"/>
        <w:ind w:right="-720"/>
        <w:jc w:val="both"/>
      </w:pPr>
      <w:r w:rsidRPr="00A90A1B">
        <w:t xml:space="preserve">                                                                                   </w:t>
      </w:r>
    </w:p>
    <w:p w:rsidR="00C7600C" w:rsidRPr="00A90A1B" w:rsidRDefault="00C7600C" w:rsidP="006F7EF8">
      <w:pPr>
        <w:spacing w:line="276" w:lineRule="auto"/>
        <w:ind w:right="-720"/>
        <w:jc w:val="both"/>
        <w:rPr>
          <w:i/>
        </w:rPr>
      </w:pPr>
      <w:r w:rsidRPr="00A90A1B">
        <w:t xml:space="preserve">                                                      </w:t>
      </w:r>
      <w:r w:rsidR="006F7EF8" w:rsidRPr="00A90A1B">
        <w:t xml:space="preserve">                                                                                           </w:t>
      </w:r>
      <w:proofErr w:type="gramStart"/>
      <w:r w:rsidRPr="00A90A1B">
        <w:rPr>
          <w:i/>
        </w:rPr>
        <w:t>në</w:t>
      </w:r>
      <w:proofErr w:type="gramEnd"/>
      <w:r w:rsidRPr="00A90A1B">
        <w:rPr>
          <w:i/>
        </w:rPr>
        <w:t xml:space="preserve"> 000/ lekë</w:t>
      </w:r>
    </w:p>
    <w:p w:rsidR="00C7600C" w:rsidRPr="00A90A1B" w:rsidRDefault="00C7600C" w:rsidP="006F7EF8">
      <w:pPr>
        <w:spacing w:line="276" w:lineRule="auto"/>
        <w:ind w:right="-720"/>
        <w:jc w:val="both"/>
        <w:rPr>
          <w:i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811"/>
        <w:gridCol w:w="1453"/>
        <w:gridCol w:w="1626"/>
        <w:gridCol w:w="1704"/>
        <w:gridCol w:w="1440"/>
      </w:tblGrid>
      <w:tr w:rsidR="00C7600C" w:rsidRPr="00A90A1B" w:rsidTr="00630741">
        <w:tc>
          <w:tcPr>
            <w:tcW w:w="496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Nr</w:t>
            </w:r>
          </w:p>
        </w:tc>
        <w:tc>
          <w:tcPr>
            <w:tcW w:w="3811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Emri i programit</w:t>
            </w:r>
          </w:p>
        </w:tc>
        <w:tc>
          <w:tcPr>
            <w:tcW w:w="1453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Buxheti i akorduar në fillim të vitit 201</w:t>
            </w:r>
            <w:r w:rsidR="00DE7FF6" w:rsidRPr="00A90A1B">
              <w:t>4</w:t>
            </w:r>
          </w:p>
        </w:tc>
        <w:tc>
          <w:tcPr>
            <w:tcW w:w="1626" w:type="dxa"/>
          </w:tcPr>
          <w:p w:rsidR="00C7600C" w:rsidRPr="00A90A1B" w:rsidRDefault="00C7600C" w:rsidP="00A05DA6">
            <w:pPr>
              <w:pStyle w:val="Subtitle"/>
              <w:spacing w:line="276" w:lineRule="auto"/>
              <w:jc w:val="both"/>
            </w:pPr>
            <w:r w:rsidRPr="00A90A1B">
              <w:t xml:space="preserve">Buxheti  </w:t>
            </w:r>
            <w:r w:rsidR="00DE7FF6" w:rsidRPr="00A90A1B">
              <w:t xml:space="preserve">për </w:t>
            </w:r>
            <w:r w:rsidRPr="00A90A1B">
              <w:t>viti</w:t>
            </w:r>
            <w:r w:rsidR="00A05DA6" w:rsidRPr="00A90A1B">
              <w:t>n</w:t>
            </w:r>
            <w:r w:rsidRPr="00A90A1B">
              <w:t xml:space="preserve">  201</w:t>
            </w:r>
            <w:r w:rsidR="00DE7FF6" w:rsidRPr="00A90A1B">
              <w:t>4</w:t>
            </w:r>
          </w:p>
        </w:tc>
        <w:tc>
          <w:tcPr>
            <w:tcW w:w="3144" w:type="dxa"/>
            <w:gridSpan w:val="2"/>
          </w:tcPr>
          <w:p w:rsidR="00C7600C" w:rsidRPr="00A90A1B" w:rsidRDefault="00C7600C" w:rsidP="006F7EF8">
            <w:pPr>
              <w:pStyle w:val="Subtitle"/>
              <w:pBdr>
                <w:bottom w:val="single" w:sz="4" w:space="1" w:color="auto"/>
              </w:pBdr>
              <w:spacing w:line="276" w:lineRule="auto"/>
              <w:jc w:val="both"/>
              <w:rPr>
                <w:lang w:val="nb-NO"/>
              </w:rPr>
            </w:pPr>
            <w:r w:rsidRPr="00A90A1B">
              <w:rPr>
                <w:lang w:val="nb-NO"/>
              </w:rPr>
              <w:t xml:space="preserve">Fakti i </w:t>
            </w:r>
            <w:r w:rsidR="00A05DA6" w:rsidRPr="00A90A1B">
              <w:rPr>
                <w:lang w:val="nb-NO"/>
              </w:rPr>
              <w:t>vitit</w:t>
            </w:r>
            <w:r w:rsidR="00DE7FF6" w:rsidRPr="00A90A1B">
              <w:rPr>
                <w:lang w:val="nb-NO"/>
              </w:rPr>
              <w:t xml:space="preserve"> </w:t>
            </w:r>
            <w:r w:rsidRPr="00A90A1B">
              <w:rPr>
                <w:lang w:val="nb-NO"/>
              </w:rPr>
              <w:t xml:space="preserve"> 201</w:t>
            </w:r>
            <w:r w:rsidR="00DE7FF6" w:rsidRPr="00A90A1B">
              <w:rPr>
                <w:lang w:val="nb-NO"/>
              </w:rPr>
              <w:t>4</w:t>
            </w: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A90A1B">
              <w:rPr>
                <w:lang w:val="nb-NO"/>
              </w:rPr>
              <w:t>Në 000 lek</w:t>
            </w:r>
            <w:r w:rsidR="000D54BA" w:rsidRPr="00A90A1B">
              <w:rPr>
                <w:lang w:val="nb-NO"/>
              </w:rPr>
              <w:t>ë</w:t>
            </w:r>
            <w:r w:rsidRPr="00A90A1B">
              <w:rPr>
                <w:lang w:val="nb-NO"/>
              </w:rPr>
              <w:t xml:space="preserve">          Në %        </w:t>
            </w: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A90A1B">
              <w:rPr>
                <w:lang w:val="nb-NO"/>
              </w:rPr>
              <w:t xml:space="preserve">                          ndaj planit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</w:rPr>
              <w:t>1</w:t>
            </w: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Planifikim Menaxhim Administrim</w:t>
            </w:r>
          </w:p>
        </w:tc>
        <w:tc>
          <w:tcPr>
            <w:tcW w:w="1453" w:type="dxa"/>
          </w:tcPr>
          <w:p w:rsidR="001C5074" w:rsidRPr="00A90A1B" w:rsidRDefault="00E200A5" w:rsidP="006F7EF8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A90A1B">
              <w:rPr>
                <w:bCs w:val="0"/>
                <w:lang w:val="de-DE"/>
              </w:rPr>
              <w:t>1,220,770</w:t>
            </w:r>
          </w:p>
        </w:tc>
        <w:tc>
          <w:tcPr>
            <w:tcW w:w="1626" w:type="dxa"/>
          </w:tcPr>
          <w:p w:rsidR="001C5074" w:rsidRPr="00A90A1B" w:rsidRDefault="006F6703" w:rsidP="00AC61CE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A90A1B">
              <w:rPr>
                <w:bCs w:val="0"/>
                <w:lang w:val="de-DE"/>
              </w:rPr>
              <w:t>1,33</w:t>
            </w:r>
            <w:r w:rsidR="00AC61CE" w:rsidRPr="00A90A1B">
              <w:rPr>
                <w:bCs w:val="0"/>
                <w:lang w:val="de-DE"/>
              </w:rPr>
              <w:t>5</w:t>
            </w:r>
            <w:r w:rsidRPr="00A90A1B">
              <w:rPr>
                <w:bCs w:val="0"/>
                <w:lang w:val="de-DE"/>
              </w:rPr>
              <w:t>,4</w:t>
            </w:r>
            <w:r w:rsidR="00AC61CE" w:rsidRPr="00A90A1B">
              <w:rPr>
                <w:bCs w:val="0"/>
                <w:lang w:val="de-DE"/>
              </w:rPr>
              <w:t>82</w:t>
            </w:r>
          </w:p>
        </w:tc>
        <w:tc>
          <w:tcPr>
            <w:tcW w:w="1704" w:type="dxa"/>
          </w:tcPr>
          <w:p w:rsidR="001C5074" w:rsidRPr="00A90A1B" w:rsidRDefault="00A05DA6" w:rsidP="008D6072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A90A1B">
              <w:rPr>
                <w:bCs w:val="0"/>
                <w:lang w:val="de-DE"/>
              </w:rPr>
              <w:t>1,150,663</w:t>
            </w:r>
          </w:p>
        </w:tc>
        <w:tc>
          <w:tcPr>
            <w:tcW w:w="1440" w:type="dxa"/>
          </w:tcPr>
          <w:p w:rsidR="001C5074" w:rsidRPr="00A90A1B" w:rsidRDefault="00A05DA6" w:rsidP="00A05DA6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A90A1B">
              <w:rPr>
                <w:bCs w:val="0"/>
                <w:lang w:val="de-DE"/>
              </w:rPr>
              <w:t>86</w:t>
            </w:r>
            <w:r w:rsidR="002840AB" w:rsidRPr="00A90A1B">
              <w:rPr>
                <w:bCs w:val="0"/>
                <w:lang w:val="de-DE"/>
              </w:rPr>
              <w:t>.</w:t>
            </w:r>
            <w:r w:rsidR="00D2257A" w:rsidRPr="00A90A1B">
              <w:rPr>
                <w:bCs w:val="0"/>
                <w:lang w:val="de-DE"/>
              </w:rPr>
              <w:t>1</w:t>
            </w:r>
            <w:r w:rsidRPr="00A90A1B">
              <w:rPr>
                <w:bCs w:val="0"/>
                <w:lang w:val="de-DE"/>
              </w:rPr>
              <w:t>3</w:t>
            </w:r>
            <w:r w:rsidR="00E200A5" w:rsidRPr="00A90A1B">
              <w:rPr>
                <w:bCs w:val="0"/>
                <w:lang w:val="de-DE"/>
              </w:rPr>
              <w:t>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</w:rPr>
              <w:t>2</w:t>
            </w:r>
          </w:p>
        </w:tc>
        <w:tc>
          <w:tcPr>
            <w:tcW w:w="3811" w:type="dxa"/>
          </w:tcPr>
          <w:p w:rsidR="001C5074" w:rsidRPr="00A90A1B" w:rsidRDefault="00317113" w:rsidP="00317113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  <w:lang w:val="pt-BR"/>
              </w:rPr>
              <w:t>Qendra e Botimeve</w:t>
            </w:r>
            <w:r w:rsidR="001C5074" w:rsidRPr="00A90A1B">
              <w:rPr>
                <w:b w:val="0"/>
                <w:bCs w:val="0"/>
                <w:lang w:val="pt-BR"/>
              </w:rPr>
              <w:t xml:space="preserve"> Zyrtare</w:t>
            </w:r>
          </w:p>
        </w:tc>
        <w:tc>
          <w:tcPr>
            <w:tcW w:w="1453" w:type="dxa"/>
          </w:tcPr>
          <w:p w:rsidR="001C5074" w:rsidRPr="00A90A1B" w:rsidRDefault="00E200A5" w:rsidP="006F7EF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  <w:sz w:val="22"/>
                <w:szCs w:val="22"/>
              </w:rPr>
              <w:t>49,</w:t>
            </w:r>
            <w:r w:rsidR="00E609A3" w:rsidRPr="00A90A1B">
              <w:rPr>
                <w:bCs w:val="0"/>
                <w:sz w:val="22"/>
                <w:szCs w:val="22"/>
              </w:rPr>
              <w:t>850</w:t>
            </w:r>
          </w:p>
        </w:tc>
        <w:tc>
          <w:tcPr>
            <w:tcW w:w="1626" w:type="dxa"/>
          </w:tcPr>
          <w:p w:rsidR="001C5074" w:rsidRPr="00A90A1B" w:rsidRDefault="00A05DA6" w:rsidP="006F7EF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44,</w:t>
            </w:r>
            <w:r w:rsidR="006F6703" w:rsidRPr="00A90A1B">
              <w:rPr>
                <w:bCs w:val="0"/>
              </w:rPr>
              <w:t>913</w:t>
            </w:r>
          </w:p>
        </w:tc>
        <w:tc>
          <w:tcPr>
            <w:tcW w:w="1704" w:type="dxa"/>
          </w:tcPr>
          <w:p w:rsidR="001C5074" w:rsidRPr="00A90A1B" w:rsidRDefault="00A05DA6" w:rsidP="006F7EF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39,589</w:t>
            </w:r>
          </w:p>
        </w:tc>
        <w:tc>
          <w:tcPr>
            <w:tcW w:w="1440" w:type="dxa"/>
          </w:tcPr>
          <w:p w:rsidR="001C5074" w:rsidRPr="00A90A1B" w:rsidRDefault="004308F1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  <w:sz w:val="22"/>
                <w:szCs w:val="22"/>
              </w:rPr>
              <w:t>88</w:t>
            </w:r>
            <w:r w:rsidR="00770E76" w:rsidRPr="00A90A1B">
              <w:rPr>
                <w:bCs w:val="0"/>
                <w:sz w:val="22"/>
                <w:szCs w:val="22"/>
              </w:rPr>
              <w:t>.</w:t>
            </w:r>
            <w:r w:rsidRPr="00A90A1B">
              <w:rPr>
                <w:bCs w:val="0"/>
                <w:sz w:val="22"/>
                <w:szCs w:val="22"/>
              </w:rPr>
              <w:t>15</w:t>
            </w:r>
            <w:r w:rsidR="001C5074" w:rsidRPr="00A90A1B">
              <w:rPr>
                <w:bCs w:val="0"/>
                <w:sz w:val="22"/>
                <w:szCs w:val="22"/>
              </w:rPr>
              <w:t>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</w:rPr>
              <w:t>3</w:t>
            </w:r>
          </w:p>
        </w:tc>
        <w:tc>
          <w:tcPr>
            <w:tcW w:w="3811" w:type="dxa"/>
          </w:tcPr>
          <w:p w:rsidR="001C5074" w:rsidRPr="00A90A1B" w:rsidRDefault="00317113" w:rsidP="00317113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</w:rPr>
              <w:t xml:space="preserve">Instituti i </w:t>
            </w:r>
            <w:r w:rsidR="001C5074" w:rsidRPr="00A90A1B">
              <w:rPr>
                <w:b w:val="0"/>
                <w:bCs w:val="0"/>
              </w:rPr>
              <w:t>Mjeksi</w:t>
            </w:r>
            <w:r w:rsidRPr="00A90A1B">
              <w:rPr>
                <w:b w:val="0"/>
                <w:bCs w:val="0"/>
              </w:rPr>
              <w:t>s</w:t>
            </w:r>
            <w:r w:rsidR="0061663F" w:rsidRPr="00A90A1B">
              <w:rPr>
                <w:b w:val="0"/>
                <w:bCs w:val="0"/>
              </w:rPr>
              <w:t>ë</w:t>
            </w:r>
            <w:r w:rsidR="001C5074" w:rsidRPr="00A90A1B">
              <w:rPr>
                <w:b w:val="0"/>
                <w:bCs w:val="0"/>
              </w:rPr>
              <w:t xml:space="preserve"> Ligjore </w:t>
            </w:r>
          </w:p>
        </w:tc>
        <w:tc>
          <w:tcPr>
            <w:tcW w:w="1453" w:type="dxa"/>
          </w:tcPr>
          <w:p w:rsidR="001C5074" w:rsidRPr="00A90A1B" w:rsidRDefault="00542758" w:rsidP="006F7EF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  <w:sz w:val="22"/>
                <w:szCs w:val="22"/>
              </w:rPr>
              <w:t>62,500</w:t>
            </w:r>
          </w:p>
        </w:tc>
        <w:tc>
          <w:tcPr>
            <w:tcW w:w="1626" w:type="dxa"/>
          </w:tcPr>
          <w:p w:rsidR="001C5074" w:rsidRPr="00A90A1B" w:rsidRDefault="004308F1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61</w:t>
            </w:r>
            <w:r w:rsidR="000C2F90" w:rsidRPr="00A90A1B">
              <w:rPr>
                <w:bCs w:val="0"/>
              </w:rPr>
              <w:t>,</w:t>
            </w:r>
            <w:r w:rsidRPr="00A90A1B">
              <w:rPr>
                <w:bCs w:val="0"/>
              </w:rPr>
              <w:t>917</w:t>
            </w:r>
          </w:p>
        </w:tc>
        <w:tc>
          <w:tcPr>
            <w:tcW w:w="1704" w:type="dxa"/>
          </w:tcPr>
          <w:p w:rsidR="001C5074" w:rsidRPr="00A90A1B" w:rsidRDefault="004308F1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61</w:t>
            </w:r>
            <w:r w:rsidR="000C2F90" w:rsidRPr="00A90A1B">
              <w:rPr>
                <w:bCs w:val="0"/>
              </w:rPr>
              <w:t>,</w:t>
            </w:r>
            <w:r w:rsidR="006F6703" w:rsidRPr="00A90A1B">
              <w:rPr>
                <w:bCs w:val="0"/>
              </w:rPr>
              <w:t>669</w:t>
            </w:r>
          </w:p>
        </w:tc>
        <w:tc>
          <w:tcPr>
            <w:tcW w:w="1440" w:type="dxa"/>
          </w:tcPr>
          <w:p w:rsidR="001C5074" w:rsidRPr="00A90A1B" w:rsidRDefault="004308F1" w:rsidP="000C2F90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  <w:sz w:val="22"/>
                <w:szCs w:val="22"/>
              </w:rPr>
              <w:t>99.59</w:t>
            </w:r>
            <w:r w:rsidR="001C5074" w:rsidRPr="00A90A1B">
              <w:rPr>
                <w:bCs w:val="0"/>
                <w:sz w:val="22"/>
                <w:szCs w:val="22"/>
              </w:rPr>
              <w:t xml:space="preserve"> 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4</w:t>
            </w: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  <w:lang w:val="pt-BR"/>
              </w:rPr>
              <w:t>Sistemi i Burgjeve</w:t>
            </w:r>
          </w:p>
        </w:tc>
        <w:tc>
          <w:tcPr>
            <w:tcW w:w="1453" w:type="dxa"/>
          </w:tcPr>
          <w:p w:rsidR="001C5074" w:rsidRPr="00A90A1B" w:rsidRDefault="006D4E78" w:rsidP="006D4E7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  <w:sz w:val="22"/>
                <w:szCs w:val="22"/>
              </w:rPr>
              <w:t>3</w:t>
            </w:r>
            <w:r w:rsidR="00D20A13" w:rsidRPr="00A90A1B">
              <w:rPr>
                <w:bCs w:val="0"/>
                <w:sz w:val="22"/>
                <w:szCs w:val="22"/>
              </w:rPr>
              <w:t>,</w:t>
            </w:r>
            <w:r w:rsidRPr="00A90A1B">
              <w:rPr>
                <w:bCs w:val="0"/>
                <w:sz w:val="22"/>
                <w:szCs w:val="22"/>
              </w:rPr>
              <w:t>79</w:t>
            </w:r>
            <w:r w:rsidR="00D20A13" w:rsidRPr="00A90A1B">
              <w:rPr>
                <w:bCs w:val="0"/>
                <w:sz w:val="22"/>
                <w:szCs w:val="22"/>
              </w:rPr>
              <w:t>5,240</w:t>
            </w:r>
          </w:p>
        </w:tc>
        <w:tc>
          <w:tcPr>
            <w:tcW w:w="1626" w:type="dxa"/>
          </w:tcPr>
          <w:p w:rsidR="001C5074" w:rsidRPr="00A90A1B" w:rsidRDefault="004308F1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3</w:t>
            </w:r>
            <w:r w:rsidR="000C2F90" w:rsidRPr="00A90A1B">
              <w:rPr>
                <w:bCs w:val="0"/>
              </w:rPr>
              <w:t>,</w:t>
            </w:r>
            <w:r w:rsidRPr="00A90A1B">
              <w:rPr>
                <w:bCs w:val="0"/>
              </w:rPr>
              <w:t>964</w:t>
            </w:r>
            <w:r w:rsidR="006D4E78" w:rsidRPr="00A90A1B">
              <w:rPr>
                <w:bCs w:val="0"/>
              </w:rPr>
              <w:t>,</w:t>
            </w:r>
            <w:r w:rsidRPr="00A90A1B">
              <w:rPr>
                <w:bCs w:val="0"/>
              </w:rPr>
              <w:t>097</w:t>
            </w:r>
          </w:p>
        </w:tc>
        <w:tc>
          <w:tcPr>
            <w:tcW w:w="1704" w:type="dxa"/>
          </w:tcPr>
          <w:p w:rsidR="001C5074" w:rsidRPr="00A90A1B" w:rsidRDefault="004308F1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3</w:t>
            </w:r>
            <w:r w:rsidR="006D4E78" w:rsidRPr="00A90A1B">
              <w:rPr>
                <w:bCs w:val="0"/>
              </w:rPr>
              <w:t>,</w:t>
            </w:r>
            <w:r w:rsidRPr="00A90A1B">
              <w:rPr>
                <w:bCs w:val="0"/>
              </w:rPr>
              <w:t>897</w:t>
            </w:r>
            <w:r w:rsidR="006D4E78" w:rsidRPr="00A90A1B">
              <w:rPr>
                <w:bCs w:val="0"/>
              </w:rPr>
              <w:t>,</w:t>
            </w:r>
            <w:r w:rsidRPr="00A90A1B">
              <w:rPr>
                <w:bCs w:val="0"/>
              </w:rPr>
              <w:t>802</w:t>
            </w:r>
          </w:p>
        </w:tc>
        <w:tc>
          <w:tcPr>
            <w:tcW w:w="1440" w:type="dxa"/>
          </w:tcPr>
          <w:p w:rsidR="001C5074" w:rsidRPr="00A90A1B" w:rsidRDefault="00D20A13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  <w:sz w:val="22"/>
                <w:szCs w:val="22"/>
              </w:rPr>
              <w:t>9</w:t>
            </w:r>
            <w:r w:rsidR="004308F1" w:rsidRPr="00A90A1B">
              <w:rPr>
                <w:bCs w:val="0"/>
                <w:sz w:val="22"/>
                <w:szCs w:val="22"/>
              </w:rPr>
              <w:t>8</w:t>
            </w:r>
            <w:r w:rsidR="001C5074" w:rsidRPr="00A90A1B">
              <w:rPr>
                <w:bCs w:val="0"/>
                <w:sz w:val="22"/>
                <w:szCs w:val="22"/>
              </w:rPr>
              <w:t>.</w:t>
            </w:r>
            <w:r w:rsidR="004308F1" w:rsidRPr="00A90A1B">
              <w:rPr>
                <w:bCs w:val="0"/>
                <w:sz w:val="22"/>
                <w:szCs w:val="22"/>
              </w:rPr>
              <w:t>32</w:t>
            </w:r>
            <w:r w:rsidR="001C5074" w:rsidRPr="00A90A1B">
              <w:rPr>
                <w:bCs w:val="0"/>
                <w:sz w:val="22"/>
                <w:szCs w:val="22"/>
              </w:rPr>
              <w:t xml:space="preserve"> 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5</w:t>
            </w: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Sh</w:t>
            </w:r>
            <w:r w:rsidR="000D54BA" w:rsidRPr="00A90A1B">
              <w:rPr>
                <w:b w:val="0"/>
                <w:bCs w:val="0"/>
                <w:lang w:val="pt-BR"/>
              </w:rPr>
              <w:t>ë</w:t>
            </w:r>
            <w:r w:rsidRPr="00A90A1B">
              <w:rPr>
                <w:b w:val="0"/>
                <w:bCs w:val="0"/>
                <w:lang w:val="pt-BR"/>
              </w:rPr>
              <w:t>rbimi i P</w:t>
            </w:r>
            <w:r w:rsidR="000D54BA" w:rsidRPr="00A90A1B">
              <w:rPr>
                <w:b w:val="0"/>
                <w:bCs w:val="0"/>
                <w:lang w:val="pt-BR"/>
              </w:rPr>
              <w:t>ë</w:t>
            </w:r>
            <w:r w:rsidRPr="00A90A1B">
              <w:rPr>
                <w:b w:val="0"/>
                <w:bCs w:val="0"/>
                <w:lang w:val="pt-BR"/>
              </w:rPr>
              <w:t>rmbarimit Gjyq</w:t>
            </w:r>
            <w:r w:rsidR="000D54BA" w:rsidRPr="00A90A1B">
              <w:rPr>
                <w:b w:val="0"/>
                <w:bCs w:val="0"/>
                <w:lang w:val="pt-BR"/>
              </w:rPr>
              <w:t>ë</w:t>
            </w:r>
            <w:r w:rsidRPr="00A90A1B">
              <w:rPr>
                <w:b w:val="0"/>
                <w:bCs w:val="0"/>
                <w:lang w:val="pt-BR"/>
              </w:rPr>
              <w:t>sor</w:t>
            </w:r>
          </w:p>
        </w:tc>
        <w:tc>
          <w:tcPr>
            <w:tcW w:w="1453" w:type="dxa"/>
          </w:tcPr>
          <w:p w:rsidR="001C5074" w:rsidRPr="00A90A1B" w:rsidRDefault="00770E76" w:rsidP="006F7EF8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105,480</w:t>
            </w:r>
          </w:p>
        </w:tc>
        <w:tc>
          <w:tcPr>
            <w:tcW w:w="1626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109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030</w:t>
            </w:r>
          </w:p>
        </w:tc>
        <w:tc>
          <w:tcPr>
            <w:tcW w:w="1704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94,500</w:t>
            </w:r>
          </w:p>
        </w:tc>
        <w:tc>
          <w:tcPr>
            <w:tcW w:w="1440" w:type="dxa"/>
          </w:tcPr>
          <w:p w:rsidR="001C5074" w:rsidRPr="00A90A1B" w:rsidRDefault="006D4E78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8</w:t>
            </w:r>
            <w:r w:rsidR="006F6703" w:rsidRPr="00A90A1B">
              <w:rPr>
                <w:bCs w:val="0"/>
                <w:sz w:val="22"/>
                <w:szCs w:val="22"/>
                <w:lang w:val="pt-BR"/>
              </w:rPr>
              <w:t>6</w:t>
            </w:r>
            <w:r w:rsidR="00770E76" w:rsidRPr="00A90A1B">
              <w:rPr>
                <w:bCs w:val="0"/>
                <w:sz w:val="22"/>
                <w:szCs w:val="22"/>
                <w:lang w:val="pt-BR"/>
              </w:rPr>
              <w:t>.</w:t>
            </w:r>
            <w:r w:rsidR="006F6703" w:rsidRPr="00A90A1B">
              <w:rPr>
                <w:bCs w:val="0"/>
                <w:sz w:val="22"/>
                <w:szCs w:val="22"/>
                <w:lang w:val="pt-BR"/>
              </w:rPr>
              <w:t>67</w:t>
            </w:r>
            <w:r w:rsidR="001C5074" w:rsidRPr="00A90A1B">
              <w:rPr>
                <w:bCs w:val="0"/>
                <w:sz w:val="22"/>
                <w:szCs w:val="22"/>
                <w:lang w:val="pt-BR"/>
              </w:rPr>
              <w:t xml:space="preserve"> 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6</w:t>
            </w: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</w:rPr>
              <w:t>Sh</w:t>
            </w:r>
            <w:r w:rsidR="000D54BA" w:rsidRPr="00A90A1B">
              <w:rPr>
                <w:b w:val="0"/>
                <w:bCs w:val="0"/>
              </w:rPr>
              <w:t>ë</w:t>
            </w:r>
            <w:r w:rsidRPr="00A90A1B">
              <w:rPr>
                <w:b w:val="0"/>
                <w:bCs w:val="0"/>
              </w:rPr>
              <w:t>rbimi për Çështjet e Bir</w:t>
            </w:r>
            <w:r w:rsidR="000D54BA" w:rsidRPr="00A90A1B">
              <w:rPr>
                <w:b w:val="0"/>
                <w:bCs w:val="0"/>
              </w:rPr>
              <w:t>ë</w:t>
            </w:r>
            <w:r w:rsidRPr="00A90A1B">
              <w:rPr>
                <w:b w:val="0"/>
                <w:bCs w:val="0"/>
              </w:rPr>
              <w:t>simeve</w:t>
            </w:r>
            <w:r w:rsidRPr="00A90A1B">
              <w:rPr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453" w:type="dxa"/>
          </w:tcPr>
          <w:p w:rsidR="001C5074" w:rsidRPr="00A90A1B" w:rsidRDefault="00B564BB" w:rsidP="00A05DA6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13,</w:t>
            </w:r>
            <w:r w:rsidR="00A05DA6" w:rsidRPr="00A90A1B">
              <w:rPr>
                <w:bCs w:val="0"/>
                <w:sz w:val="22"/>
                <w:szCs w:val="22"/>
                <w:lang w:val="pt-BR"/>
              </w:rPr>
              <w:t>2</w:t>
            </w:r>
            <w:r w:rsidRPr="00A90A1B">
              <w:rPr>
                <w:bCs w:val="0"/>
                <w:sz w:val="22"/>
                <w:szCs w:val="22"/>
                <w:lang w:val="pt-BR"/>
              </w:rPr>
              <w:t>00</w:t>
            </w:r>
          </w:p>
        </w:tc>
        <w:tc>
          <w:tcPr>
            <w:tcW w:w="1626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11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200</w:t>
            </w:r>
          </w:p>
        </w:tc>
        <w:tc>
          <w:tcPr>
            <w:tcW w:w="1704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9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258</w:t>
            </w:r>
          </w:p>
        </w:tc>
        <w:tc>
          <w:tcPr>
            <w:tcW w:w="1440" w:type="dxa"/>
          </w:tcPr>
          <w:p w:rsidR="001C5074" w:rsidRPr="00A90A1B" w:rsidRDefault="006D4E78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8</w:t>
            </w:r>
            <w:r w:rsidR="006F6703" w:rsidRPr="00A90A1B">
              <w:rPr>
                <w:bCs w:val="0"/>
                <w:sz w:val="22"/>
                <w:szCs w:val="22"/>
                <w:lang w:val="pt-BR"/>
              </w:rPr>
              <w:t>2.65</w:t>
            </w:r>
            <w:r w:rsidR="001C5074" w:rsidRPr="00A90A1B">
              <w:rPr>
                <w:bCs w:val="0"/>
                <w:sz w:val="22"/>
                <w:szCs w:val="22"/>
                <w:lang w:val="pt-BR"/>
              </w:rPr>
              <w:t>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7</w:t>
            </w: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</w:rPr>
              <w:t>Sh</w:t>
            </w:r>
            <w:r w:rsidR="000D54BA" w:rsidRPr="00A90A1B">
              <w:rPr>
                <w:b w:val="0"/>
                <w:bCs w:val="0"/>
              </w:rPr>
              <w:t>ë</w:t>
            </w:r>
            <w:r w:rsidRPr="00A90A1B">
              <w:rPr>
                <w:b w:val="0"/>
                <w:bCs w:val="0"/>
              </w:rPr>
              <w:t>rbimi i Kthimit e Kompesimit  t</w:t>
            </w:r>
            <w:r w:rsidR="000D54BA" w:rsidRPr="00A90A1B">
              <w:rPr>
                <w:b w:val="0"/>
                <w:bCs w:val="0"/>
              </w:rPr>
              <w:t>ë</w:t>
            </w:r>
            <w:r w:rsidRPr="00A90A1B">
              <w:rPr>
                <w:b w:val="0"/>
                <w:bCs w:val="0"/>
              </w:rPr>
              <w:t xml:space="preserve"> Pronave</w:t>
            </w:r>
          </w:p>
        </w:tc>
        <w:tc>
          <w:tcPr>
            <w:tcW w:w="1453" w:type="dxa"/>
          </w:tcPr>
          <w:p w:rsidR="001C5074" w:rsidRPr="00A90A1B" w:rsidRDefault="00E041E0" w:rsidP="006F7EF8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43</w:t>
            </w:r>
            <w:r w:rsidR="00E609A3" w:rsidRPr="00A90A1B">
              <w:rPr>
                <w:bCs w:val="0"/>
                <w:sz w:val="22"/>
                <w:szCs w:val="22"/>
                <w:lang w:val="pt-BR"/>
              </w:rPr>
              <w:t>1</w:t>
            </w:r>
            <w:r w:rsidR="00E7495C" w:rsidRPr="00A90A1B">
              <w:rPr>
                <w:bCs w:val="0"/>
                <w:sz w:val="22"/>
                <w:szCs w:val="22"/>
                <w:lang w:val="pt-BR"/>
              </w:rPr>
              <w:t>,</w:t>
            </w:r>
            <w:r w:rsidR="00E609A3" w:rsidRPr="00A90A1B">
              <w:rPr>
                <w:bCs w:val="0"/>
                <w:sz w:val="22"/>
                <w:szCs w:val="22"/>
                <w:lang w:val="pt-BR"/>
              </w:rPr>
              <w:t>100</w:t>
            </w:r>
          </w:p>
        </w:tc>
        <w:tc>
          <w:tcPr>
            <w:tcW w:w="1626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571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454</w:t>
            </w:r>
          </w:p>
        </w:tc>
        <w:tc>
          <w:tcPr>
            <w:tcW w:w="1704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466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241</w:t>
            </w:r>
          </w:p>
        </w:tc>
        <w:tc>
          <w:tcPr>
            <w:tcW w:w="1440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81.59</w:t>
            </w:r>
            <w:r w:rsidR="001C5074" w:rsidRPr="00A90A1B">
              <w:rPr>
                <w:bCs w:val="0"/>
                <w:sz w:val="22"/>
                <w:szCs w:val="22"/>
                <w:lang w:val="pt-BR"/>
              </w:rPr>
              <w:t xml:space="preserve"> %</w:t>
            </w:r>
          </w:p>
        </w:tc>
      </w:tr>
      <w:tr w:rsidR="001C5074" w:rsidRPr="00A90A1B" w:rsidTr="00630741"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8</w:t>
            </w: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Shërbimi i Provës</w:t>
            </w:r>
          </w:p>
        </w:tc>
        <w:tc>
          <w:tcPr>
            <w:tcW w:w="1453" w:type="dxa"/>
          </w:tcPr>
          <w:p w:rsidR="001C5074" w:rsidRPr="00A90A1B" w:rsidRDefault="00DE786D" w:rsidP="006F7EF8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116,300</w:t>
            </w:r>
          </w:p>
        </w:tc>
        <w:tc>
          <w:tcPr>
            <w:tcW w:w="1626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106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300</w:t>
            </w:r>
          </w:p>
        </w:tc>
        <w:tc>
          <w:tcPr>
            <w:tcW w:w="1704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lang w:val="pt-BR"/>
              </w:rPr>
              <w:t>106</w:t>
            </w:r>
            <w:r w:rsidR="006D4E78" w:rsidRPr="00A90A1B">
              <w:rPr>
                <w:bCs w:val="0"/>
                <w:lang w:val="pt-BR"/>
              </w:rPr>
              <w:t>,</w:t>
            </w:r>
            <w:r w:rsidRPr="00A90A1B">
              <w:rPr>
                <w:bCs w:val="0"/>
                <w:lang w:val="pt-BR"/>
              </w:rPr>
              <w:t>096</w:t>
            </w:r>
          </w:p>
        </w:tc>
        <w:tc>
          <w:tcPr>
            <w:tcW w:w="1440" w:type="dxa"/>
          </w:tcPr>
          <w:p w:rsidR="001C5074" w:rsidRPr="00A90A1B" w:rsidRDefault="006F6703" w:rsidP="006D4E78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A90A1B">
              <w:rPr>
                <w:bCs w:val="0"/>
                <w:sz w:val="22"/>
                <w:szCs w:val="22"/>
                <w:lang w:val="pt-BR"/>
              </w:rPr>
              <w:t>99</w:t>
            </w:r>
            <w:r w:rsidR="00DE786D" w:rsidRPr="00A90A1B">
              <w:rPr>
                <w:bCs w:val="0"/>
                <w:sz w:val="22"/>
                <w:szCs w:val="22"/>
                <w:lang w:val="pt-BR"/>
              </w:rPr>
              <w:t>.</w:t>
            </w:r>
            <w:r w:rsidR="006D4E78" w:rsidRPr="00A90A1B">
              <w:rPr>
                <w:bCs w:val="0"/>
                <w:sz w:val="22"/>
                <w:szCs w:val="22"/>
                <w:lang w:val="pt-BR"/>
              </w:rPr>
              <w:t>8</w:t>
            </w:r>
            <w:r w:rsidR="001C5074" w:rsidRPr="00A90A1B">
              <w:rPr>
                <w:bCs w:val="0"/>
                <w:sz w:val="22"/>
                <w:szCs w:val="22"/>
                <w:lang w:val="pt-BR"/>
              </w:rPr>
              <w:t xml:space="preserve"> %</w:t>
            </w:r>
          </w:p>
        </w:tc>
      </w:tr>
      <w:tr w:rsidR="001C5074" w:rsidRPr="00A90A1B" w:rsidTr="00630741">
        <w:trPr>
          <w:trHeight w:val="377"/>
        </w:trPr>
        <w:tc>
          <w:tcPr>
            <w:tcW w:w="496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</w:p>
        </w:tc>
        <w:tc>
          <w:tcPr>
            <w:tcW w:w="3811" w:type="dxa"/>
          </w:tcPr>
          <w:p w:rsidR="001C5074" w:rsidRPr="00A90A1B" w:rsidRDefault="001C5074" w:rsidP="006F7EF8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A90A1B">
              <w:rPr>
                <w:lang w:val="pt-BR"/>
              </w:rPr>
              <w:t xml:space="preserve">                Totali</w:t>
            </w:r>
          </w:p>
        </w:tc>
        <w:tc>
          <w:tcPr>
            <w:tcW w:w="1453" w:type="dxa"/>
          </w:tcPr>
          <w:p w:rsidR="001C5074" w:rsidRPr="00A90A1B" w:rsidRDefault="006D4E78" w:rsidP="00A05DA6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A90A1B">
              <w:rPr>
                <w:lang w:val="pt-BR"/>
              </w:rPr>
              <w:t>5</w:t>
            </w:r>
            <w:r w:rsidR="00E200A5" w:rsidRPr="00A90A1B">
              <w:rPr>
                <w:lang w:val="pt-BR"/>
              </w:rPr>
              <w:t>,</w:t>
            </w:r>
            <w:r w:rsidRPr="00A90A1B">
              <w:rPr>
                <w:lang w:val="pt-BR"/>
              </w:rPr>
              <w:t>794</w:t>
            </w:r>
            <w:r w:rsidR="00E200A5" w:rsidRPr="00A90A1B">
              <w:rPr>
                <w:lang w:val="pt-BR"/>
              </w:rPr>
              <w:t>,</w:t>
            </w:r>
            <w:r w:rsidR="00A05DA6" w:rsidRPr="00A90A1B">
              <w:rPr>
                <w:lang w:val="pt-BR"/>
              </w:rPr>
              <w:t>4</w:t>
            </w:r>
            <w:r w:rsidR="00E609A3" w:rsidRPr="00A90A1B">
              <w:rPr>
                <w:lang w:val="pt-BR"/>
              </w:rPr>
              <w:t>40</w:t>
            </w:r>
          </w:p>
        </w:tc>
        <w:tc>
          <w:tcPr>
            <w:tcW w:w="1626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A90A1B">
              <w:rPr>
                <w:lang w:val="pt-BR"/>
              </w:rPr>
              <w:t>6</w:t>
            </w:r>
            <w:r w:rsidR="0069731A" w:rsidRPr="00A90A1B">
              <w:rPr>
                <w:lang w:val="pt-BR"/>
              </w:rPr>
              <w:t>,</w:t>
            </w:r>
            <w:r w:rsidRPr="00A90A1B">
              <w:rPr>
                <w:lang w:val="pt-BR"/>
              </w:rPr>
              <w:t>203</w:t>
            </w:r>
            <w:r w:rsidR="0069731A" w:rsidRPr="00A90A1B">
              <w:rPr>
                <w:lang w:val="pt-BR"/>
              </w:rPr>
              <w:t>,</w:t>
            </w:r>
            <w:r w:rsidRPr="00A90A1B">
              <w:rPr>
                <w:lang w:val="pt-BR"/>
              </w:rPr>
              <w:t>305</w:t>
            </w:r>
          </w:p>
        </w:tc>
        <w:tc>
          <w:tcPr>
            <w:tcW w:w="1704" w:type="dxa"/>
          </w:tcPr>
          <w:p w:rsidR="001C5074" w:rsidRPr="00A90A1B" w:rsidRDefault="006F6703" w:rsidP="006F6703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A90A1B">
              <w:rPr>
                <w:lang w:val="pt-BR"/>
              </w:rPr>
              <w:t>5</w:t>
            </w:r>
            <w:r w:rsidR="0069731A" w:rsidRPr="00A90A1B">
              <w:rPr>
                <w:lang w:val="pt-BR"/>
              </w:rPr>
              <w:t>,</w:t>
            </w:r>
            <w:r w:rsidRPr="00A90A1B">
              <w:rPr>
                <w:lang w:val="pt-BR"/>
              </w:rPr>
              <w:t>825</w:t>
            </w:r>
            <w:r w:rsidR="0069731A" w:rsidRPr="00A90A1B">
              <w:rPr>
                <w:lang w:val="pt-BR"/>
              </w:rPr>
              <w:t>,</w:t>
            </w:r>
            <w:r w:rsidRPr="00A90A1B">
              <w:rPr>
                <w:lang w:val="pt-BR"/>
              </w:rPr>
              <w:t>818</w:t>
            </w:r>
          </w:p>
        </w:tc>
        <w:tc>
          <w:tcPr>
            <w:tcW w:w="1440" w:type="dxa"/>
          </w:tcPr>
          <w:p w:rsidR="001C5074" w:rsidRPr="00A90A1B" w:rsidRDefault="00F54E72" w:rsidP="00D2257A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A90A1B">
              <w:rPr>
                <w:lang w:val="pt-BR"/>
              </w:rPr>
              <w:t>93</w:t>
            </w:r>
            <w:r w:rsidR="0069731A" w:rsidRPr="00A90A1B">
              <w:rPr>
                <w:lang w:val="pt-BR"/>
              </w:rPr>
              <w:t>.</w:t>
            </w:r>
            <w:r w:rsidRPr="00A90A1B">
              <w:rPr>
                <w:lang w:val="pt-BR"/>
              </w:rPr>
              <w:t>9</w:t>
            </w:r>
            <w:r w:rsidR="00D2257A" w:rsidRPr="00A90A1B">
              <w:rPr>
                <w:lang w:val="pt-BR"/>
              </w:rPr>
              <w:t>1</w:t>
            </w:r>
            <w:r w:rsidR="0069731A" w:rsidRPr="00A90A1B">
              <w:rPr>
                <w:lang w:val="pt-BR"/>
              </w:rPr>
              <w:t>%</w:t>
            </w:r>
          </w:p>
        </w:tc>
      </w:tr>
    </w:tbl>
    <w:p w:rsidR="00C7600C" w:rsidRPr="00A90A1B" w:rsidRDefault="00C7600C" w:rsidP="006F7EF8">
      <w:pPr>
        <w:spacing w:line="276" w:lineRule="auto"/>
        <w:ind w:left="-900"/>
        <w:jc w:val="both"/>
        <w:rPr>
          <w:b/>
          <w:bCs/>
          <w:u w:val="single"/>
          <w:lang w:val="it-IT"/>
        </w:rPr>
      </w:pPr>
    </w:p>
    <w:p w:rsidR="00C7600C" w:rsidRPr="00A90A1B" w:rsidRDefault="00C7600C" w:rsidP="006F7EF8">
      <w:pPr>
        <w:spacing w:line="276" w:lineRule="auto"/>
        <w:ind w:left="-900"/>
        <w:jc w:val="both"/>
        <w:rPr>
          <w:b/>
          <w:bCs/>
          <w:u w:val="single"/>
          <w:lang w:val="it-IT"/>
        </w:rPr>
      </w:pPr>
    </w:p>
    <w:p w:rsidR="00C7600C" w:rsidRPr="00A90A1B" w:rsidRDefault="00C7600C" w:rsidP="006F7EF8">
      <w:pPr>
        <w:spacing w:line="276" w:lineRule="auto"/>
        <w:ind w:left="-900"/>
        <w:jc w:val="both"/>
        <w:rPr>
          <w:b/>
          <w:bCs/>
          <w:u w:val="single"/>
          <w:lang w:val="it-IT"/>
        </w:rPr>
      </w:pPr>
    </w:p>
    <w:p w:rsidR="00A52304" w:rsidRPr="00A90A1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A52304" w:rsidRPr="00A90A1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A52304" w:rsidRPr="00A90A1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A52304" w:rsidRPr="00A90A1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C7600C" w:rsidRPr="00A90A1B" w:rsidRDefault="00C7600C" w:rsidP="006F7EF8">
      <w:pPr>
        <w:spacing w:line="276" w:lineRule="auto"/>
        <w:ind w:left="-900"/>
        <w:jc w:val="both"/>
        <w:rPr>
          <w:bCs/>
          <w:lang w:val="it-IT"/>
        </w:rPr>
      </w:pPr>
      <w:r w:rsidRPr="00A90A1B">
        <w:rPr>
          <w:bCs/>
          <w:lang w:val="it-IT"/>
        </w:rPr>
        <w:t>Ndërsa, realizimi i shpenzimeve për fondet me financim të huaj, është si më poshtë:</w:t>
      </w:r>
    </w:p>
    <w:p w:rsidR="00C7600C" w:rsidRPr="00A90A1B" w:rsidRDefault="00C7600C" w:rsidP="006F7EF8">
      <w:pPr>
        <w:spacing w:line="276" w:lineRule="auto"/>
        <w:ind w:left="-900"/>
        <w:jc w:val="both"/>
        <w:rPr>
          <w:bCs/>
          <w:lang w:val="it-IT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811"/>
        <w:gridCol w:w="1413"/>
        <w:gridCol w:w="1666"/>
        <w:gridCol w:w="1526"/>
        <w:gridCol w:w="1618"/>
      </w:tblGrid>
      <w:tr w:rsidR="00C7600C" w:rsidRPr="00A90A1B" w:rsidTr="00821EBF">
        <w:tc>
          <w:tcPr>
            <w:tcW w:w="496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Nr</w:t>
            </w:r>
          </w:p>
        </w:tc>
        <w:tc>
          <w:tcPr>
            <w:tcW w:w="3811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Emri i programit</w:t>
            </w:r>
          </w:p>
        </w:tc>
        <w:tc>
          <w:tcPr>
            <w:tcW w:w="1413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Buxheti i akorduar në fillim të vitit 201</w:t>
            </w:r>
            <w:r w:rsidR="00DE7FF6" w:rsidRPr="00A90A1B">
              <w:t>4</w:t>
            </w:r>
          </w:p>
        </w:tc>
        <w:tc>
          <w:tcPr>
            <w:tcW w:w="1666" w:type="dxa"/>
          </w:tcPr>
          <w:p w:rsidR="00C7600C" w:rsidRPr="00A90A1B" w:rsidRDefault="00C7600C" w:rsidP="006F7EF8">
            <w:pPr>
              <w:pStyle w:val="Subtitle"/>
              <w:spacing w:line="276" w:lineRule="auto"/>
              <w:jc w:val="both"/>
            </w:pPr>
            <w:r w:rsidRPr="00A90A1B">
              <w:t>Buxheti  përfundimtar i vitit  201</w:t>
            </w:r>
            <w:r w:rsidR="00DE7FF6" w:rsidRPr="00A90A1B">
              <w:t>4</w:t>
            </w:r>
          </w:p>
        </w:tc>
        <w:tc>
          <w:tcPr>
            <w:tcW w:w="3144" w:type="dxa"/>
            <w:gridSpan w:val="2"/>
          </w:tcPr>
          <w:p w:rsidR="00C7600C" w:rsidRPr="00A90A1B" w:rsidRDefault="00C7600C" w:rsidP="006F7EF8">
            <w:pPr>
              <w:pStyle w:val="Subtitle"/>
              <w:pBdr>
                <w:bottom w:val="single" w:sz="4" w:space="1" w:color="auto"/>
              </w:pBdr>
              <w:spacing w:line="276" w:lineRule="auto"/>
              <w:jc w:val="both"/>
              <w:rPr>
                <w:lang w:val="nb-NO"/>
              </w:rPr>
            </w:pPr>
            <w:r w:rsidRPr="00A90A1B">
              <w:rPr>
                <w:lang w:val="nb-NO"/>
              </w:rPr>
              <w:t>Fakti i vitit 201</w:t>
            </w:r>
            <w:r w:rsidR="00DE7FF6" w:rsidRPr="00A90A1B">
              <w:rPr>
                <w:lang w:val="nb-NO"/>
              </w:rPr>
              <w:t>4</w:t>
            </w: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A90A1B">
              <w:rPr>
                <w:lang w:val="nb-NO"/>
              </w:rPr>
              <w:t xml:space="preserve">Në 000 leke          Në %        </w:t>
            </w:r>
          </w:p>
          <w:p w:rsidR="00C7600C" w:rsidRPr="00A90A1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A90A1B">
              <w:rPr>
                <w:lang w:val="nb-NO"/>
              </w:rPr>
              <w:t xml:space="preserve">                          ndaj planit</w:t>
            </w:r>
          </w:p>
        </w:tc>
      </w:tr>
      <w:tr w:rsidR="00D56657" w:rsidRPr="00A90A1B" w:rsidTr="006E7722">
        <w:tc>
          <w:tcPr>
            <w:tcW w:w="496" w:type="dxa"/>
          </w:tcPr>
          <w:p w:rsidR="00D56657" w:rsidRPr="00A90A1B" w:rsidRDefault="00D56657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</w:rPr>
              <w:t>1</w:t>
            </w:r>
          </w:p>
        </w:tc>
        <w:tc>
          <w:tcPr>
            <w:tcW w:w="3811" w:type="dxa"/>
          </w:tcPr>
          <w:p w:rsidR="00D56657" w:rsidRPr="00A90A1B" w:rsidRDefault="00D56657" w:rsidP="00D56657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A90A1B">
              <w:rPr>
                <w:b w:val="0"/>
                <w:bCs w:val="0"/>
                <w:lang w:val="pt-BR"/>
              </w:rPr>
              <w:t>Aparati i Ministrise</w:t>
            </w:r>
          </w:p>
        </w:tc>
        <w:tc>
          <w:tcPr>
            <w:tcW w:w="1413" w:type="dxa"/>
          </w:tcPr>
          <w:p w:rsidR="00D56657" w:rsidRPr="00A90A1B" w:rsidRDefault="00D56657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1,017,000</w:t>
            </w:r>
          </w:p>
        </w:tc>
        <w:tc>
          <w:tcPr>
            <w:tcW w:w="1666" w:type="dxa"/>
          </w:tcPr>
          <w:p w:rsidR="00D56657" w:rsidRPr="00A90A1B" w:rsidRDefault="00D56657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267,000</w:t>
            </w:r>
          </w:p>
        </w:tc>
        <w:tc>
          <w:tcPr>
            <w:tcW w:w="1526" w:type="dxa"/>
          </w:tcPr>
          <w:p w:rsidR="00D56657" w:rsidRPr="00A90A1B" w:rsidRDefault="00FB7E7F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267,000</w:t>
            </w:r>
          </w:p>
        </w:tc>
        <w:tc>
          <w:tcPr>
            <w:tcW w:w="1618" w:type="dxa"/>
          </w:tcPr>
          <w:p w:rsidR="00D56657" w:rsidRPr="00A90A1B" w:rsidRDefault="00FB7E7F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100%</w:t>
            </w:r>
          </w:p>
        </w:tc>
      </w:tr>
      <w:tr w:rsidR="006E7722" w:rsidRPr="00A90A1B" w:rsidTr="006E7722">
        <w:tc>
          <w:tcPr>
            <w:tcW w:w="496" w:type="dxa"/>
          </w:tcPr>
          <w:p w:rsidR="006E7722" w:rsidRPr="00A90A1B" w:rsidRDefault="00D56657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b w:val="0"/>
                <w:bCs w:val="0"/>
              </w:rPr>
              <w:t>2</w:t>
            </w:r>
          </w:p>
        </w:tc>
        <w:tc>
          <w:tcPr>
            <w:tcW w:w="3811" w:type="dxa"/>
          </w:tcPr>
          <w:p w:rsidR="006E7722" w:rsidRPr="00A90A1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pt-BR"/>
              </w:rPr>
              <w:t>Sistemi i Burgjeve</w:t>
            </w:r>
          </w:p>
        </w:tc>
        <w:tc>
          <w:tcPr>
            <w:tcW w:w="1413" w:type="dxa"/>
          </w:tcPr>
          <w:p w:rsidR="006E7722" w:rsidRPr="00A90A1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750,000</w:t>
            </w:r>
          </w:p>
        </w:tc>
        <w:tc>
          <w:tcPr>
            <w:tcW w:w="1666" w:type="dxa"/>
          </w:tcPr>
          <w:p w:rsidR="006E7722" w:rsidRPr="00A90A1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750,000</w:t>
            </w:r>
          </w:p>
        </w:tc>
        <w:tc>
          <w:tcPr>
            <w:tcW w:w="1526" w:type="dxa"/>
          </w:tcPr>
          <w:p w:rsidR="006E7722" w:rsidRPr="00A90A1B" w:rsidRDefault="00FB7E7F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750,000</w:t>
            </w:r>
          </w:p>
        </w:tc>
        <w:tc>
          <w:tcPr>
            <w:tcW w:w="1618" w:type="dxa"/>
          </w:tcPr>
          <w:p w:rsidR="006E7722" w:rsidRPr="00A90A1B" w:rsidRDefault="00FB7E7F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A90A1B">
              <w:rPr>
                <w:b w:val="0"/>
                <w:bCs w:val="0"/>
                <w:lang w:val="de-DE"/>
              </w:rPr>
              <w:t>10</w:t>
            </w:r>
            <w:r w:rsidR="006E7722" w:rsidRPr="00A90A1B">
              <w:rPr>
                <w:b w:val="0"/>
                <w:bCs w:val="0"/>
                <w:lang w:val="de-DE"/>
              </w:rPr>
              <w:t>0%</w:t>
            </w:r>
          </w:p>
        </w:tc>
      </w:tr>
      <w:tr w:rsidR="006E7722" w:rsidRPr="00A90A1B" w:rsidTr="006E7722">
        <w:tc>
          <w:tcPr>
            <w:tcW w:w="496" w:type="dxa"/>
          </w:tcPr>
          <w:p w:rsidR="006E7722" w:rsidRPr="00A90A1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3811" w:type="dxa"/>
          </w:tcPr>
          <w:p w:rsidR="006E7722" w:rsidRPr="00A90A1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A90A1B">
              <w:rPr>
                <w:lang w:val="pt-BR"/>
              </w:rPr>
              <w:t xml:space="preserve">                Totali</w:t>
            </w:r>
          </w:p>
        </w:tc>
        <w:tc>
          <w:tcPr>
            <w:tcW w:w="1413" w:type="dxa"/>
          </w:tcPr>
          <w:p w:rsidR="006E7722" w:rsidRPr="00A90A1B" w:rsidRDefault="00521E64" w:rsidP="006F7EF8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A90A1B">
              <w:rPr>
                <w:bCs w:val="0"/>
                <w:lang w:val="de-DE"/>
              </w:rPr>
              <w:t>1,767,000</w:t>
            </w:r>
          </w:p>
        </w:tc>
        <w:tc>
          <w:tcPr>
            <w:tcW w:w="1666" w:type="dxa"/>
          </w:tcPr>
          <w:p w:rsidR="006E7722" w:rsidRPr="00A90A1B" w:rsidRDefault="00521E64" w:rsidP="006F7EF8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A90A1B">
              <w:rPr>
                <w:bCs w:val="0"/>
                <w:lang w:val="de-DE"/>
              </w:rPr>
              <w:t>1,017,000</w:t>
            </w:r>
          </w:p>
        </w:tc>
        <w:tc>
          <w:tcPr>
            <w:tcW w:w="1526" w:type="dxa"/>
          </w:tcPr>
          <w:p w:rsidR="006E7722" w:rsidRPr="00A90A1B" w:rsidRDefault="00FB7E7F" w:rsidP="006F7EF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Cs w:val="0"/>
              </w:rPr>
              <w:t>1,017,000</w:t>
            </w:r>
          </w:p>
        </w:tc>
        <w:tc>
          <w:tcPr>
            <w:tcW w:w="1618" w:type="dxa"/>
          </w:tcPr>
          <w:p w:rsidR="006E7722" w:rsidRPr="00A90A1B" w:rsidRDefault="00FB7E7F" w:rsidP="006F7EF8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A90A1B">
              <w:rPr>
                <w:b w:val="0"/>
                <w:bCs w:val="0"/>
                <w:lang w:val="de-DE"/>
              </w:rPr>
              <w:t>10</w:t>
            </w:r>
            <w:r w:rsidR="006E7722" w:rsidRPr="00A90A1B">
              <w:rPr>
                <w:b w:val="0"/>
                <w:bCs w:val="0"/>
                <w:lang w:val="de-DE"/>
              </w:rPr>
              <w:t>0%</w:t>
            </w:r>
          </w:p>
        </w:tc>
      </w:tr>
    </w:tbl>
    <w:p w:rsidR="00C7600C" w:rsidRPr="00A90A1B" w:rsidRDefault="00C7600C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rPr>
          <w:bCs/>
          <w:lang w:val="it-IT"/>
        </w:rPr>
        <w:t xml:space="preserve"> 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 xml:space="preserve"> Të gjithë strukturat vartëse të Ministrisë së Drejtësisë, gjatë vitit 201</w:t>
      </w:r>
      <w:r w:rsidR="002840AB" w:rsidRPr="00A90A1B">
        <w:t>4</w:t>
      </w:r>
      <w:r w:rsidRPr="00A90A1B">
        <w:t xml:space="preserve">, kanë punuar për të plotësuar objektivat e parashikuara në programet e tyre si edhe për të realizuar produktet e përfituara, duke përdorur me efikasitet </w:t>
      </w:r>
      <w:r w:rsidR="002840AB" w:rsidRPr="00A90A1B">
        <w:t>dhe efektivitet</w:t>
      </w:r>
      <w:r w:rsidRPr="00A90A1B">
        <w:t xml:space="preserve"> fondet buxhetore të akorduara për çdo program dhe për çdo zë shpenzimesh. </w:t>
      </w:r>
      <w:proofErr w:type="gramStart"/>
      <w:r w:rsidR="00E62396" w:rsidRPr="00A90A1B">
        <w:t>Realizimi i treguesve buxhetorë, është në shifra mjaft të mira, k</w:t>
      </w:r>
      <w:r w:rsidRPr="00A90A1B">
        <w:t>jo vihet re edhe nga rezultatet e realizimit të treguesve buxhetorë</w:t>
      </w:r>
      <w:r w:rsidR="00DD4898" w:rsidRPr="00A90A1B">
        <w:t>.</w:t>
      </w:r>
      <w:proofErr w:type="gramEnd"/>
      <w:r w:rsidRPr="00A90A1B">
        <w:t xml:space="preserve"> Duke </w:t>
      </w:r>
      <w:proofErr w:type="gramStart"/>
      <w:r w:rsidRPr="00A90A1B">
        <w:t>iu</w:t>
      </w:r>
      <w:proofErr w:type="gramEnd"/>
      <w:r w:rsidRPr="00A90A1B">
        <w:t xml:space="preserve"> referuar shifrave në tabelën e parë, vihet re një realizim optimal i shpenzimeve të fondeve buxhetorë, </w:t>
      </w:r>
      <w:r w:rsidR="00594AC4" w:rsidRPr="00A90A1B">
        <w:t>nd</w:t>
      </w:r>
      <w:r w:rsidR="00D24418" w:rsidRPr="00A90A1B">
        <w:t>ë</w:t>
      </w:r>
      <w:r w:rsidR="00594AC4" w:rsidRPr="00A90A1B">
        <w:t>rsa</w:t>
      </w:r>
      <w:r w:rsidRPr="00A90A1B">
        <w:t xml:space="preserve"> në programet e </w:t>
      </w:r>
      <w:r w:rsidR="00E62396" w:rsidRPr="00A90A1B">
        <w:t>Institutit t</w:t>
      </w:r>
      <w:r w:rsidR="00A90A1B">
        <w:t>ë</w:t>
      </w:r>
      <w:r w:rsidR="00E62396" w:rsidRPr="00A90A1B">
        <w:t xml:space="preserve"> Mjek</w:t>
      </w:r>
      <w:r w:rsidR="00A90A1B">
        <w:t>ë</w:t>
      </w:r>
      <w:r w:rsidR="00E62396" w:rsidRPr="00A90A1B">
        <w:t>sis</w:t>
      </w:r>
      <w:r w:rsidR="00A90A1B">
        <w:t>ë</w:t>
      </w:r>
      <w:r w:rsidR="00E62396" w:rsidRPr="00A90A1B">
        <w:t xml:space="preserve"> Ligjore</w:t>
      </w:r>
      <w:r w:rsidR="002840AB" w:rsidRPr="00A90A1B">
        <w:t xml:space="preserve"> dhe </w:t>
      </w:r>
      <w:r w:rsidRPr="00A90A1B">
        <w:t xml:space="preserve">në </w:t>
      </w:r>
      <w:r w:rsidR="00E62396" w:rsidRPr="00A90A1B">
        <w:t>Drejtorin</w:t>
      </w:r>
      <w:r w:rsidR="00A90A1B">
        <w:t>ë</w:t>
      </w:r>
      <w:r w:rsidR="00E62396" w:rsidRPr="00A90A1B">
        <w:t xml:space="preserve"> e P</w:t>
      </w:r>
      <w:r w:rsidR="00A90A1B">
        <w:t>ë</w:t>
      </w:r>
      <w:r w:rsidR="00E62396" w:rsidRPr="00A90A1B">
        <w:t>rgjithshme t</w:t>
      </w:r>
      <w:r w:rsidR="00A90A1B">
        <w:t>ë</w:t>
      </w:r>
      <w:r w:rsidR="00E62396" w:rsidRPr="00A90A1B">
        <w:t xml:space="preserve"> Sh</w:t>
      </w:r>
      <w:r w:rsidR="00A90A1B">
        <w:t>ë</w:t>
      </w:r>
      <w:r w:rsidR="00E62396" w:rsidRPr="00A90A1B">
        <w:t>rbimit t</w:t>
      </w:r>
      <w:r w:rsidR="00A90A1B">
        <w:t>ë</w:t>
      </w:r>
      <w:r w:rsidR="00E62396" w:rsidRPr="00A90A1B">
        <w:t xml:space="preserve"> Prov</w:t>
      </w:r>
      <w:r w:rsidR="00A90A1B">
        <w:t>ë</w:t>
      </w:r>
      <w:r w:rsidR="00E62396" w:rsidRPr="00A90A1B">
        <w:t xml:space="preserve">s </w:t>
      </w:r>
      <w:r w:rsidR="00594AC4" w:rsidRPr="00A90A1B">
        <w:t xml:space="preserve">realizimi </w:t>
      </w:r>
      <w:r w:rsidR="00D24418" w:rsidRPr="00A90A1B">
        <w:t>ë</w:t>
      </w:r>
      <w:r w:rsidR="00594AC4" w:rsidRPr="00A90A1B">
        <w:t>sht</w:t>
      </w:r>
      <w:r w:rsidR="00D24418" w:rsidRPr="00A90A1B">
        <w:t>ë</w:t>
      </w:r>
      <w:r w:rsidR="00594AC4" w:rsidRPr="00A90A1B">
        <w:t xml:space="preserve"> shum</w:t>
      </w:r>
      <w:r w:rsidR="00D24418" w:rsidRPr="00A90A1B">
        <w:t>ë</w:t>
      </w:r>
      <w:r w:rsidR="00594AC4" w:rsidRPr="00A90A1B">
        <w:t xml:space="preserve"> i mir</w:t>
      </w:r>
      <w:r w:rsidR="00D24418" w:rsidRPr="00A90A1B">
        <w:t>ë</w:t>
      </w:r>
      <w:r w:rsidR="00594AC4" w:rsidRPr="00A90A1B">
        <w:t>.</w:t>
      </w:r>
      <w:r w:rsidR="00E62396" w:rsidRPr="00A90A1B">
        <w:t xml:space="preserve"> N</w:t>
      </w:r>
      <w:r w:rsidR="00A90A1B">
        <w:t>ë</w:t>
      </w:r>
      <w:r w:rsidR="00E62396" w:rsidRPr="00A90A1B">
        <w:t xml:space="preserve"> k</w:t>
      </w:r>
      <w:r w:rsidR="00A90A1B">
        <w:t>ë</w:t>
      </w:r>
      <w:r w:rsidR="00E62396" w:rsidRPr="00A90A1B">
        <w:t xml:space="preserve">to </w:t>
      </w:r>
      <w:proofErr w:type="gramStart"/>
      <w:r w:rsidR="00E62396" w:rsidRPr="00A90A1B">
        <w:t>dy</w:t>
      </w:r>
      <w:proofErr w:type="gramEnd"/>
      <w:r w:rsidR="00E62396" w:rsidRPr="00A90A1B">
        <w:t xml:space="preserve"> programe jan</w:t>
      </w:r>
      <w:r w:rsidR="00A90A1B">
        <w:t>ë</w:t>
      </w:r>
      <w:r w:rsidR="00E62396" w:rsidRPr="00A90A1B">
        <w:t xml:space="preserve"> p</w:t>
      </w:r>
      <w:r w:rsidR="00A90A1B">
        <w:t>ë</w:t>
      </w:r>
      <w:r w:rsidR="00E62396" w:rsidRPr="00A90A1B">
        <w:t>rdorur deri n</w:t>
      </w:r>
      <w:r w:rsidR="00A90A1B">
        <w:t>ë</w:t>
      </w:r>
      <w:r w:rsidR="00E62396" w:rsidRPr="00A90A1B">
        <w:t xml:space="preserve"> maksimum.</w:t>
      </w: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Në terma sasiorë, të gjitha programet i kanë realizuar produktet e parashikuara për periudhën, në disa raste edhe tejkaluar.</w:t>
      </w:r>
      <w:proofErr w:type="gramEnd"/>
      <w:r w:rsidRPr="00A90A1B">
        <w:t xml:space="preserve"> 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</w:rPr>
      </w:pPr>
    </w:p>
    <w:p w:rsidR="00C7600C" w:rsidRPr="00A90A1B" w:rsidRDefault="00C7600C" w:rsidP="006F7EF8">
      <w:pPr>
        <w:pStyle w:val="Subtitle"/>
        <w:spacing w:line="276" w:lineRule="auto"/>
        <w:ind w:left="-900"/>
        <w:jc w:val="both"/>
        <w:rPr>
          <w:b w:val="0"/>
        </w:rPr>
      </w:pPr>
      <w:r w:rsidRPr="00A90A1B">
        <w:rPr>
          <w:b w:val="0"/>
        </w:rPr>
        <w:t>Një analizë më të hollësishme të realizimit të sh</w:t>
      </w:r>
      <w:r w:rsidR="00923034" w:rsidRPr="00A90A1B">
        <w:rPr>
          <w:b w:val="0"/>
        </w:rPr>
        <w:t xml:space="preserve">penzimeve dhe produkteve, për  </w:t>
      </w:r>
      <w:r w:rsidR="002840AB" w:rsidRPr="00A90A1B">
        <w:rPr>
          <w:b w:val="0"/>
        </w:rPr>
        <w:t>8</w:t>
      </w:r>
      <w:r w:rsidRPr="00A90A1B">
        <w:rPr>
          <w:b w:val="0"/>
        </w:rPr>
        <w:t xml:space="preserve"> programet e Ministrisë së Drejtësisë, e sjellim më poshtë:</w:t>
      </w:r>
    </w:p>
    <w:p w:rsidR="00C7600C" w:rsidRPr="00A90A1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u w:val="single"/>
        </w:rPr>
      </w:pPr>
      <w:r w:rsidRPr="00A90A1B">
        <w:t xml:space="preserve"> </w:t>
      </w:r>
      <w:r w:rsidRPr="00A90A1B">
        <w:rPr>
          <w:u w:val="single"/>
        </w:rPr>
        <w:t>Monitorimi i Shpenzimeve dhe Produkteve sipas programeve.</w:t>
      </w:r>
    </w:p>
    <w:p w:rsidR="00C7600C" w:rsidRPr="00A90A1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A90A1B" w:rsidRDefault="00C7600C" w:rsidP="006F7EF8">
      <w:pPr>
        <w:pStyle w:val="Subtitle"/>
        <w:numPr>
          <w:ilvl w:val="0"/>
          <w:numId w:val="2"/>
        </w:numPr>
        <w:spacing w:line="276" w:lineRule="auto"/>
        <w:jc w:val="both"/>
      </w:pPr>
      <w:r w:rsidRPr="00A90A1B">
        <w:t xml:space="preserve">  Programi “Planifikim, Menaxhim, Administrim”.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2840AB" w:rsidP="006F7EF8">
      <w:pPr>
        <w:spacing w:line="276" w:lineRule="auto"/>
        <w:ind w:left="-900"/>
        <w:jc w:val="both"/>
        <w:rPr>
          <w:b/>
        </w:rPr>
      </w:pPr>
      <w:proofErr w:type="gramStart"/>
      <w:r w:rsidRPr="00A90A1B">
        <w:t>K</w:t>
      </w:r>
      <w:r w:rsidR="00C7600C" w:rsidRPr="00A90A1B">
        <w:t>y</w:t>
      </w:r>
      <w:proofErr w:type="gramEnd"/>
      <w:r w:rsidR="00C7600C" w:rsidRPr="00A90A1B">
        <w:t xml:space="preserve"> program përfshin 4 institucione: Aparatin e Ministrisë, Avokaturën e Shtetit, Komisionin Shtetëror për Ndihmën Juridike dhe Agjensinë për Mbikqyrjen e Falimentit. Realizimi </w:t>
      </w:r>
      <w:r w:rsidR="00D2257A" w:rsidRPr="00A90A1B">
        <w:t>vjrt</w:t>
      </w:r>
      <w:r w:rsidRPr="00A90A1B">
        <w:t>or</w:t>
      </w:r>
      <w:r w:rsidR="00C7600C" w:rsidRPr="00A90A1B">
        <w:t xml:space="preserve"> për këtë program, duke e krahasuar me planifikimin e periudhës, sipas zërave kryesorë, rezulton si më poshtë</w:t>
      </w:r>
      <w:r w:rsidR="00C7600C" w:rsidRPr="00A90A1B">
        <w:rPr>
          <w:b/>
        </w:rPr>
        <w:t xml:space="preserve">: </w:t>
      </w: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0C62E2" w:rsidRPr="00A90A1B" w:rsidRDefault="000C62E2" w:rsidP="006F7EF8">
      <w:pPr>
        <w:spacing w:line="276" w:lineRule="auto"/>
        <w:jc w:val="both"/>
        <w:rPr>
          <w:b/>
        </w:rPr>
      </w:pPr>
    </w:p>
    <w:p w:rsidR="00C7600C" w:rsidRPr="00A90A1B" w:rsidRDefault="00C7600C" w:rsidP="000C62E2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 xml:space="preserve">Shpenzimet e personelit                          </w:t>
      </w:r>
      <w:r w:rsidR="002840AB" w:rsidRPr="00A90A1B">
        <w:rPr>
          <w:b w:val="0"/>
          <w:bCs w:val="0"/>
          <w:lang w:val="da-DK"/>
        </w:rPr>
        <w:t>9</w:t>
      </w:r>
      <w:r w:rsidR="00594AC4" w:rsidRPr="00A90A1B">
        <w:rPr>
          <w:b w:val="0"/>
          <w:bCs w:val="0"/>
          <w:lang w:val="da-DK"/>
        </w:rPr>
        <w:t>3</w:t>
      </w:r>
      <w:r w:rsidR="00923034" w:rsidRPr="00A90A1B">
        <w:rPr>
          <w:b w:val="0"/>
          <w:bCs w:val="0"/>
          <w:lang w:val="da-DK"/>
        </w:rPr>
        <w:t>.</w:t>
      </w:r>
      <w:r w:rsidR="00D2257A" w:rsidRPr="00A90A1B">
        <w:rPr>
          <w:b w:val="0"/>
          <w:bCs w:val="0"/>
          <w:lang w:val="da-DK"/>
        </w:rPr>
        <w:t>83</w:t>
      </w:r>
      <w:r w:rsidRPr="00A90A1B">
        <w:rPr>
          <w:b w:val="0"/>
          <w:bCs w:val="0"/>
          <w:lang w:val="da-DK"/>
        </w:rPr>
        <w:t xml:space="preserve">  %</w:t>
      </w:r>
    </w:p>
    <w:p w:rsidR="00C7600C" w:rsidRPr="00A90A1B" w:rsidRDefault="00C7600C" w:rsidP="000C62E2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  </w:t>
      </w:r>
      <w:r w:rsidR="00594AC4" w:rsidRPr="00A90A1B">
        <w:rPr>
          <w:b w:val="0"/>
          <w:bCs w:val="0"/>
        </w:rPr>
        <w:t>8</w:t>
      </w:r>
      <w:r w:rsidR="00D2257A" w:rsidRPr="00A90A1B">
        <w:rPr>
          <w:b w:val="0"/>
          <w:bCs w:val="0"/>
        </w:rPr>
        <w:t>9</w:t>
      </w:r>
      <w:r w:rsidR="00923034" w:rsidRPr="00A90A1B">
        <w:rPr>
          <w:b w:val="0"/>
          <w:bCs w:val="0"/>
        </w:rPr>
        <w:t>.</w:t>
      </w:r>
      <w:r w:rsidR="00D2257A" w:rsidRPr="00A90A1B">
        <w:rPr>
          <w:b w:val="0"/>
          <w:bCs w:val="0"/>
        </w:rPr>
        <w:t>87</w:t>
      </w:r>
      <w:r w:rsidRPr="00A90A1B">
        <w:rPr>
          <w:b w:val="0"/>
          <w:bCs w:val="0"/>
        </w:rPr>
        <w:t xml:space="preserve">  %</w:t>
      </w:r>
    </w:p>
    <w:p w:rsidR="00C7600C" w:rsidRPr="00A90A1B" w:rsidRDefault="00C7600C" w:rsidP="000C62E2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                           </w:t>
      </w:r>
      <w:r w:rsidR="00923034" w:rsidRPr="00A90A1B">
        <w:rPr>
          <w:b w:val="0"/>
          <w:bCs w:val="0"/>
        </w:rPr>
        <w:t xml:space="preserve">   </w:t>
      </w:r>
      <w:r w:rsidR="00D2257A" w:rsidRPr="00A90A1B">
        <w:rPr>
          <w:b w:val="0"/>
          <w:bCs w:val="0"/>
        </w:rPr>
        <w:t>83</w:t>
      </w:r>
      <w:r w:rsidR="00923034" w:rsidRPr="00A90A1B">
        <w:rPr>
          <w:b w:val="0"/>
          <w:bCs w:val="0"/>
        </w:rPr>
        <w:t>.</w:t>
      </w:r>
      <w:r w:rsidR="00D2257A" w:rsidRPr="00A90A1B">
        <w:rPr>
          <w:b w:val="0"/>
          <w:bCs w:val="0"/>
        </w:rPr>
        <w:t>6</w:t>
      </w:r>
      <w:r w:rsidRPr="00A90A1B">
        <w:rPr>
          <w:b w:val="0"/>
          <w:bCs w:val="0"/>
        </w:rPr>
        <w:t xml:space="preserve">  %</w:t>
      </w:r>
    </w:p>
    <w:p w:rsidR="00C7600C" w:rsidRPr="00A90A1B" w:rsidRDefault="00C7600C" w:rsidP="006F7EF8">
      <w:pPr>
        <w:pStyle w:val="Subtitle"/>
        <w:spacing w:line="276" w:lineRule="auto"/>
        <w:ind w:left="1080"/>
        <w:jc w:val="both"/>
      </w:pPr>
      <w:r w:rsidRPr="00A90A1B">
        <w:t xml:space="preserve">                Gjithsej                                      </w:t>
      </w:r>
      <w:r w:rsidR="006C3F9A">
        <w:t>86</w:t>
      </w:r>
      <w:r w:rsidR="00923034" w:rsidRPr="00A90A1B">
        <w:t>.</w:t>
      </w:r>
      <w:r w:rsidR="006C3F9A">
        <w:t>13</w:t>
      </w:r>
      <w:r w:rsidRPr="00A90A1B">
        <w:t xml:space="preserve"> %</w:t>
      </w: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EC1496" w:rsidP="006F7EF8">
      <w:pPr>
        <w:spacing w:line="276" w:lineRule="auto"/>
        <w:ind w:left="-851"/>
        <w:jc w:val="both"/>
      </w:pPr>
      <w:r w:rsidRPr="00A90A1B">
        <w:t>Siç e shohim m</w:t>
      </w:r>
      <w:r w:rsidR="0069473D" w:rsidRPr="00A90A1B">
        <w:t>ë</w:t>
      </w:r>
      <w:r w:rsidRPr="00A90A1B">
        <w:t xml:space="preserve"> sip</w:t>
      </w:r>
      <w:r w:rsidR="0069473D" w:rsidRPr="00A90A1B">
        <w:t>ë</w:t>
      </w:r>
      <w:r w:rsidRPr="00A90A1B">
        <w:t xml:space="preserve">r shpenzimet e personelit prej </w:t>
      </w:r>
      <w:r w:rsidR="002840AB" w:rsidRPr="00A90A1B">
        <w:t>9</w:t>
      </w:r>
      <w:r w:rsidR="003F203D" w:rsidRPr="00A90A1B">
        <w:t>3</w:t>
      </w:r>
      <w:r w:rsidRPr="00A90A1B">
        <w:t>.</w:t>
      </w:r>
      <w:r w:rsidR="00D2257A" w:rsidRPr="00A90A1B">
        <w:t>83</w:t>
      </w:r>
      <w:r w:rsidRPr="00A90A1B">
        <w:t xml:space="preserve"> % dhe shpenzimet e tjera operative </w:t>
      </w:r>
      <w:r w:rsidR="003F203D" w:rsidRPr="00A90A1B">
        <w:t>8</w:t>
      </w:r>
      <w:r w:rsidR="00D2257A" w:rsidRPr="00A90A1B">
        <w:t>9</w:t>
      </w:r>
      <w:r w:rsidRPr="00A90A1B">
        <w:t>.</w:t>
      </w:r>
      <w:r w:rsidR="00D2257A" w:rsidRPr="00A90A1B">
        <w:t>87</w:t>
      </w:r>
      <w:r w:rsidRPr="00A90A1B">
        <w:t xml:space="preserve"> % jan</w:t>
      </w:r>
      <w:r w:rsidR="0069473D" w:rsidRPr="00A90A1B">
        <w:t>ë</w:t>
      </w:r>
      <w:r w:rsidRPr="00A90A1B">
        <w:t xml:space="preserve"> optimal</w:t>
      </w:r>
      <w:r w:rsidR="00205D4E" w:rsidRPr="00A90A1B">
        <w:t>e</w:t>
      </w:r>
      <w:r w:rsidRPr="00A90A1B">
        <w:t xml:space="preserve"> nd</w:t>
      </w:r>
      <w:r w:rsidR="0069473D" w:rsidRPr="00A90A1B">
        <w:t>ë</w:t>
      </w:r>
      <w:r w:rsidRPr="00A90A1B">
        <w:t>rsa shpenzimet kapitale jan</w:t>
      </w:r>
      <w:r w:rsidR="0069473D" w:rsidRPr="00A90A1B">
        <w:t>ë</w:t>
      </w:r>
      <w:r w:rsidRPr="00A90A1B">
        <w:t xml:space="preserve"> realizuar n</w:t>
      </w:r>
      <w:r w:rsidR="0069473D" w:rsidRPr="00A90A1B">
        <w:t>ë</w:t>
      </w:r>
      <w:r w:rsidRPr="00A90A1B">
        <w:t xml:space="preserve"> mas</w:t>
      </w:r>
      <w:r w:rsidR="0069473D" w:rsidRPr="00A90A1B">
        <w:t>ë</w:t>
      </w:r>
      <w:r w:rsidRPr="00A90A1B">
        <w:t xml:space="preserve">n </w:t>
      </w:r>
      <w:r w:rsidR="00D2257A" w:rsidRPr="00A90A1B">
        <w:t>83</w:t>
      </w:r>
      <w:r w:rsidR="00923034" w:rsidRPr="00A90A1B">
        <w:t>.</w:t>
      </w:r>
      <w:r w:rsidR="00D2257A" w:rsidRPr="00A90A1B">
        <w:t>6</w:t>
      </w:r>
      <w:r w:rsidRPr="00A90A1B">
        <w:t>%</w:t>
      </w:r>
      <w:r w:rsidR="0009030B" w:rsidRPr="00A90A1B">
        <w:t xml:space="preserve"> pasi </w:t>
      </w:r>
      <w:r w:rsidR="00D2257A" w:rsidRPr="00A90A1B">
        <w:t>me rishikimin e buxhetit koha p</w:t>
      </w:r>
      <w:r w:rsidR="00A90A1B">
        <w:t>ë</w:t>
      </w:r>
      <w:r w:rsidR="00D2257A" w:rsidRPr="00A90A1B">
        <w:t>r realizimin e disa prej procedurave p</w:t>
      </w:r>
      <w:r w:rsidR="00A90A1B">
        <w:t>ë</w:t>
      </w:r>
      <w:r w:rsidR="00D2257A" w:rsidRPr="00A90A1B">
        <w:t>r shpenzimet kapitale ishte e pamjaftueshme</w:t>
      </w:r>
      <w:r w:rsidRPr="00A90A1B">
        <w:t xml:space="preserve">. </w:t>
      </w:r>
    </w:p>
    <w:p w:rsidR="00C7600C" w:rsidRPr="00A90A1B" w:rsidRDefault="00C7600C" w:rsidP="006F7EF8">
      <w:pPr>
        <w:spacing w:line="276" w:lineRule="auto"/>
        <w:ind w:left="-993"/>
        <w:jc w:val="both"/>
      </w:pPr>
    </w:p>
    <w:p w:rsidR="00594379" w:rsidRPr="00A90A1B" w:rsidRDefault="00C7600C" w:rsidP="006F7EF8">
      <w:pPr>
        <w:spacing w:line="276" w:lineRule="auto"/>
        <w:ind w:left="-900"/>
        <w:jc w:val="both"/>
      </w:pPr>
      <w:r w:rsidRPr="00A90A1B">
        <w:t xml:space="preserve">Për kryerjen e  veprimtarisë kryesore dhe përmbushjen e objektivave të përcaktuara, për </w:t>
      </w:r>
      <w:r w:rsidR="0009030B" w:rsidRPr="00A90A1B">
        <w:t>viti</w:t>
      </w:r>
      <w:r w:rsidR="00D2257A" w:rsidRPr="00A90A1B">
        <w:t>n</w:t>
      </w:r>
      <w:r w:rsidR="0009030B" w:rsidRPr="00A90A1B">
        <w:t xml:space="preserve"> 2014</w:t>
      </w:r>
      <w:r w:rsidRPr="00A90A1B">
        <w:t xml:space="preserve"> Programi  Planifikim, Menaxhim, Administrim, ka parashikuar </w:t>
      </w:r>
      <w:r w:rsidR="00033311" w:rsidRPr="00A90A1B">
        <w:t>1</w:t>
      </w:r>
      <w:r w:rsidR="00D2257A" w:rsidRPr="00A90A1B">
        <w:t>6</w:t>
      </w:r>
      <w:r w:rsidRPr="00A90A1B">
        <w:t xml:space="preserve"> produkte, </w:t>
      </w:r>
      <w:r w:rsidR="00033311" w:rsidRPr="00A90A1B">
        <w:t xml:space="preserve">nga </w:t>
      </w:r>
      <w:r w:rsidRPr="00A90A1B">
        <w:t xml:space="preserve">të cilat për </w:t>
      </w:r>
      <w:r w:rsidR="006F7EF8" w:rsidRPr="00A90A1B">
        <w:t>k</w:t>
      </w:r>
      <w:r w:rsidR="008E5E92" w:rsidRPr="00A90A1B">
        <w:t>ë</w:t>
      </w:r>
      <w:r w:rsidR="006F7EF8" w:rsidRPr="00A90A1B">
        <w:t>t</w:t>
      </w:r>
      <w:r w:rsidR="008E5E92" w:rsidRPr="00A90A1B">
        <w:t>ë</w:t>
      </w:r>
      <w:r w:rsidR="006F7EF8" w:rsidRPr="00A90A1B">
        <w:t xml:space="preserve"> </w:t>
      </w:r>
      <w:r w:rsidRPr="00A90A1B">
        <w:t>periudhë janë</w:t>
      </w:r>
      <w:r w:rsidRPr="00A90A1B">
        <w:rPr>
          <w:b/>
        </w:rPr>
        <w:t xml:space="preserve"> </w:t>
      </w:r>
      <w:r w:rsidRPr="00A90A1B">
        <w:t xml:space="preserve">realizuar plotësisht </w:t>
      </w:r>
      <w:r w:rsidR="00D2257A" w:rsidRPr="00A90A1B">
        <w:t>14</w:t>
      </w:r>
      <w:r w:rsidR="00033311" w:rsidRPr="00A90A1B">
        <w:t xml:space="preserve"> </w:t>
      </w:r>
      <w:r w:rsidRPr="00A90A1B">
        <w:t>(disa prej tyre edhe tejkaluar)</w:t>
      </w:r>
      <w:r w:rsidR="00033311" w:rsidRPr="00A90A1B">
        <w:t xml:space="preserve"> nd</w:t>
      </w:r>
      <w:r w:rsidR="00D63FF5" w:rsidRPr="00A90A1B">
        <w:t>ë</w:t>
      </w:r>
      <w:r w:rsidR="006F7EF8" w:rsidRPr="00A90A1B">
        <w:t xml:space="preserve">rsa </w:t>
      </w:r>
      <w:r w:rsidR="00D2257A" w:rsidRPr="00A90A1B">
        <w:t>1</w:t>
      </w:r>
      <w:r w:rsidR="006F7EF8" w:rsidRPr="00A90A1B">
        <w:t xml:space="preserve"> produkt </w:t>
      </w:r>
      <w:r w:rsidR="00A90A1B">
        <w:t>ë</w:t>
      </w:r>
      <w:r w:rsidR="00D2257A" w:rsidRPr="00A90A1B">
        <w:t>sht</w:t>
      </w:r>
      <w:r w:rsidR="00D63FF5" w:rsidRPr="00A90A1B">
        <w:t>ë</w:t>
      </w:r>
      <w:r w:rsidR="00033311" w:rsidRPr="00A90A1B">
        <w:t xml:space="preserve"> realizuar pjes</w:t>
      </w:r>
      <w:r w:rsidR="00D63FF5" w:rsidRPr="00A90A1B">
        <w:t>ë</w:t>
      </w:r>
      <w:r w:rsidR="00033311" w:rsidRPr="00A90A1B">
        <w:t>risht</w:t>
      </w:r>
      <w:r w:rsidR="00B7387F" w:rsidRPr="00A90A1B">
        <w:t xml:space="preserve"> </w:t>
      </w:r>
      <w:r w:rsidR="006F7EF8" w:rsidRPr="00A90A1B">
        <w:t xml:space="preserve">dhe </w:t>
      </w:r>
      <w:r w:rsidR="00D2257A" w:rsidRPr="00A90A1B">
        <w:t>1</w:t>
      </w:r>
      <w:r w:rsidR="006F7EF8" w:rsidRPr="00A90A1B">
        <w:t xml:space="preserve"> nuk </w:t>
      </w:r>
      <w:r w:rsidR="00A90A1B">
        <w:t>ë</w:t>
      </w:r>
      <w:r w:rsidR="00D2257A" w:rsidRPr="00A90A1B">
        <w:t>sht</w:t>
      </w:r>
      <w:r w:rsidR="008E5E92" w:rsidRPr="00A90A1B">
        <w:t>ë</w:t>
      </w:r>
      <w:r w:rsidR="006F7EF8" w:rsidRPr="00A90A1B">
        <w:t xml:space="preserve"> realizuar aspak</w:t>
      </w:r>
      <w:r w:rsidRPr="00A90A1B">
        <w:t>. Kështu, u realizuan plotësisht sipas parashikimit të periudhës, produktet “Perso</w:t>
      </w:r>
      <w:r w:rsidR="006F7EF8" w:rsidRPr="00A90A1B">
        <w:t xml:space="preserve">neli i Aparatit të Ministrisë”, </w:t>
      </w:r>
      <w:r w:rsidRPr="00A90A1B">
        <w:t>“Inspektime në Prokurori, inspektime në Gjyqësor</w:t>
      </w:r>
      <w:r w:rsidR="006F7EF8" w:rsidRPr="00A90A1B">
        <w:t>,</w:t>
      </w:r>
      <w:r w:rsidRPr="00A90A1B">
        <w:t xml:space="preserve"> Administrativ</w:t>
      </w:r>
      <w:r w:rsidR="006F7EF8" w:rsidRPr="00A90A1B">
        <w:t xml:space="preserve"> dhe në Pron</w:t>
      </w:r>
      <w:r w:rsidR="008E5E92" w:rsidRPr="00A90A1B">
        <w:t>ë</w:t>
      </w:r>
      <w:r w:rsidR="006F7EF8" w:rsidRPr="00A90A1B">
        <w:t>si</w:t>
      </w:r>
      <w:r w:rsidRPr="00A90A1B">
        <w:t xml:space="preserve">”, nga rreth </w:t>
      </w:r>
      <w:r w:rsidR="00D2257A" w:rsidRPr="00A90A1B">
        <w:t>32</w:t>
      </w:r>
      <w:r w:rsidRPr="00A90A1B">
        <w:t xml:space="preserve"> inspektime të parashikuara, u realizuan </w:t>
      </w:r>
      <w:r w:rsidR="00D2257A" w:rsidRPr="00A90A1B">
        <w:t>125</w:t>
      </w:r>
      <w:r w:rsidRPr="00A90A1B">
        <w:t xml:space="preserve"> inspektime, vlen për tu theksuar për inspektimet në institucionet vartëse dhe në profesionet e lira, se janë kryer inspektime me shtrirje në </w:t>
      </w:r>
      <w:r w:rsidR="00033311" w:rsidRPr="00A90A1B">
        <w:t xml:space="preserve">zyra </w:t>
      </w:r>
      <w:r w:rsidRPr="00A90A1B">
        <w:t>përmbarimore, noterie dhe institucione</w:t>
      </w:r>
      <w:r w:rsidR="00AD210F" w:rsidRPr="00A90A1B">
        <w:t>t e</w:t>
      </w:r>
      <w:r w:rsidRPr="00A90A1B">
        <w:t xml:space="preserve"> varë</w:t>
      </w:r>
      <w:r w:rsidR="00AD210F" w:rsidRPr="00A90A1B">
        <w:t>si</w:t>
      </w:r>
      <w:r w:rsidRPr="00A90A1B">
        <w:t>s</w:t>
      </w:r>
      <w:r w:rsidR="00AD210F" w:rsidRPr="00A90A1B">
        <w:t>ë.</w:t>
      </w:r>
      <w:r w:rsidRPr="00A90A1B">
        <w:t xml:space="preserve"> </w:t>
      </w:r>
      <w:r w:rsidR="00D2257A" w:rsidRPr="00A90A1B">
        <w:t>Inspektimet ne Prokurori dhe ne Gjyq</w:t>
      </w:r>
      <w:r w:rsidR="00A90A1B">
        <w:t>ë</w:t>
      </w:r>
      <w:r w:rsidR="00D2257A" w:rsidRPr="00A90A1B">
        <w:t>sor jan</w:t>
      </w:r>
      <w:r w:rsidR="00A90A1B">
        <w:t>ë</w:t>
      </w:r>
      <w:r w:rsidR="00D2257A" w:rsidRPr="00A90A1B">
        <w:t xml:space="preserve"> kryer dhe n</w:t>
      </w:r>
      <w:r w:rsidR="00A90A1B">
        <w:t>ë</w:t>
      </w:r>
      <w:r w:rsidR="00D2257A" w:rsidRPr="00A90A1B">
        <w:t xml:space="preserve"> baz</w:t>
      </w:r>
      <w:r w:rsidR="00A90A1B">
        <w:t>ë</w:t>
      </w:r>
      <w:r w:rsidR="00D2257A" w:rsidRPr="00A90A1B">
        <w:t xml:space="preserve"> ankese p</w:t>
      </w:r>
      <w:r w:rsidR="00A90A1B">
        <w:t>ë</w:t>
      </w:r>
      <w:r w:rsidR="00D2257A" w:rsidRPr="00A90A1B">
        <w:t>rvec atyre t</w:t>
      </w:r>
      <w:r w:rsidR="00A90A1B">
        <w:t>ë</w:t>
      </w:r>
      <w:r w:rsidR="00D2257A" w:rsidRPr="00A90A1B">
        <w:t xml:space="preserve"> parashikuara nga Drejtoria e Inspektimit t</w:t>
      </w:r>
      <w:r w:rsidR="00A90A1B">
        <w:t>ë</w:t>
      </w:r>
      <w:r w:rsidR="00D2257A" w:rsidRPr="00A90A1B">
        <w:t xml:space="preserve"> Prokuroris</w:t>
      </w:r>
      <w:r w:rsidR="00A90A1B">
        <w:t>ë</w:t>
      </w:r>
      <w:r w:rsidR="00D2257A" w:rsidRPr="00A90A1B">
        <w:t xml:space="preserve"> dhe Gjyq</w:t>
      </w:r>
      <w:r w:rsidR="00A90A1B">
        <w:t>ë</w:t>
      </w:r>
      <w:r w:rsidR="00D2257A" w:rsidRPr="00A90A1B">
        <w:t>sorit.</w:t>
      </w:r>
      <w:r w:rsidR="00AD210F" w:rsidRPr="00A90A1B">
        <w:t xml:space="preserve">Në kuadër të </w:t>
      </w:r>
      <w:r w:rsidRPr="00A90A1B">
        <w:t>produkti</w:t>
      </w:r>
      <w:r w:rsidR="00AD210F" w:rsidRPr="00A90A1B">
        <w:t>t</w:t>
      </w:r>
      <w:r w:rsidRPr="00A90A1B">
        <w:t xml:space="preserve"> “Akte ligjore e nënligjore të hartuara”, janë përgatitur </w:t>
      </w:r>
      <w:r w:rsidR="00C80716" w:rsidRPr="00A90A1B">
        <w:t>77</w:t>
      </w:r>
      <w:r w:rsidRPr="00A90A1B">
        <w:t xml:space="preserve"> akte ligjore e nënligjor</w:t>
      </w:r>
      <w:r w:rsidR="00260E33" w:rsidRPr="00A90A1B">
        <w:t xml:space="preserve">e, nga </w:t>
      </w:r>
      <w:r w:rsidR="00C80716" w:rsidRPr="00A90A1B">
        <w:t>42</w:t>
      </w:r>
      <w:r w:rsidR="00260E33" w:rsidRPr="00A90A1B">
        <w:t xml:space="preserve"> të parashikuara. </w:t>
      </w:r>
    </w:p>
    <w:p w:rsidR="006F7EF8" w:rsidRPr="00A90A1B" w:rsidRDefault="006F7EF8" w:rsidP="006F7EF8">
      <w:pPr>
        <w:spacing w:line="276" w:lineRule="auto"/>
        <w:ind w:left="-900"/>
        <w:jc w:val="both"/>
      </w:pPr>
    </w:p>
    <w:p w:rsidR="00C7600C" w:rsidRPr="00A90A1B" w:rsidRDefault="00AD7E2C" w:rsidP="006F7EF8">
      <w:pPr>
        <w:spacing w:line="276" w:lineRule="auto"/>
        <w:ind w:left="-900"/>
        <w:jc w:val="both"/>
      </w:pPr>
      <w:r w:rsidRPr="00A90A1B">
        <w:t>Produkti</w:t>
      </w:r>
      <w:r w:rsidR="00594379" w:rsidRPr="00A90A1B">
        <w:t xml:space="preserve"> </w:t>
      </w:r>
      <w:r w:rsidRPr="00A90A1B">
        <w:t>“</w:t>
      </w:r>
      <w:r w:rsidR="00594379" w:rsidRPr="00A90A1B">
        <w:t>Asistenc</w:t>
      </w:r>
      <w:r w:rsidR="008E5E92" w:rsidRPr="00A90A1B">
        <w:t>ë</w:t>
      </w:r>
      <w:r w:rsidR="00594379" w:rsidRPr="00A90A1B">
        <w:t xml:space="preserve"> Juridike Institucione Shtet</w:t>
      </w:r>
      <w:r w:rsidR="008E5E92" w:rsidRPr="00A90A1B">
        <w:t>ë</w:t>
      </w:r>
      <w:r w:rsidR="00594379" w:rsidRPr="00A90A1B">
        <w:t>rore dhe Enteve Publike N</w:t>
      </w:r>
      <w:r w:rsidR="008E5E92" w:rsidRPr="00A90A1B">
        <w:t>ë</w:t>
      </w:r>
      <w:r w:rsidR="00594379" w:rsidRPr="00A90A1B">
        <w:t>p</w:t>
      </w:r>
      <w:r w:rsidR="008E5E92" w:rsidRPr="00A90A1B">
        <w:t>ë</w:t>
      </w:r>
      <w:r w:rsidR="00594379" w:rsidRPr="00A90A1B">
        <w:t>rmjet k</w:t>
      </w:r>
      <w:r w:rsidR="008E5E92" w:rsidRPr="00A90A1B">
        <w:t>ë</w:t>
      </w:r>
      <w:r w:rsidR="00594379" w:rsidRPr="00A90A1B">
        <w:t>shillimit dhe p</w:t>
      </w:r>
      <w:r w:rsidR="008E5E92" w:rsidRPr="00A90A1B">
        <w:t>ë</w:t>
      </w:r>
      <w:r w:rsidR="00594379" w:rsidRPr="00A90A1B">
        <w:t>rfaq</w:t>
      </w:r>
      <w:r w:rsidR="008E5E92" w:rsidRPr="00A90A1B">
        <w:t>ë</w:t>
      </w:r>
      <w:r w:rsidR="00594379" w:rsidRPr="00A90A1B">
        <w:t>simit n</w:t>
      </w:r>
      <w:r w:rsidR="008E5E92" w:rsidRPr="00A90A1B">
        <w:t>ë</w:t>
      </w:r>
      <w:r w:rsidR="00594379" w:rsidRPr="00A90A1B">
        <w:t xml:space="preserve"> gjykatat Nd</w:t>
      </w:r>
      <w:r w:rsidR="008E5E92" w:rsidRPr="00A90A1B">
        <w:t>ë</w:t>
      </w:r>
      <w:r w:rsidR="00594379" w:rsidRPr="00A90A1B">
        <w:t>rkomb</w:t>
      </w:r>
      <w:r w:rsidR="008E5E92" w:rsidRPr="00A90A1B">
        <w:t>ë</w:t>
      </w:r>
      <w:r w:rsidR="00594379" w:rsidRPr="00A90A1B">
        <w:t>tare”</w:t>
      </w:r>
      <w:r w:rsidRPr="00A90A1B">
        <w:t xml:space="preserve"> </w:t>
      </w:r>
      <w:r w:rsidR="008E5E92" w:rsidRPr="00A90A1B">
        <w:t>ë</w:t>
      </w:r>
      <w:r w:rsidRPr="00A90A1B">
        <w:t>sht</w:t>
      </w:r>
      <w:r w:rsidR="008E5E92" w:rsidRPr="00A90A1B">
        <w:t>ë</w:t>
      </w:r>
      <w:r w:rsidRPr="00A90A1B">
        <w:t xml:space="preserve"> tejkaluar n</w:t>
      </w:r>
      <w:r w:rsidR="008E5E92" w:rsidRPr="00A90A1B">
        <w:t>ë</w:t>
      </w:r>
      <w:r w:rsidRPr="00A90A1B">
        <w:t xml:space="preserve"> terma sasior</w:t>
      </w:r>
      <w:r w:rsidR="008E5E92" w:rsidRPr="00A90A1B">
        <w:t>ë</w:t>
      </w:r>
      <w:r w:rsidR="00594379" w:rsidRPr="00A90A1B">
        <w:t xml:space="preserve">, nga </w:t>
      </w:r>
      <w:r w:rsidR="00C80716" w:rsidRPr="00A90A1B">
        <w:t>4</w:t>
      </w:r>
      <w:r w:rsidR="00594379" w:rsidRPr="00A90A1B">
        <w:t>5</w:t>
      </w:r>
      <w:r w:rsidR="003F203D" w:rsidRPr="00A90A1B">
        <w:t>0</w:t>
      </w:r>
      <w:r w:rsidR="00C7600C" w:rsidRPr="00A90A1B">
        <w:t>0 raste të parashikuara për përfaqësim të avokatëve të shtetit në çështjet gjyqësore</w:t>
      </w:r>
      <w:r w:rsidRPr="00A90A1B">
        <w:t xml:space="preserve"> </w:t>
      </w:r>
      <w:r w:rsidR="00C7600C" w:rsidRPr="00A90A1B">
        <w:t xml:space="preserve">janë realizuar </w:t>
      </w:r>
      <w:r w:rsidR="00C80716" w:rsidRPr="00A90A1B">
        <w:t>5882</w:t>
      </w:r>
      <w:r w:rsidRPr="00A90A1B">
        <w:t xml:space="preserve"> </w:t>
      </w:r>
      <w:r w:rsidR="00C7600C" w:rsidRPr="00A90A1B">
        <w:t xml:space="preserve">, si edhe është dhënë “asistencë juridike dhe këshillim” nga avokatët e shtetit. 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AD7E2C" w:rsidP="006C3F9A">
      <w:pPr>
        <w:spacing w:line="276" w:lineRule="auto"/>
        <w:ind w:left="-900"/>
        <w:jc w:val="both"/>
      </w:pPr>
      <w:proofErr w:type="gramStart"/>
      <w:r w:rsidRPr="00A90A1B">
        <w:t xml:space="preserve">“Ndihmë juridike për individët përfitues” </w:t>
      </w:r>
      <w:r w:rsidR="00C7600C" w:rsidRPr="00A90A1B">
        <w:t xml:space="preserve">është realizuar në terma </w:t>
      </w:r>
      <w:r w:rsidR="00033311" w:rsidRPr="00A90A1B">
        <w:t>sasior</w:t>
      </w:r>
      <w:r w:rsidR="00D63FF5" w:rsidRPr="00A90A1B">
        <w:t>ë</w:t>
      </w:r>
      <w:r w:rsidR="00033311" w:rsidRPr="00A90A1B">
        <w:t xml:space="preserve"> </w:t>
      </w:r>
      <w:r w:rsidR="00C7600C" w:rsidRPr="00A90A1B">
        <w:t>produkti</w:t>
      </w:r>
      <w:r w:rsidRPr="00A90A1B">
        <w:t>,</w:t>
      </w:r>
      <w:r w:rsidR="00C7600C" w:rsidRPr="00A90A1B">
        <w:t xml:space="preserve"> nga Komisioni i Ndihmës Juridike.</w:t>
      </w:r>
      <w:proofErr w:type="gramEnd"/>
      <w:r w:rsidR="00C7600C" w:rsidRPr="00A90A1B">
        <w:t xml:space="preserve"> Është parashikuar ofrimi i ndihmës juridike, këshillimit dhe mbrojtjes në pro</w:t>
      </w:r>
      <w:r w:rsidR="00033311" w:rsidRPr="00A90A1B">
        <w:t>ç</w:t>
      </w:r>
      <w:r w:rsidR="00540FB2" w:rsidRPr="00A90A1B">
        <w:t xml:space="preserve">eset penale </w:t>
      </w:r>
      <w:r w:rsidR="00C7600C" w:rsidRPr="00A90A1B">
        <w:t xml:space="preserve">për </w:t>
      </w:r>
      <w:r w:rsidR="00033311" w:rsidRPr="00A90A1B">
        <w:t xml:space="preserve">60 </w:t>
      </w:r>
      <w:r w:rsidR="00C7600C" w:rsidRPr="00A90A1B">
        <w:t>raste për viti</w:t>
      </w:r>
      <w:r w:rsidR="00C80716" w:rsidRPr="00A90A1B">
        <w:t>n</w:t>
      </w:r>
      <w:r w:rsidR="00C7600C" w:rsidRPr="00A90A1B">
        <w:t xml:space="preserve"> 201</w:t>
      </w:r>
      <w:r w:rsidRPr="00A90A1B">
        <w:t>4</w:t>
      </w:r>
      <w:r w:rsidR="00A255E7" w:rsidRPr="00A90A1B">
        <w:t xml:space="preserve"> </w:t>
      </w:r>
      <w:r w:rsidR="00033311" w:rsidRPr="00A90A1B">
        <w:t>jan</w:t>
      </w:r>
      <w:r w:rsidR="00D63FF5" w:rsidRPr="00A90A1B">
        <w:t>ë</w:t>
      </w:r>
      <w:r w:rsidR="00033311" w:rsidRPr="00A90A1B">
        <w:t xml:space="preserve"> realizuar</w:t>
      </w:r>
      <w:r w:rsidR="000D687E" w:rsidRPr="00A90A1B">
        <w:t xml:space="preserve"> </w:t>
      </w:r>
      <w:r w:rsidR="00C80716" w:rsidRPr="00A90A1B">
        <w:t>93</w:t>
      </w:r>
      <w:r w:rsidR="000D687E" w:rsidRPr="00A90A1B">
        <w:t xml:space="preserve"> raste </w:t>
      </w:r>
      <w:r w:rsidR="00B7387F" w:rsidRPr="00A90A1B">
        <w:t>për të cilët j</w:t>
      </w:r>
      <w:r w:rsidR="000D687E" w:rsidRPr="00A90A1B">
        <w:t xml:space="preserve">anë </w:t>
      </w:r>
      <w:r w:rsidR="00B7387F" w:rsidRPr="00A90A1B">
        <w:t xml:space="preserve">bërë </w:t>
      </w:r>
      <w:r w:rsidR="003F203D" w:rsidRPr="00A90A1B">
        <w:t>dhe pjesa m</w:t>
      </w:r>
      <w:r w:rsidR="00D24418" w:rsidRPr="00A90A1B">
        <w:t>ë</w:t>
      </w:r>
      <w:r w:rsidR="003F203D" w:rsidRPr="00A90A1B">
        <w:t xml:space="preserve"> e madhe e likuidimeve</w:t>
      </w:r>
      <w:r w:rsidR="00B7387F" w:rsidRPr="00A90A1B">
        <w:t xml:space="preserve"> në vlerë financiare</w:t>
      </w:r>
      <w:r w:rsidR="00C80716" w:rsidRPr="00A90A1B">
        <w:t>, nj</w:t>
      </w:r>
      <w:r w:rsidR="00A90A1B">
        <w:t>ë</w:t>
      </w:r>
      <w:r w:rsidR="00C80716" w:rsidRPr="00A90A1B">
        <w:t xml:space="preserve"> pjes</w:t>
      </w:r>
      <w:r w:rsidR="00A90A1B">
        <w:t>ë</w:t>
      </w:r>
      <w:r w:rsidR="00C80716" w:rsidRPr="00A90A1B">
        <w:t xml:space="preserve"> e k</w:t>
      </w:r>
      <w:r w:rsidR="00A90A1B">
        <w:t>ë</w:t>
      </w:r>
      <w:r w:rsidR="00C80716" w:rsidRPr="00A90A1B">
        <w:t>tyre likuidimeve do b</w:t>
      </w:r>
      <w:r w:rsidR="00A90A1B">
        <w:t>ë</w:t>
      </w:r>
      <w:r w:rsidR="00C80716" w:rsidRPr="00A90A1B">
        <w:t>het n</w:t>
      </w:r>
      <w:r w:rsidR="00A90A1B">
        <w:t>ë</w:t>
      </w:r>
      <w:r w:rsidR="00C80716" w:rsidRPr="00A90A1B">
        <w:t xml:space="preserve"> vitin pasardh</w:t>
      </w:r>
      <w:r w:rsidR="00A90A1B">
        <w:t>ë</w:t>
      </w:r>
      <w:r w:rsidR="00C80716" w:rsidRPr="00A90A1B">
        <w:t>s</w:t>
      </w:r>
      <w:r w:rsidR="00C7600C" w:rsidRPr="00A90A1B">
        <w:t xml:space="preserve">. 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260E33" w:rsidRPr="00A90A1B" w:rsidRDefault="00260E33" w:rsidP="006F7EF8">
      <w:pPr>
        <w:spacing w:line="276" w:lineRule="auto"/>
        <w:ind w:left="-900"/>
        <w:jc w:val="both"/>
      </w:pPr>
      <w:r w:rsidRPr="00A90A1B">
        <w:t>P</w:t>
      </w:r>
      <w:r w:rsidR="00D63FF5" w:rsidRPr="00A90A1B">
        <w:t>ë</w:t>
      </w:r>
      <w:r w:rsidRPr="00A90A1B">
        <w:t xml:space="preserve">r </w:t>
      </w:r>
      <w:r w:rsidR="00C7600C" w:rsidRPr="00A90A1B">
        <w:t>Agjen</w:t>
      </w:r>
      <w:r w:rsidRPr="00A90A1B">
        <w:t>sin</w:t>
      </w:r>
      <w:r w:rsidR="00D63FF5" w:rsidRPr="00A90A1B">
        <w:t>ë</w:t>
      </w:r>
      <w:r w:rsidRPr="00A90A1B">
        <w:t xml:space="preserve"> e Mbikqyrjes s</w:t>
      </w:r>
      <w:r w:rsidR="00D63FF5" w:rsidRPr="00A90A1B">
        <w:t>ë</w:t>
      </w:r>
      <w:r w:rsidRPr="00A90A1B">
        <w:t xml:space="preserve"> Falimentit </w:t>
      </w:r>
      <w:r w:rsidR="0042483A" w:rsidRPr="00A90A1B">
        <w:t xml:space="preserve">ka </w:t>
      </w:r>
      <w:r w:rsidR="00C7600C" w:rsidRPr="00A90A1B">
        <w:t xml:space="preserve">parashikuar </w:t>
      </w:r>
      <w:proofErr w:type="gramStart"/>
      <w:r w:rsidR="0042483A" w:rsidRPr="00A90A1B">
        <w:t>dy</w:t>
      </w:r>
      <w:proofErr w:type="gramEnd"/>
      <w:r w:rsidR="0042483A" w:rsidRPr="00A90A1B">
        <w:t xml:space="preserve"> produkte “Licensimi i Administrator</w:t>
      </w:r>
      <w:r w:rsidR="008E5E92" w:rsidRPr="00A90A1B">
        <w:t>ë</w:t>
      </w:r>
      <w:r w:rsidR="0042483A" w:rsidRPr="00A90A1B">
        <w:t>ve t</w:t>
      </w:r>
      <w:r w:rsidR="008E5E92" w:rsidRPr="00A90A1B">
        <w:t>ë</w:t>
      </w:r>
      <w:r w:rsidR="0042483A" w:rsidRPr="00A90A1B">
        <w:t xml:space="preserve"> Falimentit” dhe “Mbikqyrja e Administrator</w:t>
      </w:r>
      <w:r w:rsidR="008E5E92" w:rsidRPr="00A90A1B">
        <w:t>ë</w:t>
      </w:r>
      <w:r w:rsidR="0042483A" w:rsidRPr="00A90A1B">
        <w:t xml:space="preserve">ve” </w:t>
      </w:r>
      <w:r w:rsidR="00C7600C" w:rsidRPr="00A90A1B">
        <w:t xml:space="preserve">për </w:t>
      </w:r>
      <w:r w:rsidR="003F203D" w:rsidRPr="00A90A1B">
        <w:t>periudh</w:t>
      </w:r>
      <w:r w:rsidR="00D24418" w:rsidRPr="00A90A1B">
        <w:t>ë</w:t>
      </w:r>
      <w:r w:rsidR="00C80716" w:rsidRPr="00A90A1B">
        <w:t>n 12</w:t>
      </w:r>
      <w:r w:rsidR="003F203D" w:rsidRPr="00A90A1B">
        <w:t>-mujore</w:t>
      </w:r>
      <w:r w:rsidR="00C7600C" w:rsidRPr="00A90A1B">
        <w:t>, nga veprimt</w:t>
      </w:r>
      <w:r w:rsidR="0042483A" w:rsidRPr="00A90A1B">
        <w:t>aria e këtij institucioni jan</w:t>
      </w:r>
      <w:r w:rsidR="008E5E92" w:rsidRPr="00A90A1B">
        <w:t>ë</w:t>
      </w:r>
      <w:r w:rsidR="0042483A" w:rsidRPr="00A90A1B">
        <w:t xml:space="preserve"> mbikqyrur 6 administrator</w:t>
      </w:r>
      <w:r w:rsidR="008E5E92" w:rsidRPr="00A90A1B">
        <w:t>ë</w:t>
      </w:r>
      <w:r w:rsidR="0042483A" w:rsidRPr="00A90A1B">
        <w:t xml:space="preserve"> nga 10 t</w:t>
      </w:r>
      <w:r w:rsidR="008E5E92" w:rsidRPr="00A90A1B">
        <w:t>ë</w:t>
      </w:r>
      <w:r w:rsidR="0042483A" w:rsidRPr="00A90A1B">
        <w:t xml:space="preserve"> planifikuar</w:t>
      </w:r>
      <w:r w:rsidR="00B7387F" w:rsidRPr="00A90A1B">
        <w:t>.</w:t>
      </w:r>
      <w:r w:rsidR="00AD629B" w:rsidRPr="00A90A1B">
        <w:t xml:space="preserve"> </w:t>
      </w:r>
      <w:proofErr w:type="gramStart"/>
      <w:r w:rsidR="00B7387F" w:rsidRPr="00A90A1B">
        <w:t xml:space="preserve">Agjensia e Mbikqyrjes së Falimentit është </w:t>
      </w:r>
      <w:r w:rsidR="003F203D" w:rsidRPr="00A90A1B">
        <w:t xml:space="preserve">duke punuar </w:t>
      </w:r>
      <w:r w:rsidR="00B7387F" w:rsidRPr="00A90A1B">
        <w:t xml:space="preserve">në </w:t>
      </w:r>
      <w:r w:rsidR="00F005DF" w:rsidRPr="00A90A1B">
        <w:t xml:space="preserve">hartimin </w:t>
      </w:r>
      <w:r w:rsidR="00B7387F" w:rsidRPr="00A90A1B">
        <w:t>e ligjit për f</w:t>
      </w:r>
      <w:r w:rsidR="00F005DF" w:rsidRPr="00A90A1B">
        <w:t>alimentin</w:t>
      </w:r>
      <w:r w:rsidR="00B7387F" w:rsidRPr="00A90A1B">
        <w:t>.</w:t>
      </w:r>
      <w:proofErr w:type="gramEnd"/>
      <w:r w:rsidR="00C7600C" w:rsidRPr="00A90A1B">
        <w:t xml:space="preserve"> </w:t>
      </w:r>
    </w:p>
    <w:p w:rsidR="00C80716" w:rsidRPr="00A90A1B" w:rsidRDefault="00C80716" w:rsidP="006F7EF8">
      <w:pPr>
        <w:spacing w:line="276" w:lineRule="auto"/>
        <w:ind w:left="-900"/>
        <w:jc w:val="both"/>
      </w:pPr>
    </w:p>
    <w:p w:rsidR="00BF5CA7" w:rsidRPr="00A90A1B" w:rsidRDefault="00C80716" w:rsidP="006C3F9A">
      <w:pPr>
        <w:spacing w:line="276" w:lineRule="auto"/>
        <w:ind w:left="-900"/>
        <w:jc w:val="both"/>
      </w:pPr>
      <w:proofErr w:type="gramStart"/>
      <w:r w:rsidRPr="00A90A1B">
        <w:t>N</w:t>
      </w:r>
      <w:r w:rsidR="00A90A1B">
        <w:t>ë</w:t>
      </w:r>
      <w:r w:rsidRPr="00A90A1B">
        <w:t xml:space="preserve"> lidhje me shpenzimet kapitale jan</w:t>
      </w:r>
      <w:r w:rsidR="00A90A1B">
        <w:t>ë</w:t>
      </w:r>
      <w:r w:rsidRPr="00A90A1B">
        <w:t xml:space="preserve"> parashikuar 11 produkte nga t</w:t>
      </w:r>
      <w:r w:rsidR="00A90A1B">
        <w:t>ë</w:t>
      </w:r>
      <w:r w:rsidRPr="00A90A1B">
        <w:t xml:space="preserve"> cil</w:t>
      </w:r>
      <w:r w:rsidR="00A90A1B">
        <w:t>ë</w:t>
      </w:r>
      <w:r w:rsidRPr="00A90A1B">
        <w:t>t shtat</w:t>
      </w:r>
      <w:r w:rsidR="00A90A1B">
        <w:t>ë</w:t>
      </w:r>
      <w:r w:rsidRPr="00A90A1B">
        <w:t xml:space="preserve"> jan</w:t>
      </w:r>
      <w:r w:rsidR="00A90A1B">
        <w:t>ë</w:t>
      </w:r>
      <w:r w:rsidRPr="00A90A1B">
        <w:t xml:space="preserve"> realizuar plot</w:t>
      </w:r>
      <w:r w:rsidR="00A90A1B">
        <w:t>ë</w:t>
      </w:r>
      <w:r w:rsidRPr="00A90A1B">
        <w:t>sisht n</w:t>
      </w:r>
      <w:r w:rsidR="00A90A1B">
        <w:t>ë</w:t>
      </w:r>
      <w:r w:rsidRPr="00A90A1B">
        <w:t xml:space="preserve"> terma financiar</w:t>
      </w:r>
      <w:r w:rsidR="00A90A1B">
        <w:t>ë</w:t>
      </w:r>
      <w:r w:rsidRPr="00A90A1B">
        <w:t>.</w:t>
      </w:r>
      <w:proofErr w:type="gramEnd"/>
      <w:r w:rsidRPr="00A90A1B">
        <w:t xml:space="preserve"> </w:t>
      </w:r>
      <w:proofErr w:type="gramStart"/>
      <w:r w:rsidRPr="00A90A1B">
        <w:t>K</w:t>
      </w:r>
      <w:r w:rsidR="00A90A1B">
        <w:t>ë</w:t>
      </w:r>
      <w:r w:rsidRPr="00A90A1B">
        <w:t>to projekte jan</w:t>
      </w:r>
      <w:r w:rsidR="00A90A1B">
        <w:t>ë</w:t>
      </w:r>
      <w:r w:rsidRPr="00A90A1B">
        <w:t xml:space="preserve"> “Sistem i mbikqyrjes elektronike i mir</w:t>
      </w:r>
      <w:r w:rsidR="00A90A1B">
        <w:t>ë</w:t>
      </w:r>
      <w:r w:rsidRPr="00A90A1B">
        <w:t>mbajtur dhe zgjeruar”, “Rikonstruksioni i Arkiv</w:t>
      </w:r>
      <w:r w:rsidR="00A90A1B">
        <w:t>ë</w:t>
      </w:r>
      <w:r w:rsidRPr="00A90A1B">
        <w:t>s Gjyq</w:t>
      </w:r>
      <w:r w:rsidR="00A90A1B">
        <w:t>ë</w:t>
      </w:r>
      <w:r w:rsidRPr="00A90A1B">
        <w:t>sore n</w:t>
      </w:r>
      <w:r w:rsidR="00A90A1B">
        <w:t>ë</w:t>
      </w:r>
      <w:r w:rsidRPr="00A90A1B">
        <w:t xml:space="preserve"> Lund</w:t>
      </w:r>
      <w:r w:rsidR="00A90A1B">
        <w:t>ë</w:t>
      </w:r>
      <w:r w:rsidRPr="00A90A1B">
        <w:t>r”, “Blerje Pajisje Policie p</w:t>
      </w:r>
      <w:r w:rsidR="00A90A1B">
        <w:t>ë</w:t>
      </w:r>
      <w:r w:rsidRPr="00A90A1B">
        <w:t>r drejtorin</w:t>
      </w:r>
      <w:r w:rsidR="00A90A1B">
        <w:t>ë</w:t>
      </w:r>
      <w:r w:rsidRPr="00A90A1B">
        <w:t xml:space="preserve"> e Burgjeve “, “Rikonstruksioni i Burgut 313”, “Blerje Pajisje Printimi Digitale p</w:t>
      </w:r>
      <w:r w:rsidR="00A90A1B">
        <w:t>ë</w:t>
      </w:r>
      <w:r w:rsidRPr="00A90A1B">
        <w:t>r QBZ”</w:t>
      </w:r>
      <w:r w:rsidR="00BF5CA7" w:rsidRPr="00A90A1B">
        <w:t>,</w:t>
      </w:r>
      <w:r w:rsidR="00A90A1B">
        <w:t xml:space="preserve"> </w:t>
      </w:r>
      <w:r w:rsidR="00BF5CA7" w:rsidRPr="00A90A1B">
        <w:t>“</w:t>
      </w:r>
      <w:r w:rsidRPr="00A90A1B">
        <w:t xml:space="preserve">Sistemi </w:t>
      </w:r>
      <w:r w:rsidR="00A90A1B">
        <w:t>i</w:t>
      </w:r>
      <w:r w:rsidRPr="00A90A1B">
        <w:t xml:space="preserve"> Kamerave ne godin</w:t>
      </w:r>
      <w:r w:rsidR="00A90A1B">
        <w:t>ë</w:t>
      </w:r>
      <w:r w:rsidRPr="00A90A1B">
        <w:t>n e MD</w:t>
      </w:r>
      <w:r w:rsidR="00BF5CA7" w:rsidRPr="00A90A1B">
        <w:t>” dhe “Mir</w:t>
      </w:r>
      <w:r w:rsidR="00A90A1B">
        <w:t>ë</w:t>
      </w:r>
      <w:r w:rsidR="00BF5CA7" w:rsidRPr="00A90A1B">
        <w:t>mbajtje dhe zhvillim i sistemit ICMIS”.</w:t>
      </w:r>
      <w:proofErr w:type="gramEnd"/>
      <w:r w:rsidR="00251EA9" w:rsidRPr="00A90A1B">
        <w:t xml:space="preserve"> Detyrimi i M</w:t>
      </w:r>
      <w:r w:rsidR="00A90A1B">
        <w:t>i</w:t>
      </w:r>
      <w:r w:rsidR="00251EA9" w:rsidRPr="00A90A1B">
        <w:t>nistris</w:t>
      </w:r>
      <w:r w:rsidR="00A90A1B">
        <w:t>ë</w:t>
      </w:r>
      <w:r w:rsidR="00251EA9" w:rsidRPr="00A90A1B">
        <w:t xml:space="preserve"> p</w:t>
      </w:r>
      <w:r w:rsidR="00A90A1B">
        <w:t>ë</w:t>
      </w:r>
      <w:r w:rsidR="00251EA9" w:rsidRPr="00A90A1B">
        <w:t xml:space="preserve">r TVSh dhe </w:t>
      </w:r>
      <w:proofErr w:type="gramStart"/>
      <w:r w:rsidR="00251EA9" w:rsidRPr="00A90A1B">
        <w:t>Kosto  lokale</w:t>
      </w:r>
      <w:proofErr w:type="gramEnd"/>
      <w:r w:rsidR="00251EA9" w:rsidRPr="00A90A1B">
        <w:t xml:space="preserve"> </w:t>
      </w:r>
      <w:r w:rsidR="00A90A1B">
        <w:t>ë</w:t>
      </w:r>
      <w:r w:rsidR="00251EA9" w:rsidRPr="00A90A1B">
        <w:t>sht</w:t>
      </w:r>
      <w:r w:rsidR="00A90A1B">
        <w:t>ë</w:t>
      </w:r>
      <w:r w:rsidR="00251EA9" w:rsidRPr="00A90A1B">
        <w:t xml:space="preserve"> realizuar 80.4% n</w:t>
      </w:r>
      <w:r w:rsidR="00A90A1B">
        <w:t>ë</w:t>
      </w:r>
      <w:r w:rsidR="00251EA9" w:rsidRPr="00A90A1B">
        <w:t xml:space="preserve"> vijim t</w:t>
      </w:r>
      <w:r w:rsidR="00A90A1B">
        <w:t>ë</w:t>
      </w:r>
      <w:r w:rsidR="00251EA9" w:rsidRPr="00A90A1B">
        <w:t xml:space="preserve"> faturave t</w:t>
      </w:r>
      <w:r w:rsidR="00A90A1B">
        <w:t>ë</w:t>
      </w:r>
      <w:r w:rsidR="00251EA9" w:rsidRPr="00A90A1B">
        <w:t xml:space="preserve"> sjella nga Subjektet.</w:t>
      </w:r>
    </w:p>
    <w:p w:rsidR="00C80716" w:rsidRPr="00A90A1B" w:rsidRDefault="00C80716" w:rsidP="00C80716">
      <w:pPr>
        <w:jc w:val="both"/>
      </w:pPr>
    </w:p>
    <w:p w:rsidR="00C80716" w:rsidRPr="00A90A1B" w:rsidRDefault="00C80716" w:rsidP="00C80716">
      <w:pPr>
        <w:ind w:left="-900"/>
        <w:jc w:val="both"/>
      </w:pPr>
    </w:p>
    <w:p w:rsidR="00C80716" w:rsidRPr="00A90A1B" w:rsidRDefault="00C80716" w:rsidP="00C80716">
      <w:pPr>
        <w:jc w:val="both"/>
        <w:rPr>
          <w:rFonts w:ascii="Arial" w:hAnsi="Arial" w:cs="Arial"/>
          <w:sz w:val="16"/>
          <w:szCs w:val="16"/>
        </w:rPr>
      </w:pPr>
    </w:p>
    <w:p w:rsidR="00C80716" w:rsidRPr="00A90A1B" w:rsidRDefault="00C80716" w:rsidP="00C80716">
      <w:pPr>
        <w:jc w:val="both"/>
        <w:rPr>
          <w:rFonts w:ascii="Arial" w:hAnsi="Arial" w:cs="Arial"/>
          <w:sz w:val="16"/>
          <w:szCs w:val="16"/>
        </w:rPr>
      </w:pPr>
    </w:p>
    <w:p w:rsidR="00C80716" w:rsidRPr="00A90A1B" w:rsidRDefault="00C80716" w:rsidP="00C80716">
      <w:pPr>
        <w:jc w:val="both"/>
        <w:rPr>
          <w:rFonts w:ascii="Arial" w:hAnsi="Arial" w:cs="Arial"/>
          <w:sz w:val="16"/>
          <w:szCs w:val="16"/>
        </w:rPr>
      </w:pPr>
    </w:p>
    <w:p w:rsidR="00C80716" w:rsidRPr="00A90A1B" w:rsidRDefault="00C80716" w:rsidP="00C80716">
      <w:pPr>
        <w:jc w:val="both"/>
        <w:rPr>
          <w:rFonts w:ascii="Arial" w:hAnsi="Arial" w:cs="Arial"/>
          <w:sz w:val="16"/>
          <w:szCs w:val="16"/>
        </w:rPr>
      </w:pPr>
    </w:p>
    <w:p w:rsidR="00C80716" w:rsidRPr="00A90A1B" w:rsidRDefault="00C80716" w:rsidP="006F7EF8">
      <w:pPr>
        <w:spacing w:line="276" w:lineRule="auto"/>
        <w:ind w:left="-900"/>
        <w:jc w:val="both"/>
      </w:pPr>
    </w:p>
    <w:p w:rsidR="00C80716" w:rsidRPr="00A90A1B" w:rsidRDefault="00C80716" w:rsidP="006F7EF8">
      <w:pPr>
        <w:spacing w:line="276" w:lineRule="auto"/>
        <w:ind w:left="-900"/>
        <w:jc w:val="both"/>
      </w:pPr>
    </w:p>
    <w:p w:rsidR="00C80716" w:rsidRPr="00A90A1B" w:rsidRDefault="00C80716" w:rsidP="006F7EF8">
      <w:pPr>
        <w:spacing w:line="276" w:lineRule="auto"/>
        <w:ind w:left="-900"/>
        <w:jc w:val="both"/>
      </w:pPr>
    </w:p>
    <w:p w:rsidR="00C80716" w:rsidRPr="00A90A1B" w:rsidRDefault="00C80716" w:rsidP="006F7EF8">
      <w:pPr>
        <w:spacing w:line="276" w:lineRule="auto"/>
        <w:ind w:left="-900"/>
        <w:jc w:val="both"/>
      </w:pPr>
    </w:p>
    <w:p w:rsidR="00DE7FF6" w:rsidRPr="00A90A1B" w:rsidRDefault="00C7600C" w:rsidP="006F7EF8">
      <w:pPr>
        <w:spacing w:line="276" w:lineRule="auto"/>
        <w:ind w:left="-900"/>
        <w:jc w:val="both"/>
      </w:pPr>
      <w:r w:rsidRPr="00A90A1B">
        <w:lastRenderedPageBreak/>
        <w:t xml:space="preserve">                          </w:t>
      </w:r>
    </w:p>
    <w:p w:rsidR="00C7600C" w:rsidRPr="00A90A1B" w:rsidRDefault="00C7600C" w:rsidP="006F7EF8">
      <w:pPr>
        <w:spacing w:line="276" w:lineRule="auto"/>
        <w:ind w:left="-900"/>
        <w:jc w:val="center"/>
        <w:rPr>
          <w:b/>
        </w:rPr>
      </w:pPr>
      <w:r w:rsidRPr="00A90A1B">
        <w:rPr>
          <w:b/>
        </w:rPr>
        <w:t>2.   Programi “Që</w:t>
      </w:r>
      <w:r w:rsidR="00AF2460" w:rsidRPr="00A90A1B">
        <w:rPr>
          <w:b/>
        </w:rPr>
        <w:t>ndra e Botimeve</w:t>
      </w:r>
      <w:r w:rsidRPr="00A90A1B">
        <w:rPr>
          <w:b/>
        </w:rPr>
        <w:t xml:space="preserve"> Zyrtare”</w:t>
      </w:r>
    </w:p>
    <w:p w:rsidR="00C7600C" w:rsidRPr="00A90A1B" w:rsidRDefault="00C7600C" w:rsidP="006F7EF8">
      <w:pPr>
        <w:spacing w:line="276" w:lineRule="auto"/>
        <w:ind w:left="-900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-900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>Reali</w:t>
      </w:r>
      <w:r w:rsidR="00F005DF" w:rsidRPr="00A90A1B">
        <w:t>zimi i shpenzimeve të viti</w:t>
      </w:r>
      <w:r w:rsidR="005D7CB3" w:rsidRPr="00A90A1B">
        <w:t>t</w:t>
      </w:r>
      <w:r w:rsidR="00F005DF" w:rsidRPr="00A90A1B">
        <w:t xml:space="preserve"> 2014 për </w:t>
      </w:r>
      <w:r w:rsidRPr="00A90A1B">
        <w:t xml:space="preserve">këtë program, i krahasuar me planin e </w:t>
      </w:r>
      <w:r w:rsidR="00F005DF" w:rsidRPr="00A90A1B">
        <w:t>periudhës</w:t>
      </w:r>
      <w:r w:rsidRPr="00A90A1B">
        <w:t xml:space="preserve">, është në </w:t>
      </w:r>
      <w:r w:rsidRPr="00A90A1B">
        <w:rPr>
          <w:b/>
        </w:rPr>
        <w:t xml:space="preserve">masën </w:t>
      </w:r>
      <w:r w:rsidR="000375E0" w:rsidRPr="00A90A1B">
        <w:rPr>
          <w:b/>
        </w:rPr>
        <w:t>88</w:t>
      </w:r>
      <w:r w:rsidR="00DE7FF6" w:rsidRPr="00A90A1B">
        <w:rPr>
          <w:b/>
        </w:rPr>
        <w:t>.</w:t>
      </w:r>
      <w:r w:rsidR="000375E0" w:rsidRPr="00A90A1B">
        <w:rPr>
          <w:b/>
        </w:rPr>
        <w:t>15</w:t>
      </w:r>
      <w:r w:rsidRPr="00A90A1B">
        <w:rPr>
          <w:b/>
        </w:rPr>
        <w:t xml:space="preserve"> %, </w:t>
      </w:r>
      <w:r w:rsidRPr="00A90A1B">
        <w:t xml:space="preserve">ose sipas zërave kryesorë: 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0C62E2" w:rsidRPr="00A90A1B" w:rsidRDefault="000C62E2" w:rsidP="006F7EF8">
      <w:pPr>
        <w:spacing w:line="276" w:lineRule="auto"/>
        <w:ind w:left="-900"/>
        <w:jc w:val="both"/>
      </w:pPr>
    </w:p>
    <w:p w:rsidR="00C7600C" w:rsidRPr="00A90A1B" w:rsidRDefault="00C7600C" w:rsidP="000C62E2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>Shpenzimet e personelit                            8</w:t>
      </w:r>
      <w:r w:rsidR="000375E0" w:rsidRPr="00A90A1B">
        <w:rPr>
          <w:b w:val="0"/>
          <w:bCs w:val="0"/>
          <w:lang w:val="da-DK"/>
        </w:rPr>
        <w:t>8</w:t>
      </w:r>
      <w:r w:rsidR="00EF687D" w:rsidRPr="00A90A1B">
        <w:rPr>
          <w:b w:val="0"/>
          <w:bCs w:val="0"/>
          <w:lang w:val="da-DK"/>
        </w:rPr>
        <w:t>.</w:t>
      </w:r>
      <w:r w:rsidR="000375E0" w:rsidRPr="00A90A1B">
        <w:rPr>
          <w:b w:val="0"/>
          <w:bCs w:val="0"/>
          <w:lang w:val="da-DK"/>
        </w:rPr>
        <w:t>51</w:t>
      </w:r>
      <w:r w:rsidRPr="00A90A1B">
        <w:rPr>
          <w:b w:val="0"/>
          <w:bCs w:val="0"/>
          <w:lang w:val="da-DK"/>
        </w:rPr>
        <w:t xml:space="preserve"> % </w:t>
      </w:r>
    </w:p>
    <w:p w:rsidR="00C7600C" w:rsidRPr="00A90A1B" w:rsidRDefault="00C7600C" w:rsidP="000C62E2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 </w:t>
      </w:r>
      <w:r w:rsidR="00DE7FF6" w:rsidRPr="00A90A1B">
        <w:rPr>
          <w:b w:val="0"/>
          <w:bCs w:val="0"/>
        </w:rPr>
        <w:t xml:space="preserve">  </w:t>
      </w:r>
      <w:r w:rsidRPr="00A90A1B">
        <w:rPr>
          <w:b w:val="0"/>
          <w:bCs w:val="0"/>
        </w:rPr>
        <w:t xml:space="preserve"> </w:t>
      </w:r>
      <w:r w:rsidR="000375E0" w:rsidRPr="00A90A1B">
        <w:rPr>
          <w:b w:val="0"/>
          <w:bCs w:val="0"/>
        </w:rPr>
        <w:t>87.65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0C62E2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                                 </w:t>
      </w:r>
      <w:r w:rsidR="000375E0" w:rsidRPr="00A90A1B">
        <w:rPr>
          <w:b w:val="0"/>
          <w:bCs w:val="0"/>
        </w:rPr>
        <w:t>97.14</w:t>
      </w:r>
      <w:r w:rsidRPr="00A90A1B">
        <w:rPr>
          <w:b w:val="0"/>
          <w:bCs w:val="0"/>
        </w:rPr>
        <w:t>%</w:t>
      </w:r>
    </w:p>
    <w:p w:rsidR="00C7600C" w:rsidRPr="00A90A1B" w:rsidRDefault="00C7600C" w:rsidP="006F7EF8">
      <w:pPr>
        <w:pStyle w:val="Subtitle"/>
        <w:spacing w:line="276" w:lineRule="auto"/>
        <w:ind w:left="1080"/>
        <w:jc w:val="both"/>
      </w:pPr>
      <w:r w:rsidRPr="00A90A1B">
        <w:t xml:space="preserve">                Gjithsej                                        </w:t>
      </w:r>
      <w:r w:rsidR="000375E0" w:rsidRPr="00A90A1B">
        <w:t>88</w:t>
      </w:r>
      <w:r w:rsidR="00DE7FF6" w:rsidRPr="00A90A1B">
        <w:t>.</w:t>
      </w:r>
      <w:r w:rsidR="000375E0" w:rsidRPr="00A90A1B">
        <w:t>15</w:t>
      </w:r>
      <w:r w:rsidRPr="00A90A1B">
        <w:t>%</w:t>
      </w:r>
    </w:p>
    <w:p w:rsidR="005D7CB3" w:rsidRPr="00A90A1B" w:rsidRDefault="005D7CB3" w:rsidP="006F7EF8">
      <w:pPr>
        <w:pStyle w:val="Subtitle"/>
        <w:spacing w:line="276" w:lineRule="auto"/>
        <w:ind w:left="1080"/>
        <w:jc w:val="both"/>
      </w:pPr>
    </w:p>
    <w:p w:rsidR="005D7CB3" w:rsidRPr="00A90A1B" w:rsidRDefault="005D7CB3" w:rsidP="006F7EF8">
      <w:pPr>
        <w:pStyle w:val="Subtitle"/>
        <w:spacing w:line="276" w:lineRule="auto"/>
        <w:ind w:left="1080"/>
        <w:jc w:val="both"/>
      </w:pPr>
    </w:p>
    <w:p w:rsidR="005D7CB3" w:rsidRPr="00A90A1B" w:rsidRDefault="000375E0" w:rsidP="006F7EF8">
      <w:pPr>
        <w:pStyle w:val="Subtitle"/>
        <w:spacing w:line="276" w:lineRule="auto"/>
        <w:ind w:left="1080"/>
        <w:jc w:val="both"/>
      </w:pPr>
      <w:r w:rsidRPr="00A90A1B">
        <w:rPr>
          <w:noProof/>
          <w:lang w:val="en-US"/>
        </w:rPr>
        <w:drawing>
          <wp:inline distT="0" distB="0" distL="0" distR="0" wp14:anchorId="571FBDB6" wp14:editId="77BDCC53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7CB3" w:rsidRPr="00A90A1B" w:rsidRDefault="005D7CB3" w:rsidP="006F7EF8">
      <w:pPr>
        <w:pStyle w:val="Subtitle"/>
        <w:spacing w:line="276" w:lineRule="auto"/>
        <w:ind w:left="1080"/>
        <w:jc w:val="both"/>
      </w:pPr>
    </w:p>
    <w:p w:rsidR="00C7600C" w:rsidRPr="00A90A1B" w:rsidRDefault="00C7600C" w:rsidP="006F7EF8">
      <w:pPr>
        <w:pStyle w:val="Subtitle"/>
        <w:spacing w:line="276" w:lineRule="auto"/>
        <w:ind w:left="1080"/>
        <w:jc w:val="both"/>
      </w:pPr>
    </w:p>
    <w:p w:rsidR="00C7600C" w:rsidRPr="00A90A1B" w:rsidRDefault="00C7600C" w:rsidP="006F7EF8">
      <w:pPr>
        <w:spacing w:line="276" w:lineRule="auto"/>
        <w:ind w:left="-851"/>
        <w:jc w:val="both"/>
      </w:pPr>
      <w:r w:rsidRPr="00A90A1B">
        <w:t xml:space="preserve"> </w:t>
      </w:r>
      <w:proofErr w:type="gramStart"/>
      <w:r w:rsidRPr="00A90A1B">
        <w:t xml:space="preserve">Siç shihet, realizimi i shpenzimeve të programit është </w:t>
      </w:r>
      <w:r w:rsidR="001C5074" w:rsidRPr="00A90A1B">
        <w:t>n</w:t>
      </w:r>
      <w:r w:rsidR="000D54BA" w:rsidRPr="00A90A1B">
        <w:t>ë</w:t>
      </w:r>
      <w:r w:rsidR="001C5074" w:rsidRPr="00A90A1B">
        <w:t xml:space="preserve"> shifra </w:t>
      </w:r>
      <w:r w:rsidR="00EF687D" w:rsidRPr="00A90A1B">
        <w:t>optimale</w:t>
      </w:r>
      <w:r w:rsidRPr="00A90A1B">
        <w:t>,</w:t>
      </w:r>
      <w:r w:rsidR="00301428" w:rsidRPr="00A90A1B">
        <w:t xml:space="preserve"> si në shpenzimet e personelit </w:t>
      </w:r>
      <w:r w:rsidR="001C5074" w:rsidRPr="00A90A1B">
        <w:t>dhe</w:t>
      </w:r>
      <w:r w:rsidR="00301428" w:rsidRPr="00A90A1B">
        <w:t xml:space="preserve"> </w:t>
      </w:r>
      <w:r w:rsidRPr="00A90A1B">
        <w:t>në shpenzimet operative</w:t>
      </w:r>
      <w:r w:rsidR="00301428" w:rsidRPr="00A90A1B">
        <w:t>.</w:t>
      </w:r>
      <w:proofErr w:type="gramEnd"/>
      <w:r w:rsidRPr="00A90A1B">
        <w:t xml:space="preserve"> </w:t>
      </w: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ind w:left="-851"/>
        <w:jc w:val="both"/>
      </w:pPr>
      <w:r w:rsidRPr="00A90A1B">
        <w:t xml:space="preserve">Për </w:t>
      </w:r>
      <w:r w:rsidR="001C5074" w:rsidRPr="00A90A1B">
        <w:t>viti</w:t>
      </w:r>
      <w:r w:rsidR="000375E0" w:rsidRPr="00A90A1B">
        <w:t>n</w:t>
      </w:r>
      <w:r w:rsidRPr="00A90A1B">
        <w:t xml:space="preserve"> 201</w:t>
      </w:r>
      <w:r w:rsidR="001C5074" w:rsidRPr="00A90A1B">
        <w:t>4</w:t>
      </w:r>
      <w:r w:rsidRPr="00A90A1B">
        <w:t xml:space="preserve"> janë parashikuar </w:t>
      </w:r>
      <w:r w:rsidR="00EF687D" w:rsidRPr="00A90A1B">
        <w:t>5</w:t>
      </w:r>
      <w:r w:rsidRPr="00A90A1B">
        <w:t xml:space="preserve"> produkte të programit, “</w:t>
      </w:r>
      <w:r w:rsidR="001C5074" w:rsidRPr="00A90A1B">
        <w:t>Publikimi i fletores zyrtare”, “P</w:t>
      </w:r>
      <w:r w:rsidR="000D54BA" w:rsidRPr="00A90A1B">
        <w:t>ë</w:t>
      </w:r>
      <w:r w:rsidR="001C5074" w:rsidRPr="00A90A1B">
        <w:t>rdit</w:t>
      </w:r>
      <w:r w:rsidR="000D54BA" w:rsidRPr="00A90A1B">
        <w:t>ë</w:t>
      </w:r>
      <w:r w:rsidR="001C5074" w:rsidRPr="00A90A1B">
        <w:t>simi i Legjislacionit”</w:t>
      </w:r>
      <w:r w:rsidR="00EF687D" w:rsidRPr="00A90A1B">
        <w:t>,</w:t>
      </w:r>
      <w:r w:rsidRPr="00A90A1B">
        <w:t xml:space="preserve"> “Publik</w:t>
      </w:r>
      <w:r w:rsidR="00301428" w:rsidRPr="00A90A1B">
        <w:t xml:space="preserve">imi </w:t>
      </w:r>
      <w:r w:rsidR="00E23BE0" w:rsidRPr="00A90A1B">
        <w:t>i Buletinit t</w:t>
      </w:r>
      <w:r w:rsidR="0061663F" w:rsidRPr="00A90A1B">
        <w:t>ë</w:t>
      </w:r>
      <w:r w:rsidR="00E23BE0" w:rsidRPr="00A90A1B">
        <w:t xml:space="preserve"> Njoftimeve</w:t>
      </w:r>
      <w:r w:rsidR="00301428" w:rsidRPr="00A90A1B">
        <w:t>”</w:t>
      </w:r>
      <w:r w:rsidR="00E23BE0" w:rsidRPr="00A90A1B">
        <w:t>, “Botime t</w:t>
      </w:r>
      <w:r w:rsidR="0061663F" w:rsidRPr="00A90A1B">
        <w:t>ë</w:t>
      </w:r>
      <w:r w:rsidR="00E23BE0" w:rsidRPr="00A90A1B">
        <w:t xml:space="preserve"> tjera” dhe “Publikimi n</w:t>
      </w:r>
      <w:r w:rsidR="0061663F" w:rsidRPr="00A90A1B">
        <w:t>ë</w:t>
      </w:r>
      <w:r w:rsidR="00E23BE0" w:rsidRPr="00A90A1B">
        <w:t xml:space="preserve"> Internet i Botimeve”</w:t>
      </w:r>
      <w:r w:rsidR="00301428" w:rsidRPr="00A90A1B">
        <w:t>.</w:t>
      </w:r>
      <w:r w:rsidRPr="00A90A1B">
        <w:t>Produkti i parë “Publikimi i</w:t>
      </w:r>
      <w:r w:rsidR="00E23BE0" w:rsidRPr="00A90A1B">
        <w:t xml:space="preserve"> fletores zyrtare” </w:t>
      </w:r>
      <w:r w:rsidR="00A90A1B">
        <w:t>ë</w:t>
      </w:r>
      <w:r w:rsidR="002B7744" w:rsidRPr="00A90A1B">
        <w:t>sht</w:t>
      </w:r>
      <w:r w:rsidR="00A90A1B">
        <w:t>ë</w:t>
      </w:r>
      <w:r w:rsidR="002B7744" w:rsidRPr="00A90A1B">
        <w:t xml:space="preserve"> tejkaluar nga 220 fletore zyrtare të planifikuara janë realizuar realizuar 289 kurse produkti i dyt</w:t>
      </w:r>
      <w:r w:rsidR="00A90A1B">
        <w:t>ë</w:t>
      </w:r>
      <w:r w:rsidR="00E23BE0" w:rsidRPr="00A90A1B">
        <w:t xml:space="preserve"> “Përditësimi i Legjislacionit” u realizuan plotës</w:t>
      </w:r>
      <w:r w:rsidRPr="00A90A1B">
        <w:t xml:space="preserve">isht, </w:t>
      </w:r>
      <w:r w:rsidR="00301428" w:rsidRPr="00A90A1B">
        <w:t xml:space="preserve">nga </w:t>
      </w:r>
      <w:r w:rsidR="002B7744" w:rsidRPr="00A90A1B">
        <w:t>200</w:t>
      </w:r>
      <w:r w:rsidR="00301428" w:rsidRPr="00A90A1B">
        <w:t xml:space="preserve"> </w:t>
      </w:r>
      <w:r w:rsidR="00E23BE0" w:rsidRPr="00A90A1B">
        <w:t>ligje u p</w:t>
      </w:r>
      <w:r w:rsidR="0061663F" w:rsidRPr="00A90A1B">
        <w:t>ë</w:t>
      </w:r>
      <w:r w:rsidR="00E23BE0" w:rsidRPr="00A90A1B">
        <w:t>rdit</w:t>
      </w:r>
      <w:r w:rsidR="0061663F" w:rsidRPr="00A90A1B">
        <w:t>ë</w:t>
      </w:r>
      <w:r w:rsidR="00E23BE0" w:rsidRPr="00A90A1B">
        <w:t xml:space="preserve">suan </w:t>
      </w:r>
      <w:r w:rsidR="002B7744" w:rsidRPr="00A90A1B">
        <w:t>200</w:t>
      </w:r>
      <w:r w:rsidR="001C5074" w:rsidRPr="00A90A1B">
        <w:t>.</w:t>
      </w:r>
      <w:r w:rsidR="0061663F" w:rsidRPr="00A90A1B">
        <w:t xml:space="preserve"> </w:t>
      </w:r>
      <w:proofErr w:type="gramStart"/>
      <w:r w:rsidR="0061663F" w:rsidRPr="00A90A1B">
        <w:t>“Publikimi i Buletinit të Njoftimeve” dhe “Botime të tjera” nuk janë realizuar.</w:t>
      </w:r>
      <w:proofErr w:type="gramEnd"/>
      <w:r w:rsidRPr="00A90A1B">
        <w:t xml:space="preserve"> </w:t>
      </w:r>
      <w:proofErr w:type="gramStart"/>
      <w:r w:rsidR="00301428" w:rsidRPr="00A90A1B">
        <w:t xml:space="preserve">Produkti i </w:t>
      </w:r>
      <w:r w:rsidR="0061663F" w:rsidRPr="00A90A1B">
        <w:t>pes</w:t>
      </w:r>
      <w:r w:rsidR="00301428" w:rsidRPr="00A90A1B">
        <w:t>t</w:t>
      </w:r>
      <w:r w:rsidR="00474A81" w:rsidRPr="00A90A1B">
        <w:t>ë</w:t>
      </w:r>
      <w:r w:rsidR="00301428" w:rsidRPr="00A90A1B">
        <w:t xml:space="preserve"> </w:t>
      </w:r>
      <w:r w:rsidRPr="00A90A1B">
        <w:t>“Publikimi në internet”</w:t>
      </w:r>
      <w:r w:rsidR="00474A81" w:rsidRPr="00A90A1B">
        <w:t>ë</w:t>
      </w:r>
      <w:r w:rsidR="000C53EE" w:rsidRPr="00A90A1B">
        <w:t>sht</w:t>
      </w:r>
      <w:r w:rsidR="00474A81" w:rsidRPr="00A90A1B">
        <w:t>ë</w:t>
      </w:r>
      <w:r w:rsidR="000C53EE" w:rsidRPr="00A90A1B">
        <w:t xml:space="preserve"> realizuar pjes</w:t>
      </w:r>
      <w:r w:rsidR="00474A81" w:rsidRPr="00A90A1B">
        <w:t>ë</w:t>
      </w:r>
      <w:r w:rsidR="000C53EE" w:rsidRPr="00A90A1B">
        <w:t>risht</w:t>
      </w:r>
      <w:r w:rsidRPr="00A90A1B">
        <w:t xml:space="preserve">, pasi </w:t>
      </w:r>
      <w:r w:rsidR="000C53EE" w:rsidRPr="00A90A1B">
        <w:t xml:space="preserve">plani ishte </w:t>
      </w:r>
      <w:r w:rsidR="002B7744" w:rsidRPr="00A90A1B">
        <w:t>420</w:t>
      </w:r>
      <w:r w:rsidR="000C53EE" w:rsidRPr="00A90A1B">
        <w:t xml:space="preserve"> botime dhe </w:t>
      </w:r>
      <w:r w:rsidRPr="00A90A1B">
        <w:t xml:space="preserve">janë publikuar në internet </w:t>
      </w:r>
      <w:r w:rsidR="00163439" w:rsidRPr="00A90A1B">
        <w:t>vet</w:t>
      </w:r>
      <w:r w:rsidR="000D54BA" w:rsidRPr="00A90A1B">
        <w:t>ë</w:t>
      </w:r>
      <w:r w:rsidR="00163439" w:rsidRPr="00A90A1B">
        <w:t xml:space="preserve">m </w:t>
      </w:r>
      <w:r w:rsidR="002B7744" w:rsidRPr="00A90A1B">
        <w:t>28</w:t>
      </w:r>
      <w:r w:rsidR="0061663F" w:rsidRPr="00A90A1B">
        <w:t>9</w:t>
      </w:r>
      <w:r w:rsidR="000C53EE" w:rsidRPr="00A90A1B">
        <w:t xml:space="preserve"> botime</w:t>
      </w:r>
      <w:r w:rsidRPr="00A90A1B">
        <w:t>.</w:t>
      </w:r>
      <w:proofErr w:type="gramEnd"/>
      <w:r w:rsidRPr="00A90A1B">
        <w:t xml:space="preserve"> </w:t>
      </w:r>
      <w:proofErr w:type="gramStart"/>
      <w:r w:rsidR="00163439" w:rsidRPr="00A90A1B">
        <w:t>P</w:t>
      </w:r>
      <w:r w:rsidR="000D54BA" w:rsidRPr="00A90A1B">
        <w:t>ë</w:t>
      </w:r>
      <w:r w:rsidR="00163439" w:rsidRPr="00A90A1B">
        <w:t>r publikimin elektronik t</w:t>
      </w:r>
      <w:r w:rsidR="000D54BA" w:rsidRPr="00A90A1B">
        <w:t>ë</w:t>
      </w:r>
      <w:r w:rsidR="00163439" w:rsidRPr="00A90A1B">
        <w:t xml:space="preserve"> t</w:t>
      </w:r>
      <w:r w:rsidR="000D54BA" w:rsidRPr="00A90A1B">
        <w:t>ë</w:t>
      </w:r>
      <w:r w:rsidR="00163439" w:rsidRPr="00A90A1B">
        <w:t xml:space="preserve"> gjith</w:t>
      </w:r>
      <w:r w:rsidR="000D54BA" w:rsidRPr="00A90A1B">
        <w:t>ë</w:t>
      </w:r>
      <w:r w:rsidR="00163439" w:rsidRPr="00A90A1B">
        <w:t xml:space="preserve"> numrave t</w:t>
      </w:r>
      <w:r w:rsidR="000D54BA" w:rsidRPr="00A90A1B">
        <w:t>ë</w:t>
      </w:r>
      <w:r w:rsidR="00163439" w:rsidRPr="00A90A1B">
        <w:t xml:space="preserve"> serive t</w:t>
      </w:r>
      <w:r w:rsidR="000D54BA" w:rsidRPr="00A90A1B">
        <w:t>ë</w:t>
      </w:r>
      <w:r w:rsidR="00163439" w:rsidRPr="00A90A1B">
        <w:t xml:space="preserve"> Fletoreve Zyrtare </w:t>
      </w:r>
      <w:r w:rsidR="000D54BA" w:rsidRPr="00A90A1B">
        <w:t>ë</w:t>
      </w:r>
      <w:r w:rsidR="00163439" w:rsidRPr="00A90A1B">
        <w:t>sht</w:t>
      </w:r>
      <w:r w:rsidR="000D54BA" w:rsidRPr="00A90A1B">
        <w:t>ë</w:t>
      </w:r>
      <w:r w:rsidR="00163439" w:rsidRPr="00A90A1B">
        <w:t xml:space="preserve"> b</w:t>
      </w:r>
      <w:r w:rsidR="000D54BA" w:rsidRPr="00A90A1B">
        <w:t>ë</w:t>
      </w:r>
      <w:r w:rsidR="00163439" w:rsidRPr="00A90A1B">
        <w:t>r</w:t>
      </w:r>
      <w:r w:rsidR="000D54BA" w:rsidRPr="00A90A1B">
        <w:t>ë</w:t>
      </w:r>
      <w:r w:rsidR="00163439" w:rsidRPr="00A90A1B">
        <w:t xml:space="preserve"> penges</w:t>
      </w:r>
      <w:r w:rsidR="000D54BA" w:rsidRPr="00A90A1B">
        <w:t>ë</w:t>
      </w:r>
      <w:r w:rsidR="00163439" w:rsidRPr="00A90A1B">
        <w:t xml:space="preserve"> mungesa e nj</w:t>
      </w:r>
      <w:r w:rsidR="000D54BA" w:rsidRPr="00A90A1B">
        <w:t>ë</w:t>
      </w:r>
      <w:r w:rsidR="00163439" w:rsidRPr="00A90A1B">
        <w:t xml:space="preserve"> soft</w:t>
      </w:r>
      <w:r w:rsidR="00A90A1B">
        <w:t>ë</w:t>
      </w:r>
      <w:r w:rsidR="00163439" w:rsidRPr="00A90A1B">
        <w:t>are.</w:t>
      </w:r>
      <w:proofErr w:type="gramEnd"/>
    </w:p>
    <w:p w:rsidR="0061663F" w:rsidRPr="00A90A1B" w:rsidRDefault="0061663F" w:rsidP="006F7EF8">
      <w:pPr>
        <w:spacing w:line="276" w:lineRule="auto"/>
        <w:ind w:left="-851"/>
        <w:jc w:val="both"/>
      </w:pPr>
      <w:r w:rsidRPr="00A90A1B">
        <w:t xml:space="preserve">Për </w:t>
      </w:r>
      <w:proofErr w:type="gramStart"/>
      <w:r w:rsidRPr="00A90A1B">
        <w:t>sa</w:t>
      </w:r>
      <w:proofErr w:type="gramEnd"/>
      <w:r w:rsidRPr="00A90A1B">
        <w:t xml:space="preserve"> i përket shpenzimeve kapitale </w:t>
      </w:r>
      <w:r w:rsidR="002B7744" w:rsidRPr="00A90A1B">
        <w:t>ato jan</w:t>
      </w:r>
      <w:r w:rsidR="00A90A1B">
        <w:t>ë</w:t>
      </w:r>
      <w:r w:rsidR="002B7744" w:rsidRPr="00A90A1B">
        <w:t xml:space="preserve"> realizuar plot</w:t>
      </w:r>
      <w:r w:rsidR="00A90A1B">
        <w:t>ë</w:t>
      </w:r>
      <w:r w:rsidR="002B7744" w:rsidRPr="00A90A1B">
        <w:t>sisht.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13253B" w:rsidRPr="00A90A1B" w:rsidRDefault="00C7600C" w:rsidP="006F7EF8">
      <w:pPr>
        <w:spacing w:line="276" w:lineRule="auto"/>
        <w:ind w:left="-900"/>
        <w:jc w:val="both"/>
      </w:pPr>
      <w:r w:rsidRPr="00A90A1B">
        <w:t xml:space="preserve">                      </w:t>
      </w:r>
    </w:p>
    <w:p w:rsidR="005D7CB3" w:rsidRPr="00A90A1B" w:rsidRDefault="005D7CB3" w:rsidP="0013253B">
      <w:pPr>
        <w:spacing w:line="276" w:lineRule="auto"/>
        <w:ind w:left="-900"/>
        <w:jc w:val="center"/>
        <w:rPr>
          <w:b/>
        </w:rPr>
      </w:pPr>
    </w:p>
    <w:p w:rsidR="005D7CB3" w:rsidRPr="00A90A1B" w:rsidRDefault="005D7CB3" w:rsidP="0013253B">
      <w:pPr>
        <w:spacing w:line="276" w:lineRule="auto"/>
        <w:ind w:left="-900"/>
        <w:jc w:val="center"/>
        <w:rPr>
          <w:b/>
        </w:rPr>
      </w:pPr>
    </w:p>
    <w:p w:rsidR="00C7600C" w:rsidRPr="00A90A1B" w:rsidRDefault="00C7600C" w:rsidP="0013253B">
      <w:pPr>
        <w:spacing w:line="276" w:lineRule="auto"/>
        <w:ind w:left="-900"/>
        <w:jc w:val="center"/>
        <w:rPr>
          <w:b/>
        </w:rPr>
      </w:pPr>
      <w:r w:rsidRPr="00A90A1B">
        <w:rPr>
          <w:b/>
        </w:rPr>
        <w:t>3.</w:t>
      </w:r>
      <w:r w:rsidRPr="00A90A1B">
        <w:t xml:space="preserve">   </w:t>
      </w:r>
      <w:r w:rsidRPr="00A90A1B">
        <w:rPr>
          <w:b/>
        </w:rPr>
        <w:t>Programi “Instituti i Mjeksisë Ligjore”</w:t>
      </w:r>
    </w:p>
    <w:p w:rsidR="00C7600C" w:rsidRPr="00A90A1B" w:rsidRDefault="00C7600C" w:rsidP="0013253B">
      <w:pPr>
        <w:spacing w:line="276" w:lineRule="auto"/>
        <w:ind w:left="-900"/>
        <w:jc w:val="center"/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Ky</w:t>
      </w:r>
      <w:proofErr w:type="gramEnd"/>
      <w:r w:rsidRPr="00A90A1B">
        <w:t xml:space="preserve"> </w:t>
      </w:r>
      <w:r w:rsidR="00542758" w:rsidRPr="00A90A1B">
        <w:t>program, për viti</w:t>
      </w:r>
      <w:r w:rsidR="002B7744" w:rsidRPr="00A90A1B">
        <w:t>n</w:t>
      </w:r>
      <w:r w:rsidR="00542758" w:rsidRPr="00A90A1B">
        <w:t xml:space="preserve"> </w:t>
      </w:r>
      <w:r w:rsidRPr="00A90A1B">
        <w:t>201</w:t>
      </w:r>
      <w:r w:rsidR="00E03D13" w:rsidRPr="00A90A1B">
        <w:t>4</w:t>
      </w:r>
      <w:r w:rsidRPr="00A90A1B">
        <w:t xml:space="preserve">, ka realizuar treguesit e shpenzimeve në </w:t>
      </w:r>
      <w:r w:rsidRPr="00A90A1B">
        <w:rPr>
          <w:b/>
        </w:rPr>
        <w:t xml:space="preserve">masën </w:t>
      </w:r>
      <w:r w:rsidR="00983C64" w:rsidRPr="00A90A1B">
        <w:rPr>
          <w:b/>
        </w:rPr>
        <w:t>99</w:t>
      </w:r>
      <w:r w:rsidR="00317113" w:rsidRPr="00A90A1B">
        <w:rPr>
          <w:b/>
        </w:rPr>
        <w:t>.</w:t>
      </w:r>
      <w:r w:rsidR="00983C64" w:rsidRPr="00A90A1B">
        <w:rPr>
          <w:b/>
        </w:rPr>
        <w:t>59</w:t>
      </w:r>
      <w:r w:rsidR="00542758" w:rsidRPr="00A90A1B">
        <w:rPr>
          <w:b/>
        </w:rPr>
        <w:t xml:space="preserve"> </w:t>
      </w:r>
      <w:r w:rsidRPr="00A90A1B">
        <w:rPr>
          <w:b/>
        </w:rPr>
        <w:t xml:space="preserve">%. </w:t>
      </w:r>
      <w:r w:rsidRPr="00A90A1B">
        <w:t xml:space="preserve">Krahasuar me planin e </w:t>
      </w:r>
      <w:r w:rsidR="00542758" w:rsidRPr="00A90A1B">
        <w:t>periudh</w:t>
      </w:r>
      <w:r w:rsidR="000D54BA" w:rsidRPr="00A90A1B">
        <w:t>ë</w:t>
      </w:r>
      <w:r w:rsidR="00542758" w:rsidRPr="00A90A1B">
        <w:t>s</w:t>
      </w:r>
      <w:r w:rsidRPr="00A90A1B">
        <w:t>, realizimi i zërave është si më poshtë: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0C62E2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 xml:space="preserve">Shpenzimet e personelit                        </w:t>
      </w:r>
      <w:r w:rsidR="00317113" w:rsidRPr="00A90A1B">
        <w:rPr>
          <w:b w:val="0"/>
          <w:bCs w:val="0"/>
          <w:lang w:val="da-DK"/>
        </w:rPr>
        <w:t>9</w:t>
      </w:r>
      <w:r w:rsidR="00983C64" w:rsidRPr="00A90A1B">
        <w:rPr>
          <w:b w:val="0"/>
          <w:bCs w:val="0"/>
          <w:lang w:val="da-DK"/>
        </w:rPr>
        <w:t>9</w:t>
      </w:r>
      <w:r w:rsidR="00317113" w:rsidRPr="00A90A1B">
        <w:rPr>
          <w:b w:val="0"/>
          <w:bCs w:val="0"/>
          <w:lang w:val="da-DK"/>
        </w:rPr>
        <w:t>.</w:t>
      </w:r>
      <w:r w:rsidR="00983C64" w:rsidRPr="00A90A1B">
        <w:rPr>
          <w:b w:val="0"/>
          <w:bCs w:val="0"/>
          <w:lang w:val="da-DK"/>
        </w:rPr>
        <w:t>33</w:t>
      </w:r>
      <w:r w:rsidRPr="00A90A1B">
        <w:rPr>
          <w:b w:val="0"/>
          <w:bCs w:val="0"/>
          <w:lang w:val="da-DK"/>
        </w:rPr>
        <w:t xml:space="preserve"> % </w:t>
      </w:r>
    </w:p>
    <w:p w:rsidR="00C7600C" w:rsidRPr="00A90A1B" w:rsidRDefault="00C7600C" w:rsidP="000C62E2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</w:t>
      </w:r>
      <w:r w:rsidR="00983C64" w:rsidRPr="00A90A1B">
        <w:rPr>
          <w:b w:val="0"/>
          <w:bCs w:val="0"/>
        </w:rPr>
        <w:t>100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0C62E2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                             </w:t>
      </w:r>
      <w:r w:rsidR="00983C64" w:rsidRPr="00A90A1B">
        <w:rPr>
          <w:b w:val="0"/>
          <w:bCs w:val="0"/>
        </w:rPr>
        <w:t>99.91</w:t>
      </w:r>
      <w:r w:rsidRPr="00A90A1B">
        <w:rPr>
          <w:b w:val="0"/>
          <w:bCs w:val="0"/>
        </w:rPr>
        <w:t xml:space="preserve"> %</w:t>
      </w:r>
    </w:p>
    <w:p w:rsidR="00AD210F" w:rsidRPr="00A90A1B" w:rsidRDefault="00C7600C" w:rsidP="006F7EF8">
      <w:pPr>
        <w:pStyle w:val="Subtitle"/>
        <w:spacing w:line="276" w:lineRule="auto"/>
        <w:ind w:left="1080"/>
        <w:jc w:val="both"/>
      </w:pPr>
      <w:r w:rsidRPr="00A90A1B">
        <w:t xml:space="preserve">         </w:t>
      </w:r>
    </w:p>
    <w:p w:rsidR="00C7600C" w:rsidRPr="00A90A1B" w:rsidRDefault="00AD210F" w:rsidP="006F7EF8">
      <w:pPr>
        <w:pStyle w:val="Subtitle"/>
        <w:spacing w:line="276" w:lineRule="auto"/>
        <w:ind w:left="1080"/>
        <w:jc w:val="both"/>
      </w:pPr>
      <w:r w:rsidRPr="00A90A1B">
        <w:t xml:space="preserve">            </w:t>
      </w:r>
      <w:r w:rsidR="00C7600C" w:rsidRPr="00A90A1B">
        <w:t xml:space="preserve">Gjithsej                                           </w:t>
      </w:r>
      <w:r w:rsidR="00983C64" w:rsidRPr="00A90A1B">
        <w:t>99</w:t>
      </w:r>
      <w:r w:rsidR="00E16F69" w:rsidRPr="00A90A1B">
        <w:t>.</w:t>
      </w:r>
      <w:r w:rsidR="00983C64" w:rsidRPr="00A90A1B">
        <w:t>59</w:t>
      </w:r>
      <w:r w:rsidR="00C7600C" w:rsidRPr="00A90A1B">
        <w:t xml:space="preserve"> %</w:t>
      </w:r>
    </w:p>
    <w:p w:rsidR="005F4C82" w:rsidRPr="00A90A1B" w:rsidRDefault="005F4C82" w:rsidP="006F7EF8">
      <w:pPr>
        <w:pStyle w:val="Subtitle"/>
        <w:spacing w:line="276" w:lineRule="auto"/>
        <w:ind w:left="1080"/>
        <w:jc w:val="both"/>
      </w:pPr>
    </w:p>
    <w:p w:rsidR="005F4C82" w:rsidRPr="00A90A1B" w:rsidRDefault="005F4C82" w:rsidP="006F7EF8">
      <w:pPr>
        <w:pStyle w:val="Subtitle"/>
        <w:spacing w:line="276" w:lineRule="auto"/>
        <w:ind w:left="1080"/>
        <w:jc w:val="both"/>
      </w:pPr>
      <w:r w:rsidRPr="00A90A1B">
        <w:rPr>
          <w:noProof/>
          <w:lang w:val="en-US"/>
        </w:rPr>
        <w:drawing>
          <wp:inline distT="0" distB="0" distL="0" distR="0" wp14:anchorId="6AF4ACE8" wp14:editId="479A250F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F4C82" w:rsidRPr="00A90A1B" w:rsidRDefault="005F4C82" w:rsidP="006F7EF8">
      <w:pPr>
        <w:pStyle w:val="Subtitle"/>
        <w:spacing w:line="276" w:lineRule="auto"/>
        <w:ind w:left="108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 xml:space="preserve">Pra, siç shihet, realizimi i shpenzimeve të personelit, operative </w:t>
      </w:r>
      <w:r w:rsidR="00983C64" w:rsidRPr="00A90A1B">
        <w:t xml:space="preserve">dhe shpenzimeve kapitale </w:t>
      </w:r>
      <w:r w:rsidRPr="00A90A1B">
        <w:t xml:space="preserve">është në </w:t>
      </w:r>
      <w:r w:rsidR="00E16F69" w:rsidRPr="00A90A1B">
        <w:t xml:space="preserve">nivel </w:t>
      </w:r>
      <w:r w:rsidR="00983C64" w:rsidRPr="00A90A1B">
        <w:t>shuim</w:t>
      </w:r>
      <w:r w:rsidR="00A90A1B">
        <w:t>ë</w:t>
      </w:r>
      <w:r w:rsidR="00983C64" w:rsidRPr="00A90A1B">
        <w:t xml:space="preserve"> </w:t>
      </w:r>
      <w:r w:rsidR="00E16F69" w:rsidRPr="00A90A1B">
        <w:t>t</w:t>
      </w:r>
      <w:r w:rsidR="0061663F" w:rsidRPr="00A90A1B">
        <w:t>ë</w:t>
      </w:r>
      <w:r w:rsidR="00E16F69" w:rsidRPr="00A90A1B">
        <w:t xml:space="preserve"> lart</w:t>
      </w:r>
      <w:r w:rsidR="0061663F" w:rsidRPr="00A90A1B">
        <w:t>ë</w:t>
      </w:r>
      <w:r w:rsidRPr="00A90A1B">
        <w:t xml:space="preserve">, kjo tregon për një punë </w:t>
      </w:r>
      <w:r w:rsidR="00E16F69" w:rsidRPr="00A90A1B">
        <w:t>shum</w:t>
      </w:r>
      <w:r w:rsidR="0061663F" w:rsidRPr="00A90A1B">
        <w:t>ë</w:t>
      </w:r>
      <w:r w:rsidR="00E16F69" w:rsidRPr="00A90A1B">
        <w:t xml:space="preserve"> </w:t>
      </w:r>
      <w:r w:rsidRPr="00A90A1B">
        <w:t xml:space="preserve">të mirë të personelit të institucionit, pasi ka shfrytëzuar fondet e akorduara, duke përmbushur kështu objektivat e planifikuara. </w:t>
      </w:r>
    </w:p>
    <w:p w:rsidR="00E03D13" w:rsidRPr="00A90A1B" w:rsidRDefault="00E03D13" w:rsidP="006F7EF8">
      <w:pPr>
        <w:spacing w:line="276" w:lineRule="auto"/>
        <w:ind w:left="-900"/>
        <w:jc w:val="both"/>
      </w:pPr>
    </w:p>
    <w:p w:rsidR="001C4FE2" w:rsidRPr="00A90A1B" w:rsidRDefault="00E03D13" w:rsidP="006F7EF8">
      <w:pPr>
        <w:spacing w:line="276" w:lineRule="auto"/>
        <w:ind w:left="-900"/>
        <w:jc w:val="both"/>
      </w:pPr>
      <w:r w:rsidRPr="00A90A1B">
        <w:t>Për viti</w:t>
      </w:r>
      <w:r w:rsidR="00983C64" w:rsidRPr="00A90A1B">
        <w:t>n</w:t>
      </w:r>
      <w:r w:rsidRPr="00A90A1B">
        <w:t xml:space="preserve"> 2014</w:t>
      </w:r>
      <w:r w:rsidR="00C7600C" w:rsidRPr="00A90A1B">
        <w:t xml:space="preserve">, ky institucion ka parashikuar </w:t>
      </w:r>
      <w:r w:rsidRPr="00A90A1B">
        <w:t>8</w:t>
      </w:r>
      <w:r w:rsidR="00C7600C" w:rsidRPr="00A90A1B">
        <w:t xml:space="preserve"> produkte, </w:t>
      </w:r>
      <w:r w:rsidR="008762BB" w:rsidRPr="00A90A1B">
        <w:t xml:space="preserve"> Aktet e ekspertimit mjeko-ligjor (dokumenta çështje), Aktet Dëshmi-Ligjore, </w:t>
      </w:r>
      <w:r w:rsidR="00205D4E" w:rsidRPr="00A90A1B">
        <w:t>Aktet ekspertimi Toksikologjiko</w:t>
      </w:r>
      <w:r w:rsidR="008762BB" w:rsidRPr="00A90A1B">
        <w:t xml:space="preserve">–Ligjor, Aktet ekspertimi Psikiatriko-Ligjor, Aktet ekspertimi Mjeko-Ligjor (autopsi), Aktet ekspertimi Biologjiko-Ligjor, Aktet ekspertimi Histopatologjiko-Ligjor dhe Menaxhimi i punës në institut. Produktet në përgjithësi janë </w:t>
      </w:r>
      <w:r w:rsidR="00983C64" w:rsidRPr="00A90A1B">
        <w:t>realizuar, 4 prej tyre jan</w:t>
      </w:r>
      <w:r w:rsidR="00A90A1B">
        <w:t>ë</w:t>
      </w:r>
      <w:r w:rsidR="00983C64" w:rsidRPr="00A90A1B">
        <w:t xml:space="preserve"> e kan</w:t>
      </w:r>
      <w:r w:rsidR="00A90A1B">
        <w:t>ë</w:t>
      </w:r>
      <w:r w:rsidR="00983C64" w:rsidRPr="00A90A1B">
        <w:t xml:space="preserve"> tejkaluar planin p</w:t>
      </w:r>
      <w:r w:rsidR="00A90A1B">
        <w:t>ë</w:t>
      </w:r>
      <w:r w:rsidR="00983C64" w:rsidRPr="00A90A1B">
        <w:t>r k</w:t>
      </w:r>
      <w:r w:rsidR="00A90A1B">
        <w:t>ë</w:t>
      </w:r>
      <w:r w:rsidR="00983C64" w:rsidRPr="00A90A1B">
        <w:t>t</w:t>
      </w:r>
      <w:r w:rsidR="00A90A1B">
        <w:t>ë</w:t>
      </w:r>
      <w:r w:rsidR="00983C64" w:rsidRPr="00A90A1B">
        <w:t xml:space="preserve"> vit,</w:t>
      </w:r>
      <w:r w:rsidR="002803FD">
        <w:t xml:space="preserve"> një</w:t>
      </w:r>
      <w:r w:rsidR="00983C64" w:rsidRPr="00A90A1B">
        <w:t xml:space="preserve"> </w:t>
      </w:r>
      <w:r w:rsidR="00A90A1B">
        <w:t>ë</w:t>
      </w:r>
      <w:r w:rsidR="00983C64" w:rsidRPr="00A90A1B">
        <w:t>sht</w:t>
      </w:r>
      <w:r w:rsidR="00A90A1B">
        <w:t>ë</w:t>
      </w:r>
      <w:r w:rsidR="00983C64" w:rsidRPr="00A90A1B">
        <w:t xml:space="preserve"> </w:t>
      </w:r>
      <w:r w:rsidR="008762BB" w:rsidRPr="00A90A1B">
        <w:t xml:space="preserve">realizuar </w:t>
      </w:r>
      <w:r w:rsidR="00983C64" w:rsidRPr="00A90A1B">
        <w:t>plot</w:t>
      </w:r>
      <w:r w:rsidR="00A90A1B">
        <w:t>ë</w:t>
      </w:r>
      <w:r w:rsidR="00983C64" w:rsidRPr="00A90A1B">
        <w:t>sisht (</w:t>
      </w:r>
      <w:r w:rsidR="008762BB" w:rsidRPr="00A90A1B">
        <w:t>100%</w:t>
      </w:r>
      <w:r w:rsidR="00983C64" w:rsidRPr="00A90A1B">
        <w:t>) dhe tre</w:t>
      </w:r>
      <w:r w:rsidR="00B33E38" w:rsidRPr="00A90A1B">
        <w:t xml:space="preserve"> prej tyre jan</w:t>
      </w:r>
      <w:r w:rsidR="0061663F" w:rsidRPr="00A90A1B">
        <w:t>ë</w:t>
      </w:r>
      <w:r w:rsidR="00B33E38" w:rsidRPr="00A90A1B">
        <w:t xml:space="preserve"> realizuar </w:t>
      </w:r>
      <w:r w:rsidR="00983C64" w:rsidRPr="00A90A1B">
        <w:t>pjes</w:t>
      </w:r>
      <w:r w:rsidR="00A90A1B">
        <w:t>ë</w:t>
      </w:r>
      <w:r w:rsidR="00983C64" w:rsidRPr="00A90A1B">
        <w:t xml:space="preserve">risht (rreth </w:t>
      </w:r>
      <w:r w:rsidR="00B33E38" w:rsidRPr="00A90A1B">
        <w:t>9</w:t>
      </w:r>
      <w:r w:rsidR="00983C64" w:rsidRPr="00A90A1B">
        <w:t>1.3</w:t>
      </w:r>
      <w:r w:rsidR="00B33E38" w:rsidRPr="00A90A1B">
        <w:t xml:space="preserve"> %</w:t>
      </w:r>
      <w:r w:rsidR="00983C64" w:rsidRPr="00A90A1B">
        <w:t>)</w:t>
      </w:r>
      <w:r w:rsidR="008762BB" w:rsidRPr="00A90A1B">
        <w:t xml:space="preserve">. Kjo ndodh pasi është e pamundur që të kemi një parashikim fiks se </w:t>
      </w:r>
      <w:proofErr w:type="gramStart"/>
      <w:r w:rsidR="008762BB" w:rsidRPr="00A90A1B">
        <w:t>sa</w:t>
      </w:r>
      <w:proofErr w:type="gramEnd"/>
      <w:r w:rsidR="008762BB" w:rsidRPr="00A90A1B">
        <w:t xml:space="preserve"> akte do të bëhen, pasi nuk mund të parashikojmë me saktësi sa do të jetë dhuna në familje, apo aksidentet rrugore etj. </w:t>
      </w:r>
      <w:r w:rsidR="00983C64" w:rsidRPr="00A90A1B">
        <w:t>Produkti i</w:t>
      </w:r>
      <w:r w:rsidR="008762BB" w:rsidRPr="00A90A1B">
        <w:t xml:space="preserve"> par</w:t>
      </w:r>
      <w:r w:rsidR="00A90A1B">
        <w:t>ë</w:t>
      </w:r>
      <w:r w:rsidR="008762BB" w:rsidRPr="00A90A1B">
        <w:t xml:space="preserve"> Aktet e ekspertimit m</w:t>
      </w:r>
      <w:r w:rsidR="00983C64" w:rsidRPr="00A90A1B">
        <w:t>jeko-ligjor (dokumenta çështje) nga 2.800 akte t</w:t>
      </w:r>
      <w:r w:rsidR="00A90A1B">
        <w:t>ë</w:t>
      </w:r>
      <w:r w:rsidR="00983C64" w:rsidRPr="00A90A1B">
        <w:t xml:space="preserve"> planifikuara jan</w:t>
      </w:r>
      <w:r w:rsidR="00A90A1B">
        <w:t>ë</w:t>
      </w:r>
      <w:r w:rsidR="00983C64" w:rsidRPr="00A90A1B">
        <w:t xml:space="preserve"> realizuar 2.409</w:t>
      </w:r>
      <w:r w:rsidR="008762BB" w:rsidRPr="00A90A1B">
        <w:t xml:space="preserve"> </w:t>
      </w:r>
      <w:r w:rsidR="00115A11" w:rsidRPr="00A90A1B">
        <w:t xml:space="preserve">pra </w:t>
      </w:r>
      <w:r w:rsidR="00A90A1B">
        <w:t>ë</w:t>
      </w:r>
      <w:r w:rsidR="00115A11" w:rsidRPr="00A90A1B">
        <w:t>sht</w:t>
      </w:r>
      <w:r w:rsidR="00A90A1B">
        <w:t>ë</w:t>
      </w:r>
      <w:r w:rsidR="00115A11" w:rsidRPr="00A90A1B">
        <w:t xml:space="preserve"> realizuar pjes</w:t>
      </w:r>
      <w:r w:rsidR="00A90A1B">
        <w:t>ë</w:t>
      </w:r>
      <w:r w:rsidR="00115A11" w:rsidRPr="00A90A1B">
        <w:t xml:space="preserve">risht, gjithashtu Aktet ekspertimi Toksikologjiko–Ligjor dhe Aktet ekspertimi Biologjiko-Ligjor </w:t>
      </w:r>
      <w:r w:rsidR="008762BB" w:rsidRPr="00A90A1B">
        <w:t>jan</w:t>
      </w:r>
      <w:r w:rsidR="000D54BA" w:rsidRPr="00A90A1B">
        <w:t>ë</w:t>
      </w:r>
      <w:r w:rsidR="008762BB" w:rsidRPr="00A90A1B">
        <w:t xml:space="preserve"> realizuar p</w:t>
      </w:r>
      <w:r w:rsidR="00115A11" w:rsidRPr="00A90A1B">
        <w:t>jes</w:t>
      </w:r>
      <w:r w:rsidR="000D54BA" w:rsidRPr="00A90A1B">
        <w:t>ë</w:t>
      </w:r>
      <w:r w:rsidR="00115A11" w:rsidRPr="00A90A1B">
        <w:t>r</w:t>
      </w:r>
      <w:r w:rsidR="008762BB" w:rsidRPr="00A90A1B">
        <w:t xml:space="preserve">isht sipas parashikimit </w:t>
      </w:r>
      <w:r w:rsidR="008762BB" w:rsidRPr="00A90A1B">
        <w:lastRenderedPageBreak/>
        <w:t>t</w:t>
      </w:r>
      <w:r w:rsidR="000D54BA" w:rsidRPr="00A90A1B">
        <w:t>ë</w:t>
      </w:r>
      <w:r w:rsidR="008762BB" w:rsidRPr="00A90A1B">
        <w:t xml:space="preserve"> b</w:t>
      </w:r>
      <w:r w:rsidR="000D54BA" w:rsidRPr="00A90A1B">
        <w:t>ë</w:t>
      </w:r>
      <w:r w:rsidR="008762BB" w:rsidRPr="00A90A1B">
        <w:t>r</w:t>
      </w:r>
      <w:r w:rsidR="000D54BA" w:rsidRPr="00A90A1B">
        <w:t>ë</w:t>
      </w:r>
      <w:r w:rsidR="008762BB" w:rsidRPr="00A90A1B">
        <w:t xml:space="preserve"> nga Instituti i Mjek</w:t>
      </w:r>
      <w:r w:rsidR="000D54BA" w:rsidRPr="00A90A1B">
        <w:t>ë</w:t>
      </w:r>
      <w:r w:rsidR="008762BB" w:rsidRPr="00A90A1B">
        <w:t>sis</w:t>
      </w:r>
      <w:r w:rsidR="000D54BA" w:rsidRPr="00A90A1B">
        <w:t>ë</w:t>
      </w:r>
      <w:r w:rsidR="008762BB" w:rsidRPr="00A90A1B">
        <w:t xml:space="preserve"> Ligjore</w:t>
      </w:r>
      <w:r w:rsidR="00115A11" w:rsidRPr="00A90A1B">
        <w:t xml:space="preserve"> respektivisht nga 2.270 t</w:t>
      </w:r>
      <w:r w:rsidR="00A90A1B">
        <w:t>ë</w:t>
      </w:r>
      <w:r w:rsidR="00115A11" w:rsidRPr="00A90A1B">
        <w:t xml:space="preserve"> planifikuar jan</w:t>
      </w:r>
      <w:r w:rsidR="00A90A1B">
        <w:t>ë</w:t>
      </w:r>
      <w:r w:rsidR="00115A11" w:rsidRPr="00A90A1B">
        <w:t xml:space="preserve"> realizuar 2.210 dhe nga 70 t</w:t>
      </w:r>
      <w:r w:rsidR="00A90A1B">
        <w:t>ë</w:t>
      </w:r>
      <w:r w:rsidR="00115A11" w:rsidRPr="00A90A1B">
        <w:t xml:space="preserve"> planifikuara jan</w:t>
      </w:r>
      <w:r w:rsidR="00A90A1B">
        <w:t>ë</w:t>
      </w:r>
      <w:r w:rsidR="00115A11" w:rsidRPr="00A90A1B">
        <w:t xml:space="preserve"> realizuar 64.</w:t>
      </w:r>
      <w:r w:rsidR="008762BB" w:rsidRPr="00A90A1B">
        <w:t xml:space="preserve"> </w:t>
      </w:r>
      <w:r w:rsidR="00115A11" w:rsidRPr="00A90A1B">
        <w:t>P</w:t>
      </w:r>
      <w:r w:rsidR="008762BB" w:rsidRPr="00A90A1B">
        <w:t xml:space="preserve">ër sa i përket produktit, Aktet histopatologjik, vihet re një rritje shumë e madhe nga parashikimi, nga </w:t>
      </w:r>
      <w:r w:rsidR="00115A11" w:rsidRPr="00A90A1B">
        <w:t>50</w:t>
      </w:r>
      <w:r w:rsidR="008762BB" w:rsidRPr="00A90A1B">
        <w:t xml:space="preserve"> t</w:t>
      </w:r>
      <w:r w:rsidR="000D54BA" w:rsidRPr="00A90A1B">
        <w:t>ë</w:t>
      </w:r>
      <w:r w:rsidR="008762BB" w:rsidRPr="00A90A1B">
        <w:t xml:space="preserve"> parashikuara jan</w:t>
      </w:r>
      <w:r w:rsidR="000D54BA" w:rsidRPr="00A90A1B">
        <w:t>ë</w:t>
      </w:r>
      <w:r w:rsidR="008762BB" w:rsidRPr="00A90A1B">
        <w:t xml:space="preserve"> realizuar </w:t>
      </w:r>
      <w:r w:rsidR="00115A11" w:rsidRPr="00A90A1B">
        <w:t>95</w:t>
      </w:r>
      <w:r w:rsidR="008762BB" w:rsidRPr="00A90A1B">
        <w:t xml:space="preserve"> akte kjo për shkak të ndryshimit të politikave të ndjekuara në realizimin e analizave histopatologjike, të cilat aktualisht realizohen detyrimisht për çdo autopsi. </w:t>
      </w:r>
      <w:proofErr w:type="gramStart"/>
      <w:r w:rsidR="008762BB" w:rsidRPr="00A90A1B">
        <w:t>Gjithashtu dhe p</w:t>
      </w:r>
      <w:r w:rsidR="000D54BA" w:rsidRPr="00A90A1B">
        <w:t>ë</w:t>
      </w:r>
      <w:r w:rsidR="008762BB" w:rsidRPr="00A90A1B">
        <w:t xml:space="preserve">r produktin Aktet ekspertimi </w:t>
      </w:r>
      <w:r w:rsidR="00B33E38" w:rsidRPr="00A90A1B">
        <w:t>Mjeko</w:t>
      </w:r>
      <w:r w:rsidR="008762BB" w:rsidRPr="00A90A1B">
        <w:t xml:space="preserve">-Ligjor, nga </w:t>
      </w:r>
      <w:r w:rsidR="00115A11" w:rsidRPr="00A90A1B">
        <w:t>900</w:t>
      </w:r>
      <w:r w:rsidR="008762BB" w:rsidRPr="00A90A1B">
        <w:t xml:space="preserve"> t</w:t>
      </w:r>
      <w:r w:rsidR="000D54BA" w:rsidRPr="00A90A1B">
        <w:t>ë</w:t>
      </w:r>
      <w:r w:rsidR="008762BB" w:rsidRPr="00A90A1B">
        <w:t xml:space="preserve"> parashikuara jan</w:t>
      </w:r>
      <w:r w:rsidR="000D54BA" w:rsidRPr="00A90A1B">
        <w:t>ë</w:t>
      </w:r>
      <w:r w:rsidR="008762BB" w:rsidRPr="00A90A1B">
        <w:t xml:space="preserve"> realizuar </w:t>
      </w:r>
      <w:r w:rsidR="00115A11" w:rsidRPr="00A90A1B">
        <w:t>1.129</w:t>
      </w:r>
      <w:r w:rsidR="008762BB" w:rsidRPr="00A90A1B">
        <w:t xml:space="preserve"> akte p</w:t>
      </w:r>
      <w:r w:rsidR="000D54BA" w:rsidRPr="00A90A1B">
        <w:t>ë</w:t>
      </w:r>
      <w:r w:rsidR="008762BB" w:rsidRPr="00A90A1B">
        <w:t xml:space="preserve">r </w:t>
      </w:r>
      <w:r w:rsidR="00115A11" w:rsidRPr="00A90A1B">
        <w:t>k</w:t>
      </w:r>
      <w:r w:rsidR="00A90A1B">
        <w:t>ë</w:t>
      </w:r>
      <w:r w:rsidR="00115A11" w:rsidRPr="00A90A1B">
        <w:t>t</w:t>
      </w:r>
      <w:r w:rsidR="00A90A1B">
        <w:t>ë</w:t>
      </w:r>
      <w:r w:rsidR="00115A11" w:rsidRPr="00A90A1B">
        <w:t xml:space="preserve"> </w:t>
      </w:r>
      <w:r w:rsidR="008762BB" w:rsidRPr="00A90A1B">
        <w:t>periudh</w:t>
      </w:r>
      <w:r w:rsidR="000D54BA" w:rsidRPr="00A90A1B">
        <w:t>ë</w:t>
      </w:r>
      <w:r w:rsidR="008762BB" w:rsidRPr="00A90A1B">
        <w:t>.</w:t>
      </w:r>
      <w:proofErr w:type="gramEnd"/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 xml:space="preserve">Produkti i </w:t>
      </w:r>
      <w:r w:rsidR="008762BB" w:rsidRPr="00A90A1B">
        <w:t>te</w:t>
      </w:r>
      <w:r w:rsidRPr="00A90A1B">
        <w:t>të është “Menaxhimi i punës në institut”, i cili është realizuar plotësisht.</w:t>
      </w:r>
      <w:proofErr w:type="gramEnd"/>
    </w:p>
    <w:p w:rsidR="00C7600C" w:rsidRPr="00A90A1B" w:rsidRDefault="00C7600C" w:rsidP="006F7EF8">
      <w:pPr>
        <w:spacing w:line="276" w:lineRule="auto"/>
        <w:jc w:val="both"/>
      </w:pPr>
    </w:p>
    <w:p w:rsidR="00FB4666" w:rsidRPr="00A90A1B" w:rsidRDefault="00FB4666" w:rsidP="006F7EF8">
      <w:pPr>
        <w:spacing w:line="276" w:lineRule="auto"/>
        <w:jc w:val="both"/>
      </w:pPr>
    </w:p>
    <w:p w:rsidR="006F7EF8" w:rsidRPr="00A90A1B" w:rsidRDefault="006F7EF8" w:rsidP="006F7EF8">
      <w:pPr>
        <w:spacing w:line="276" w:lineRule="auto"/>
        <w:jc w:val="both"/>
      </w:pPr>
    </w:p>
    <w:p w:rsidR="00C7600C" w:rsidRPr="00A90A1B" w:rsidRDefault="00C7600C" w:rsidP="006F7EF8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A90A1B">
        <w:rPr>
          <w:b/>
        </w:rPr>
        <w:t>Programi “Sistemi i Burgjeve”</w:t>
      </w:r>
    </w:p>
    <w:p w:rsidR="00C7600C" w:rsidRPr="00A90A1B" w:rsidRDefault="00C7600C" w:rsidP="006F7EF8">
      <w:pPr>
        <w:pStyle w:val="Subtitle"/>
        <w:spacing w:line="276" w:lineRule="auto"/>
        <w:jc w:val="both"/>
        <w:rPr>
          <w:bCs w:val="0"/>
          <w:lang w:val="en-US"/>
        </w:rPr>
      </w:pPr>
    </w:p>
    <w:p w:rsidR="00C7600C" w:rsidRPr="00A90A1B" w:rsidRDefault="00C7600C" w:rsidP="006F7EF8">
      <w:pPr>
        <w:pStyle w:val="Subtitle"/>
        <w:spacing w:line="276" w:lineRule="auto"/>
        <w:ind w:left="-900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Realizimi i shpenzimeve </w:t>
      </w:r>
      <w:r w:rsidR="00D20A13" w:rsidRPr="00A90A1B">
        <w:rPr>
          <w:b w:val="0"/>
          <w:bCs w:val="0"/>
        </w:rPr>
        <w:t>p</w:t>
      </w:r>
      <w:r w:rsidR="000D54BA" w:rsidRPr="00A90A1B">
        <w:rPr>
          <w:b w:val="0"/>
          <w:bCs w:val="0"/>
        </w:rPr>
        <w:t>ë</w:t>
      </w:r>
      <w:r w:rsidR="00D20A13" w:rsidRPr="00A90A1B">
        <w:rPr>
          <w:b w:val="0"/>
          <w:bCs w:val="0"/>
        </w:rPr>
        <w:t>r viti</w:t>
      </w:r>
      <w:r w:rsidR="00115A11" w:rsidRPr="00A90A1B">
        <w:rPr>
          <w:b w:val="0"/>
          <w:bCs w:val="0"/>
        </w:rPr>
        <w:t>n</w:t>
      </w:r>
      <w:r w:rsidRPr="00A90A1B">
        <w:rPr>
          <w:b w:val="0"/>
          <w:bCs w:val="0"/>
        </w:rPr>
        <w:t xml:space="preserve"> 201</w:t>
      </w:r>
      <w:r w:rsidR="00D20A13" w:rsidRPr="00A90A1B">
        <w:rPr>
          <w:b w:val="0"/>
          <w:bCs w:val="0"/>
        </w:rPr>
        <w:t>4</w:t>
      </w:r>
      <w:r w:rsidRPr="00A90A1B">
        <w:rPr>
          <w:b w:val="0"/>
          <w:bCs w:val="0"/>
        </w:rPr>
        <w:t xml:space="preserve"> për këtë program, që </w:t>
      </w:r>
      <w:r w:rsidRPr="00A90A1B">
        <w:rPr>
          <w:bCs w:val="0"/>
        </w:rPr>
        <w:t xml:space="preserve">përfaqëson rreth </w:t>
      </w:r>
      <w:r w:rsidR="00033311" w:rsidRPr="00A90A1B">
        <w:rPr>
          <w:bCs w:val="0"/>
        </w:rPr>
        <w:t>6</w:t>
      </w:r>
      <w:r w:rsidR="00115A11" w:rsidRPr="00A90A1B">
        <w:rPr>
          <w:bCs w:val="0"/>
        </w:rPr>
        <w:t>3</w:t>
      </w:r>
      <w:r w:rsidR="002840AB" w:rsidRPr="00A90A1B">
        <w:rPr>
          <w:bCs w:val="0"/>
        </w:rPr>
        <w:t>.</w:t>
      </w:r>
      <w:r w:rsidR="00115A11" w:rsidRPr="00A90A1B">
        <w:rPr>
          <w:bCs w:val="0"/>
        </w:rPr>
        <w:t>9</w:t>
      </w:r>
      <w:r w:rsidR="002705D8" w:rsidRPr="00A90A1B">
        <w:rPr>
          <w:bCs w:val="0"/>
        </w:rPr>
        <w:t>%</w:t>
      </w:r>
      <w:r w:rsidRPr="00A90A1B">
        <w:rPr>
          <w:bCs w:val="0"/>
        </w:rPr>
        <w:t xml:space="preserve"> të totalit të buxhetit</w:t>
      </w:r>
      <w:r w:rsidRPr="00A90A1B">
        <w:rPr>
          <w:b w:val="0"/>
          <w:bCs w:val="0"/>
        </w:rPr>
        <w:t xml:space="preserve"> </w:t>
      </w:r>
      <w:r w:rsidRPr="00A90A1B">
        <w:rPr>
          <w:bCs w:val="0"/>
        </w:rPr>
        <w:t>vjetor</w:t>
      </w:r>
      <w:r w:rsidRPr="00A90A1B">
        <w:rPr>
          <w:b w:val="0"/>
          <w:bCs w:val="0"/>
        </w:rPr>
        <w:t xml:space="preserve"> të Ministrisë së Drejtësisë, sipas zërave kryesore, krahasuar me planin e periudhës, rezulton si m</w:t>
      </w:r>
      <w:r w:rsidR="000D54BA" w:rsidRPr="00A90A1B">
        <w:rPr>
          <w:b w:val="0"/>
          <w:bCs w:val="0"/>
        </w:rPr>
        <w:t>ë</w:t>
      </w:r>
      <w:r w:rsidRPr="00A90A1B">
        <w:rPr>
          <w:b w:val="0"/>
          <w:bCs w:val="0"/>
        </w:rPr>
        <w:t xml:space="preserve"> posht</w:t>
      </w:r>
      <w:r w:rsidR="000D54BA" w:rsidRPr="00A90A1B">
        <w:rPr>
          <w:b w:val="0"/>
          <w:bCs w:val="0"/>
        </w:rPr>
        <w:t>ë</w:t>
      </w:r>
      <w:r w:rsidRPr="00A90A1B">
        <w:rPr>
          <w:b w:val="0"/>
          <w:bCs w:val="0"/>
        </w:rPr>
        <w:t>: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0C62E2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 xml:space="preserve">Shpenzimet e personelit                        </w:t>
      </w:r>
      <w:r w:rsidR="006108B8" w:rsidRPr="00A90A1B">
        <w:rPr>
          <w:b w:val="0"/>
          <w:bCs w:val="0"/>
          <w:lang w:val="da-DK"/>
        </w:rPr>
        <w:t>9</w:t>
      </w:r>
      <w:r w:rsidR="00115A11" w:rsidRPr="00A90A1B">
        <w:rPr>
          <w:b w:val="0"/>
          <w:bCs w:val="0"/>
          <w:lang w:val="da-DK"/>
        </w:rPr>
        <w:t>9</w:t>
      </w:r>
      <w:r w:rsidR="006108B8" w:rsidRPr="00A90A1B">
        <w:rPr>
          <w:b w:val="0"/>
          <w:bCs w:val="0"/>
          <w:lang w:val="da-DK"/>
        </w:rPr>
        <w:t>.</w:t>
      </w:r>
      <w:r w:rsidR="00115A11" w:rsidRPr="00A90A1B">
        <w:rPr>
          <w:b w:val="0"/>
          <w:bCs w:val="0"/>
          <w:lang w:val="da-DK"/>
        </w:rPr>
        <w:t>65</w:t>
      </w:r>
      <w:r w:rsidRPr="00A90A1B">
        <w:rPr>
          <w:b w:val="0"/>
          <w:bCs w:val="0"/>
          <w:lang w:val="da-DK"/>
        </w:rPr>
        <w:t xml:space="preserve">  % </w:t>
      </w:r>
    </w:p>
    <w:p w:rsidR="00C7600C" w:rsidRPr="00A90A1B" w:rsidRDefault="00C7600C" w:rsidP="000C62E2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</w:t>
      </w:r>
      <w:r w:rsidR="00C66D46" w:rsidRPr="00A90A1B">
        <w:rPr>
          <w:b w:val="0"/>
          <w:bCs w:val="0"/>
        </w:rPr>
        <w:t>95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0C62E2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>Shpenzimet kapitale</w:t>
      </w:r>
      <w:r w:rsidR="00802534">
        <w:rPr>
          <w:b w:val="0"/>
          <w:bCs w:val="0"/>
        </w:rPr>
        <w:t xml:space="preserve">                              </w:t>
      </w:r>
      <w:r w:rsidR="00C66D46" w:rsidRPr="00A90A1B">
        <w:rPr>
          <w:b w:val="0"/>
          <w:bCs w:val="0"/>
        </w:rPr>
        <w:t>80.2</w:t>
      </w:r>
      <w:r w:rsidRPr="00A90A1B">
        <w:rPr>
          <w:b w:val="0"/>
          <w:bCs w:val="0"/>
        </w:rPr>
        <w:t>%</w:t>
      </w:r>
    </w:p>
    <w:p w:rsidR="00C7600C" w:rsidRPr="00A90A1B" w:rsidRDefault="00C7600C" w:rsidP="006F7EF8">
      <w:pPr>
        <w:pStyle w:val="Subtitle"/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</w:p>
    <w:p w:rsidR="00C7600C" w:rsidRPr="00A90A1B" w:rsidRDefault="00C7600C" w:rsidP="006F7EF8">
      <w:pPr>
        <w:pStyle w:val="Subtitle"/>
        <w:spacing w:line="276" w:lineRule="auto"/>
        <w:ind w:left="900"/>
        <w:jc w:val="both"/>
      </w:pPr>
      <w:r w:rsidRPr="00A90A1B">
        <w:t xml:space="preserve">            Gjithsej                                             9</w:t>
      </w:r>
      <w:r w:rsidR="00115A11" w:rsidRPr="00A90A1B">
        <w:t>8</w:t>
      </w:r>
      <w:r w:rsidR="00821EBF" w:rsidRPr="00A90A1B">
        <w:t>.</w:t>
      </w:r>
      <w:r w:rsidR="00115A11" w:rsidRPr="00A90A1B">
        <w:t>32</w:t>
      </w:r>
      <w:r w:rsidRPr="00A90A1B">
        <w:t xml:space="preserve"> %</w:t>
      </w:r>
    </w:p>
    <w:p w:rsidR="005F4C82" w:rsidRPr="00A90A1B" w:rsidRDefault="005F4C82" w:rsidP="006F7EF8">
      <w:pPr>
        <w:pStyle w:val="Subtitle"/>
        <w:spacing w:line="276" w:lineRule="auto"/>
        <w:ind w:left="900"/>
        <w:jc w:val="both"/>
      </w:pPr>
    </w:p>
    <w:p w:rsidR="005F4C82" w:rsidRPr="00A90A1B" w:rsidRDefault="005F4C82" w:rsidP="006F7EF8">
      <w:pPr>
        <w:pStyle w:val="Subtitle"/>
        <w:spacing w:line="276" w:lineRule="auto"/>
        <w:ind w:left="900"/>
        <w:jc w:val="both"/>
      </w:pPr>
    </w:p>
    <w:p w:rsidR="00A90A1B" w:rsidRDefault="00A90A1B" w:rsidP="006F7EF8">
      <w:pPr>
        <w:pStyle w:val="Subtitle"/>
        <w:spacing w:line="276" w:lineRule="auto"/>
        <w:ind w:left="900"/>
        <w:jc w:val="both"/>
      </w:pPr>
    </w:p>
    <w:p w:rsidR="00C7600C" w:rsidRPr="00A90A1B" w:rsidRDefault="005F4C82" w:rsidP="006F7EF8">
      <w:pPr>
        <w:pStyle w:val="Subtitle"/>
        <w:spacing w:line="276" w:lineRule="auto"/>
        <w:ind w:left="900"/>
        <w:jc w:val="both"/>
      </w:pPr>
      <w:r w:rsidRPr="00A90A1B">
        <w:t xml:space="preserve">Grafiku </w:t>
      </w:r>
      <w:r w:rsidR="0061663F" w:rsidRPr="00A90A1B">
        <w:t>ë</w:t>
      </w:r>
      <w:r w:rsidRPr="00A90A1B">
        <w:t>sht</w:t>
      </w:r>
      <w:r w:rsidR="0061663F" w:rsidRPr="00A90A1B">
        <w:t>ë</w:t>
      </w:r>
      <w:r w:rsidRPr="00A90A1B">
        <w:t xml:space="preserve">  n</w:t>
      </w:r>
      <w:r w:rsidR="0061663F" w:rsidRPr="00A90A1B">
        <w:t>ë</w:t>
      </w:r>
      <w:r w:rsidRPr="00A90A1B">
        <w:t xml:space="preserve"> mij</w:t>
      </w:r>
      <w:r w:rsidR="0061663F" w:rsidRPr="00A90A1B">
        <w:t>ë</w:t>
      </w:r>
      <w:r w:rsidRPr="00A90A1B">
        <w:t>ra lek</w:t>
      </w:r>
      <w:r w:rsidR="0061663F" w:rsidRPr="00A90A1B">
        <w:t>ë</w:t>
      </w:r>
    </w:p>
    <w:p w:rsidR="00DC6F37" w:rsidRPr="00A90A1B" w:rsidRDefault="00DC6F37" w:rsidP="006F7EF8">
      <w:pPr>
        <w:pStyle w:val="Subtitle"/>
        <w:spacing w:line="276" w:lineRule="auto"/>
        <w:ind w:left="900"/>
        <w:jc w:val="both"/>
      </w:pPr>
    </w:p>
    <w:p w:rsidR="00DC6F37" w:rsidRPr="00A90A1B" w:rsidRDefault="004D4553" w:rsidP="006F7EF8">
      <w:pPr>
        <w:pStyle w:val="Subtitle"/>
        <w:spacing w:line="276" w:lineRule="auto"/>
        <w:ind w:left="900"/>
        <w:jc w:val="both"/>
      </w:pPr>
      <w:r w:rsidRPr="00A90A1B">
        <w:rPr>
          <w:noProof/>
          <w:lang w:val="en-US"/>
        </w:rPr>
        <w:drawing>
          <wp:inline distT="0" distB="0" distL="0" distR="0" wp14:anchorId="14656A29" wp14:editId="11A65F05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6F37" w:rsidRPr="00A90A1B" w:rsidRDefault="00DC6F37" w:rsidP="006F7EF8">
      <w:pPr>
        <w:pStyle w:val="Subtitle"/>
        <w:spacing w:line="276" w:lineRule="auto"/>
        <w:ind w:left="900"/>
        <w:jc w:val="both"/>
      </w:pPr>
    </w:p>
    <w:p w:rsidR="00DC6F37" w:rsidRPr="00A90A1B" w:rsidRDefault="00DC6F37" w:rsidP="006F7EF8">
      <w:pPr>
        <w:pStyle w:val="Subtitle"/>
        <w:spacing w:line="276" w:lineRule="auto"/>
        <w:ind w:left="900"/>
        <w:jc w:val="both"/>
      </w:pPr>
    </w:p>
    <w:p w:rsidR="00C7600C" w:rsidRPr="00A90A1B" w:rsidRDefault="00C7600C" w:rsidP="006F7EF8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       </w:t>
      </w: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3A18E5" w:rsidP="006F7EF8">
      <w:pPr>
        <w:spacing w:line="276" w:lineRule="auto"/>
        <w:ind w:left="-900"/>
        <w:jc w:val="both"/>
      </w:pPr>
      <w:r w:rsidRPr="00A90A1B">
        <w:lastRenderedPageBreak/>
        <w:t xml:space="preserve">Duke </w:t>
      </w:r>
      <w:proofErr w:type="gramStart"/>
      <w:r w:rsidRPr="00A90A1B">
        <w:t>i</w:t>
      </w:r>
      <w:r w:rsidR="00C7600C" w:rsidRPr="00A90A1B">
        <w:t>u</w:t>
      </w:r>
      <w:proofErr w:type="gramEnd"/>
      <w:r w:rsidR="00C7600C" w:rsidRPr="00A90A1B">
        <w:t xml:space="preserve"> referuar shifrave, shihet se realizimi i treguesve financiarë për periudhën është shumë i mir</w:t>
      </w:r>
      <w:r w:rsidRPr="00A90A1B">
        <w:t>ë</w:t>
      </w:r>
      <w:r w:rsidR="00C7600C" w:rsidRPr="00A90A1B">
        <w:t xml:space="preserve">, në </w:t>
      </w:r>
      <w:r w:rsidR="006108B8" w:rsidRPr="00A90A1B">
        <w:t>shpenzimet operative</w:t>
      </w:r>
      <w:r w:rsidR="00CB56B1" w:rsidRPr="00A90A1B">
        <w:t xml:space="preserve"> realizimi </w:t>
      </w:r>
      <w:r w:rsidR="000D54BA" w:rsidRPr="00A90A1B">
        <w:t>ë</w:t>
      </w:r>
      <w:r w:rsidR="00CB56B1" w:rsidRPr="00A90A1B">
        <w:t>sht</w:t>
      </w:r>
      <w:r w:rsidR="000D54BA" w:rsidRPr="00A90A1B">
        <w:t>ë</w:t>
      </w:r>
      <w:r w:rsidR="00CB56B1" w:rsidRPr="00A90A1B">
        <w:t xml:space="preserve"> optimal</w:t>
      </w:r>
      <w:r w:rsidR="00C66D46" w:rsidRPr="00A90A1B">
        <w:t xml:space="preserve"> dhe </w:t>
      </w:r>
      <w:r w:rsidR="00C7600C" w:rsidRPr="00A90A1B">
        <w:t xml:space="preserve">në shpenzimet e personelit kanë patur një performancë shumë të mirë. </w:t>
      </w:r>
      <w:proofErr w:type="gramStart"/>
      <w:r w:rsidR="00C7600C" w:rsidRPr="00A90A1B">
        <w:t>Treguesit janë realizuar si në terma sasiorë ashtu edhe në terma financiarë.</w:t>
      </w:r>
      <w:proofErr w:type="gramEnd"/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F55F22" w:rsidP="006F7EF8">
      <w:pPr>
        <w:spacing w:line="276" w:lineRule="auto"/>
        <w:ind w:left="-900"/>
        <w:jc w:val="both"/>
      </w:pPr>
      <w:r w:rsidRPr="00A90A1B">
        <w:t>N</w:t>
      </w:r>
      <w:r w:rsidR="000D54BA" w:rsidRPr="00A90A1B">
        <w:t>ë</w:t>
      </w:r>
      <w:r w:rsidRPr="00A90A1B">
        <w:t xml:space="preserve"> </w:t>
      </w:r>
      <w:r w:rsidR="00C7600C" w:rsidRPr="00A90A1B">
        <w:t xml:space="preserve">shpenzimet kapitale me fonde buxhetore </w:t>
      </w:r>
      <w:r w:rsidRPr="00A90A1B">
        <w:t>jan</w:t>
      </w:r>
      <w:r w:rsidR="000D54BA" w:rsidRPr="00A90A1B">
        <w:t>ë</w:t>
      </w:r>
      <w:r w:rsidRPr="00A90A1B">
        <w:t xml:space="preserve"> realizuar p</w:t>
      </w:r>
      <w:r w:rsidR="000D54BA" w:rsidRPr="00A90A1B">
        <w:t>ë</w:t>
      </w:r>
      <w:r w:rsidRPr="00A90A1B">
        <w:t>r t</w:t>
      </w:r>
      <w:r w:rsidR="000D54BA" w:rsidRPr="00A90A1B">
        <w:t>ë</w:t>
      </w:r>
      <w:r w:rsidRPr="00A90A1B">
        <w:t xml:space="preserve"> </w:t>
      </w:r>
      <w:proofErr w:type="gramStart"/>
      <w:r w:rsidRPr="00A90A1B">
        <w:t>dy</w:t>
      </w:r>
      <w:proofErr w:type="gramEnd"/>
      <w:r w:rsidRPr="00A90A1B">
        <w:t xml:space="preserve"> produktet procedurat e tenderave </w:t>
      </w:r>
      <w:r w:rsidR="00BE506B" w:rsidRPr="00A90A1B">
        <w:t>jan</w:t>
      </w:r>
      <w:r w:rsidR="00A90A1B">
        <w:t>ë</w:t>
      </w:r>
      <w:r w:rsidR="00BE506B" w:rsidRPr="00A90A1B">
        <w:t xml:space="preserve"> mbyllur </w:t>
      </w:r>
      <w:r w:rsidRPr="00A90A1B">
        <w:t xml:space="preserve">dhe </w:t>
      </w:r>
      <w:r w:rsidR="000D54BA" w:rsidRPr="00A90A1B">
        <w:t>ë</w:t>
      </w:r>
      <w:r w:rsidRPr="00A90A1B">
        <w:t>sht</w:t>
      </w:r>
      <w:r w:rsidR="000D54BA" w:rsidRPr="00A90A1B">
        <w:t>ë</w:t>
      </w:r>
      <w:r w:rsidRPr="00A90A1B">
        <w:t xml:space="preserve"> b</w:t>
      </w:r>
      <w:r w:rsidR="000D54BA" w:rsidRPr="00A90A1B">
        <w:t>ë</w:t>
      </w:r>
      <w:r w:rsidRPr="00A90A1B">
        <w:t>r</w:t>
      </w:r>
      <w:r w:rsidR="000D54BA" w:rsidRPr="00A90A1B">
        <w:t>ë</w:t>
      </w:r>
      <w:r w:rsidRPr="00A90A1B">
        <w:t xml:space="preserve"> likuidimi p</w:t>
      </w:r>
      <w:r w:rsidR="000D54BA" w:rsidRPr="00A90A1B">
        <w:t>ë</w:t>
      </w:r>
      <w:r w:rsidRPr="00A90A1B">
        <w:t>r k</w:t>
      </w:r>
      <w:r w:rsidR="000D54BA" w:rsidRPr="00A90A1B">
        <w:t>ë</w:t>
      </w:r>
      <w:r w:rsidRPr="00A90A1B">
        <w:t xml:space="preserve">to </w:t>
      </w:r>
      <w:r w:rsidR="00BE506B" w:rsidRPr="00A90A1B">
        <w:t xml:space="preserve">nga </w:t>
      </w:r>
      <w:r w:rsidRPr="00A90A1B">
        <w:t>fonde</w:t>
      </w:r>
      <w:r w:rsidR="00BE506B" w:rsidRPr="00A90A1B">
        <w:t>t</w:t>
      </w:r>
      <w:r w:rsidRPr="00A90A1B">
        <w:t xml:space="preserve"> q</w:t>
      </w:r>
      <w:r w:rsidR="000D54BA" w:rsidRPr="00A90A1B">
        <w:t>ë</w:t>
      </w:r>
      <w:r w:rsidRPr="00A90A1B">
        <w:t xml:space="preserve"> i jan</w:t>
      </w:r>
      <w:r w:rsidR="000D54BA" w:rsidRPr="00A90A1B">
        <w:t>ë</w:t>
      </w:r>
      <w:r w:rsidRPr="00A90A1B">
        <w:t xml:space="preserve"> dh</w:t>
      </w:r>
      <w:r w:rsidR="000D54BA" w:rsidRPr="00A90A1B">
        <w:t>ë</w:t>
      </w:r>
      <w:r w:rsidRPr="00A90A1B">
        <w:t>n</w:t>
      </w:r>
      <w:r w:rsidR="000D54BA" w:rsidRPr="00A90A1B">
        <w:t>ë</w:t>
      </w:r>
      <w:r w:rsidRPr="00A90A1B">
        <w:t xml:space="preserve"> Drejtoris</w:t>
      </w:r>
      <w:r w:rsidR="000D54BA" w:rsidRPr="00A90A1B">
        <w:t>ë</w:t>
      </w:r>
      <w:r w:rsidRPr="00A90A1B">
        <w:t xml:space="preserve"> s</w:t>
      </w:r>
      <w:r w:rsidR="000D54BA" w:rsidRPr="00A90A1B">
        <w:t>ë</w:t>
      </w:r>
      <w:r w:rsidRPr="00A90A1B">
        <w:t xml:space="preserve"> P</w:t>
      </w:r>
      <w:r w:rsidR="000D54BA" w:rsidRPr="00A90A1B">
        <w:t>ë</w:t>
      </w:r>
      <w:r w:rsidRPr="00A90A1B">
        <w:t>rgjithshme t</w:t>
      </w:r>
      <w:r w:rsidR="000D54BA" w:rsidRPr="00A90A1B">
        <w:t>ë</w:t>
      </w:r>
      <w:r w:rsidRPr="00A90A1B">
        <w:t xml:space="preserve"> Burgjeve.</w:t>
      </w: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>Për vitin 201</w:t>
      </w:r>
      <w:r w:rsidR="00F55F22" w:rsidRPr="00A90A1B">
        <w:t>4</w:t>
      </w:r>
      <w:r w:rsidRPr="00A90A1B">
        <w:t xml:space="preserve"> janë parashikuar </w:t>
      </w:r>
      <w:r w:rsidR="00F55F22" w:rsidRPr="00A90A1B">
        <w:t>9</w:t>
      </w:r>
      <w:r w:rsidR="00272F4D" w:rsidRPr="00A90A1B">
        <w:t xml:space="preserve"> produkte </w:t>
      </w:r>
      <w:r w:rsidRPr="00A90A1B">
        <w:t xml:space="preserve">për </w:t>
      </w:r>
      <w:r w:rsidR="00272F4D" w:rsidRPr="00A90A1B">
        <w:t>aktivitetin kryesor të burgjeve,</w:t>
      </w:r>
      <w:r w:rsidR="00F55F22" w:rsidRPr="00A90A1B">
        <w:t xml:space="preserve"> </w:t>
      </w:r>
      <w:r w:rsidR="00272F4D" w:rsidRPr="00A90A1B">
        <w:t>,“Mbajtja e të burgosurve dhe paraburgosurve në kushte sigurie nga trupa policore”, “Staf i trainuar nga qëndra e trainimit” ,“Të dënuar të trajtuar me shërbim shëndetsor” ,“Trajtimi me normë ushqimore i të dënuarve dhe paraburgosurve”, “Drejtimi dhe zhvillimi normal i aktivitetit për mirfunksionimin e përgjithshëm të sistemit të burgjeve” ,“Realizimi i detyrave funksionale nga stafi shëndetsor dhe edukimi”</w:t>
      </w:r>
      <w:r w:rsidR="00AD43F9" w:rsidRPr="00A90A1B">
        <w:t>,</w:t>
      </w:r>
      <w:r w:rsidR="00272F4D" w:rsidRPr="00A90A1B">
        <w:t xml:space="preserve"> “Përftimi i projekteve të reja për përmirësimin e kushteve fizike në disa I.E.V.P”</w:t>
      </w:r>
      <w:r w:rsidR="00AD43F9" w:rsidRPr="00A90A1B">
        <w:t xml:space="preserve"> “Përmirësimi i kushteve fizike në disa I.E.V.P” dhe “Përmirësimi i aktivitetit të burgjeve nëpërmjet sigurimit të pajisjeve”</w:t>
      </w:r>
      <w:r w:rsidR="00272F4D" w:rsidRPr="00A90A1B">
        <w:t>.</w:t>
      </w:r>
      <w:r w:rsidR="00270A74" w:rsidRPr="00A90A1B">
        <w:t xml:space="preserve"> K</w:t>
      </w:r>
      <w:r w:rsidR="00A90A1B">
        <w:t>ë</w:t>
      </w:r>
      <w:r w:rsidR="00272F4D" w:rsidRPr="00A90A1B">
        <w:t>to produkte jan</w:t>
      </w:r>
      <w:r w:rsidR="00A90A1B">
        <w:t>ë</w:t>
      </w:r>
      <w:r w:rsidR="00272F4D" w:rsidRPr="00A90A1B">
        <w:t xml:space="preserve"> realizuar plot</w:t>
      </w:r>
      <w:r w:rsidR="00A90A1B">
        <w:t>ë</w:t>
      </w:r>
      <w:r w:rsidR="00272F4D" w:rsidRPr="00A90A1B">
        <w:t xml:space="preserve">sisht </w:t>
      </w:r>
      <w:r w:rsidR="00270A74" w:rsidRPr="00A90A1B">
        <w:t>dhe k</w:t>
      </w:r>
      <w:r w:rsidRPr="00A90A1B">
        <w:t xml:space="preserve">jo tregon për një punë të mirë në drejtim të realizimit të objektivave të Institucionit, si përmirësimit </w:t>
      </w:r>
      <w:r w:rsidR="000D1F72" w:rsidRPr="00A90A1B">
        <w:t>e</w:t>
      </w:r>
      <w:r w:rsidRPr="00A90A1B">
        <w:t xml:space="preserve"> kushteve </w:t>
      </w:r>
      <w:r w:rsidR="000D1F72" w:rsidRPr="00A90A1B">
        <w:t>fizike n</w:t>
      </w:r>
      <w:r w:rsidR="00BC249D" w:rsidRPr="00A90A1B">
        <w:t>ë</w:t>
      </w:r>
      <w:r w:rsidR="000D1F72" w:rsidRPr="00A90A1B">
        <w:t xml:space="preserve"> disa I.E.V.P, staf t</w:t>
      </w:r>
      <w:r w:rsidR="00BC249D" w:rsidRPr="00A90A1B">
        <w:t>ë</w:t>
      </w:r>
      <w:r w:rsidR="000D1F72" w:rsidRPr="00A90A1B">
        <w:t xml:space="preserve"> trajnuar nga qendra e trajnimit, </w:t>
      </w:r>
      <w:r w:rsidRPr="00A90A1B">
        <w:t xml:space="preserve">të </w:t>
      </w:r>
      <w:r w:rsidR="000D1F72" w:rsidRPr="00A90A1B">
        <w:t>d</w:t>
      </w:r>
      <w:r w:rsidR="00BC249D" w:rsidRPr="00A90A1B">
        <w:t>ë</w:t>
      </w:r>
      <w:r w:rsidR="000D1F72" w:rsidRPr="00A90A1B">
        <w:t>nuar t</w:t>
      </w:r>
      <w:r w:rsidR="00BC249D" w:rsidRPr="00A90A1B">
        <w:t>ë</w:t>
      </w:r>
      <w:r w:rsidR="000D1F72" w:rsidRPr="00A90A1B">
        <w:t xml:space="preserve"> </w:t>
      </w:r>
      <w:r w:rsidRPr="00A90A1B">
        <w:t>trajt</w:t>
      </w:r>
      <w:r w:rsidR="000D1F72" w:rsidRPr="00A90A1B">
        <w:t>uar</w:t>
      </w:r>
      <w:r w:rsidRPr="00A90A1B">
        <w:t xml:space="preserve"> me shërbime shëndetsore</w:t>
      </w:r>
      <w:r w:rsidR="000D1F72" w:rsidRPr="00A90A1B">
        <w:t xml:space="preserve"> planifikimi ka q</w:t>
      </w:r>
      <w:r w:rsidR="00BC249D" w:rsidRPr="00A90A1B">
        <w:t>ë</w:t>
      </w:r>
      <w:r w:rsidR="000D1F72" w:rsidRPr="00A90A1B">
        <w:t>n</w:t>
      </w:r>
      <w:r w:rsidR="00BC249D" w:rsidRPr="00A90A1B">
        <w:t>ë</w:t>
      </w:r>
      <w:r w:rsidR="000D1F72" w:rsidRPr="00A90A1B">
        <w:t xml:space="preserve"> </w:t>
      </w:r>
      <w:r w:rsidR="00163441" w:rsidRPr="00A90A1B">
        <w:t>196.370</w:t>
      </w:r>
      <w:r w:rsidR="000D1F72" w:rsidRPr="00A90A1B">
        <w:t xml:space="preserve"> nd</w:t>
      </w:r>
      <w:r w:rsidR="00BC249D" w:rsidRPr="00A90A1B">
        <w:t>ë</w:t>
      </w:r>
      <w:r w:rsidR="000D1F72" w:rsidRPr="00A90A1B">
        <w:t xml:space="preserve">rsa sasia e realizuar </w:t>
      </w:r>
      <w:r w:rsidR="00BC249D" w:rsidRPr="00A90A1B">
        <w:t>ë</w:t>
      </w:r>
      <w:r w:rsidR="000D1F72" w:rsidRPr="00A90A1B">
        <w:t>sht</w:t>
      </w:r>
      <w:r w:rsidR="00BC249D" w:rsidRPr="00A90A1B">
        <w:t>ë</w:t>
      </w:r>
      <w:r w:rsidR="000D1F72" w:rsidRPr="00A90A1B">
        <w:t xml:space="preserve"> </w:t>
      </w:r>
      <w:r w:rsidR="00163441" w:rsidRPr="00A90A1B">
        <w:t>196.370</w:t>
      </w:r>
      <w:r w:rsidRPr="00A90A1B">
        <w:t>,</w:t>
      </w:r>
      <w:r w:rsidR="000D1F72" w:rsidRPr="00A90A1B">
        <w:t xml:space="preserve"> </w:t>
      </w:r>
      <w:r w:rsidRPr="00A90A1B">
        <w:t xml:space="preserve">përmirësimit të cilësisë së ushqimit etj. </w:t>
      </w:r>
      <w:proofErr w:type="gramStart"/>
      <w:r w:rsidR="00C40CDF" w:rsidRPr="00A90A1B">
        <w:t>U realizua plot</w:t>
      </w:r>
      <w:r w:rsidR="00BC249D" w:rsidRPr="00A90A1B">
        <w:t>ë</w:t>
      </w:r>
      <w:r w:rsidR="00C40CDF" w:rsidRPr="00A90A1B">
        <w:t>sisht mbajtja e t</w:t>
      </w:r>
      <w:r w:rsidR="00BC249D" w:rsidRPr="00A90A1B">
        <w:t>ë</w:t>
      </w:r>
      <w:r w:rsidR="00C40CDF" w:rsidRPr="00A90A1B">
        <w:t xml:space="preserve"> burgosurve dhe t</w:t>
      </w:r>
      <w:r w:rsidR="000D54BA" w:rsidRPr="00A90A1B">
        <w:t>ë</w:t>
      </w:r>
      <w:r w:rsidR="00C40CDF" w:rsidRPr="00A90A1B">
        <w:t xml:space="preserve"> p</w:t>
      </w:r>
      <w:r w:rsidR="00163441" w:rsidRPr="00A90A1B">
        <w:t>ara</w:t>
      </w:r>
      <w:r w:rsidR="00C40CDF" w:rsidRPr="00A90A1B">
        <w:t>burgosurve n</w:t>
      </w:r>
      <w:r w:rsidR="00BC249D" w:rsidRPr="00A90A1B">
        <w:t>ë</w:t>
      </w:r>
      <w:r w:rsidR="00C40CDF" w:rsidRPr="00A90A1B">
        <w:t xml:space="preserve"> kushte sigurie nga trupat policore n</w:t>
      </w:r>
      <w:r w:rsidR="00AD210F" w:rsidRPr="00A90A1B">
        <w:t>ë</w:t>
      </w:r>
      <w:r w:rsidR="00C40CDF" w:rsidRPr="00A90A1B">
        <w:t xml:space="preserve"> sasi nga </w:t>
      </w:r>
      <w:r w:rsidR="00033489" w:rsidRPr="00A90A1B">
        <w:t>2999</w:t>
      </w:r>
      <w:r w:rsidR="00C40CDF" w:rsidRPr="00A90A1B">
        <w:t xml:space="preserve"> t</w:t>
      </w:r>
      <w:r w:rsidR="00BC249D" w:rsidRPr="00A90A1B">
        <w:t>ë</w:t>
      </w:r>
      <w:r w:rsidR="00C40CDF" w:rsidRPr="00A90A1B">
        <w:t xml:space="preserve"> planifikuar n</w:t>
      </w:r>
      <w:r w:rsidR="000D54BA" w:rsidRPr="00A90A1B">
        <w:t>ë</w:t>
      </w:r>
      <w:r w:rsidR="00C40CDF" w:rsidRPr="00A90A1B">
        <w:t xml:space="preserve"> </w:t>
      </w:r>
      <w:r w:rsidR="00033489" w:rsidRPr="00A90A1B">
        <w:t>2999</w:t>
      </w:r>
      <w:r w:rsidR="00C40CDF" w:rsidRPr="00A90A1B">
        <w:t xml:space="preserve"> t</w:t>
      </w:r>
      <w:r w:rsidR="00BC249D" w:rsidRPr="00A90A1B">
        <w:t>ë</w:t>
      </w:r>
      <w:r w:rsidR="00C40CDF" w:rsidRPr="00A90A1B">
        <w:t xml:space="preserve"> realizuar.</w:t>
      </w:r>
      <w:proofErr w:type="gramEnd"/>
      <w:r w:rsidR="00C40CDF" w:rsidRPr="00A90A1B">
        <w:t xml:space="preserve"> </w:t>
      </w:r>
      <w:proofErr w:type="gramStart"/>
      <w:r w:rsidR="00C40CDF" w:rsidRPr="00A90A1B">
        <w:t xml:space="preserve">Drejtimi dhe zhvillimi normal i aktivitetit </w:t>
      </w:r>
      <w:r w:rsidR="00BC249D" w:rsidRPr="00A90A1B">
        <w:t>pë</w:t>
      </w:r>
      <w:r w:rsidR="00C40CDF" w:rsidRPr="00A90A1B">
        <w:t>r mir</w:t>
      </w:r>
      <w:r w:rsidR="00BC249D" w:rsidRPr="00A90A1B">
        <w:t>ë</w:t>
      </w:r>
      <w:r w:rsidR="00C40CDF" w:rsidRPr="00A90A1B">
        <w:t>funksionimin e p</w:t>
      </w:r>
      <w:r w:rsidR="00BC249D" w:rsidRPr="00A90A1B">
        <w:t>ë</w:t>
      </w:r>
      <w:r w:rsidR="00C40CDF" w:rsidRPr="00A90A1B">
        <w:t>rgjithsh</w:t>
      </w:r>
      <w:r w:rsidR="00BC249D" w:rsidRPr="00A90A1B">
        <w:t>ë</w:t>
      </w:r>
      <w:r w:rsidR="00C40CDF" w:rsidRPr="00A90A1B">
        <w:t>m t</w:t>
      </w:r>
      <w:r w:rsidR="00BC249D" w:rsidRPr="00A90A1B">
        <w:t>ë</w:t>
      </w:r>
      <w:r w:rsidR="00C40CDF" w:rsidRPr="00A90A1B">
        <w:t xml:space="preserve"> sistemit t</w:t>
      </w:r>
      <w:r w:rsidR="00BC249D" w:rsidRPr="00A90A1B">
        <w:t>ë</w:t>
      </w:r>
      <w:r w:rsidR="00C40CDF" w:rsidRPr="00A90A1B">
        <w:t xml:space="preserve"> burgjeve p</w:t>
      </w:r>
      <w:r w:rsidR="00BC249D" w:rsidRPr="00A90A1B">
        <w:t>ë</w:t>
      </w:r>
      <w:r w:rsidR="00C40CDF" w:rsidRPr="00A90A1B">
        <w:t>r vitin 201</w:t>
      </w:r>
      <w:r w:rsidR="00033489" w:rsidRPr="00A90A1B">
        <w:t>4</w:t>
      </w:r>
      <w:r w:rsidR="00C40CDF" w:rsidRPr="00A90A1B">
        <w:t>.</w:t>
      </w:r>
      <w:proofErr w:type="gramEnd"/>
      <w:r w:rsidR="00163441" w:rsidRPr="00A90A1B">
        <w:t xml:space="preserve"> </w:t>
      </w:r>
      <w:proofErr w:type="gramStart"/>
      <w:r w:rsidR="00163441" w:rsidRPr="00A90A1B">
        <w:t>Përmirësimi i kushteve fizike në disa I.E.V.P” dhe “Përmirësimi i aktivitetit të burgjeve nëpërmjet sigurimit të pajisjeve” jan</w:t>
      </w:r>
      <w:r w:rsidR="00A90A1B">
        <w:t>ë</w:t>
      </w:r>
      <w:r w:rsidR="00163441" w:rsidRPr="00A90A1B">
        <w:t xml:space="preserve"> realizuar plot</w:t>
      </w:r>
      <w:r w:rsidR="00A90A1B">
        <w:t>ë</w:t>
      </w:r>
      <w:r w:rsidR="00163441" w:rsidRPr="00A90A1B">
        <w:t>sisht.</w:t>
      </w:r>
      <w:proofErr w:type="gramEnd"/>
    </w:p>
    <w:p w:rsidR="00C40CDF" w:rsidRPr="00A90A1B" w:rsidRDefault="00C40CDF" w:rsidP="006F7EF8">
      <w:pPr>
        <w:spacing w:line="276" w:lineRule="auto"/>
        <w:ind w:left="-900"/>
        <w:jc w:val="both"/>
      </w:pPr>
    </w:p>
    <w:p w:rsidR="00C40CDF" w:rsidRPr="00A90A1B" w:rsidRDefault="00C40CDF" w:rsidP="006F7EF8">
      <w:pPr>
        <w:spacing w:line="276" w:lineRule="auto"/>
        <w:ind w:left="-851"/>
        <w:jc w:val="both"/>
        <w:rPr>
          <w:lang w:val="it-IT"/>
        </w:rPr>
      </w:pPr>
      <w:r w:rsidRPr="00A90A1B">
        <w:rPr>
          <w:lang w:val="it-IT"/>
        </w:rPr>
        <w:t>“Projektet me financim të brendshëm” shpjegohet qartë n</w:t>
      </w:r>
      <w:r w:rsidR="00BC249D" w:rsidRPr="00A90A1B">
        <w:rPr>
          <w:lang w:val="it-IT"/>
        </w:rPr>
        <w:t>ë</w:t>
      </w:r>
      <w:r w:rsidRPr="00A90A1B">
        <w:rPr>
          <w:lang w:val="it-IT"/>
        </w:rPr>
        <w:t xml:space="preserve"> formatin p</w:t>
      </w:r>
      <w:r w:rsidR="00BC249D" w:rsidRPr="00A90A1B">
        <w:rPr>
          <w:lang w:val="it-IT"/>
        </w:rPr>
        <w:t>ë</w:t>
      </w:r>
      <w:r w:rsidRPr="00A90A1B">
        <w:rPr>
          <w:lang w:val="it-IT"/>
        </w:rPr>
        <w:t>rkat</w:t>
      </w:r>
      <w:r w:rsidR="00BC249D" w:rsidRPr="00A90A1B">
        <w:rPr>
          <w:lang w:val="it-IT"/>
        </w:rPr>
        <w:t>ë</w:t>
      </w:r>
      <w:r w:rsidRPr="00A90A1B">
        <w:rPr>
          <w:lang w:val="it-IT"/>
        </w:rPr>
        <w:t xml:space="preserve">s </w:t>
      </w:r>
      <w:r w:rsidR="00BC249D" w:rsidRPr="00A90A1B">
        <w:rPr>
          <w:lang w:val="it-IT"/>
        </w:rPr>
        <w:t>për</w:t>
      </w:r>
      <w:r w:rsidRPr="00A90A1B">
        <w:rPr>
          <w:lang w:val="it-IT"/>
        </w:rPr>
        <w:t xml:space="preserve">  fonde</w:t>
      </w:r>
      <w:r w:rsidR="00BC249D" w:rsidRPr="00A90A1B">
        <w:rPr>
          <w:lang w:val="it-IT"/>
        </w:rPr>
        <w:t>t</w:t>
      </w:r>
      <w:r w:rsidRPr="00A90A1B">
        <w:rPr>
          <w:lang w:val="it-IT"/>
        </w:rPr>
        <w:t xml:space="preserve"> në dispozicion të studim projektimit si dhe të përmirësimit të kushteve fizike dhe të sigurisë në IEVP-të. Siç është shpjeguar zë për zë, pjesa e  studim projektimeve  artikulli 230 dhe pjesa e investimeve për ˝</w:t>
      </w:r>
      <w:r w:rsidR="00033489" w:rsidRPr="00A90A1B">
        <w:rPr>
          <w:lang w:val="it-IT"/>
        </w:rPr>
        <w:t>P</w:t>
      </w:r>
      <w:r w:rsidRPr="00A90A1B">
        <w:rPr>
          <w:lang w:val="it-IT"/>
        </w:rPr>
        <w:t xml:space="preserve">ërmirësimin e kushteve fizike dhe të sigurisë  në disa  </w:t>
      </w:r>
      <w:r w:rsidR="00BC249D" w:rsidRPr="00A90A1B">
        <w:rPr>
          <w:lang w:val="it-IT"/>
        </w:rPr>
        <w:t xml:space="preserve">IEVP </w:t>
      </w:r>
      <w:r w:rsidRPr="00A90A1B">
        <w:rPr>
          <w:lang w:val="it-IT"/>
        </w:rPr>
        <w:t xml:space="preserve">˝ artikulli 231 janë </w:t>
      </w:r>
      <w:r w:rsidR="00033489" w:rsidRPr="00A90A1B">
        <w:rPr>
          <w:lang w:val="it-IT"/>
        </w:rPr>
        <w:t>n</w:t>
      </w:r>
      <w:r w:rsidR="000D54BA" w:rsidRPr="00A90A1B">
        <w:rPr>
          <w:lang w:val="it-IT"/>
        </w:rPr>
        <w:t>ë</w:t>
      </w:r>
      <w:r w:rsidR="00033489" w:rsidRPr="00A90A1B">
        <w:rPr>
          <w:lang w:val="it-IT"/>
        </w:rPr>
        <w:t xml:space="preserve"> proces tenderimi.</w:t>
      </w:r>
    </w:p>
    <w:p w:rsidR="00C40CDF" w:rsidRPr="00A90A1B" w:rsidRDefault="00C40CDF" w:rsidP="006F7EF8">
      <w:pPr>
        <w:pStyle w:val="ListParagraph"/>
        <w:spacing w:line="276" w:lineRule="auto"/>
        <w:ind w:left="-54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  <w:rPr>
          <w:b/>
        </w:rPr>
      </w:pPr>
    </w:p>
    <w:p w:rsidR="00C7600C" w:rsidRPr="00A90A1B" w:rsidRDefault="00C7600C" w:rsidP="006F7EF8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b/>
        </w:rPr>
      </w:pPr>
      <w:r w:rsidRPr="00A90A1B">
        <w:rPr>
          <w:b/>
        </w:rPr>
        <w:t xml:space="preserve">   Programi  “Shërbimi i Përmbarimit Gjyqësor”</w:t>
      </w: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Realizimi i shpenzimeve të vitit 201</w:t>
      </w:r>
      <w:r w:rsidR="00033489" w:rsidRPr="00A90A1B">
        <w:t>4</w:t>
      </w:r>
      <w:r w:rsidRPr="00A90A1B">
        <w:t xml:space="preserve">, krahasuar me buxhetin e akorduar të periudhës, është në </w:t>
      </w:r>
      <w:r w:rsidRPr="00A90A1B">
        <w:rPr>
          <w:b/>
        </w:rPr>
        <w:t xml:space="preserve">masën </w:t>
      </w:r>
      <w:r w:rsidR="00876E43" w:rsidRPr="00A90A1B">
        <w:rPr>
          <w:b/>
        </w:rPr>
        <w:t>8</w:t>
      </w:r>
      <w:r w:rsidR="00270A74" w:rsidRPr="00A90A1B">
        <w:rPr>
          <w:b/>
        </w:rPr>
        <w:t>6</w:t>
      </w:r>
      <w:r w:rsidR="004F68E9" w:rsidRPr="00A90A1B">
        <w:rPr>
          <w:b/>
        </w:rPr>
        <w:t>.</w:t>
      </w:r>
      <w:r w:rsidR="00270A74" w:rsidRPr="00A90A1B">
        <w:rPr>
          <w:b/>
        </w:rPr>
        <w:t>67</w:t>
      </w:r>
      <w:r w:rsidRPr="00A90A1B">
        <w:rPr>
          <w:b/>
        </w:rPr>
        <w:t>%.</w:t>
      </w:r>
      <w:proofErr w:type="gramEnd"/>
      <w:r w:rsidRPr="00A90A1B">
        <w:rPr>
          <w:b/>
        </w:rPr>
        <w:t xml:space="preserve"> </w:t>
      </w:r>
      <w:r w:rsidRPr="00A90A1B">
        <w:t>Realizimi i shpenzimeve sipas zërave kryesorë, rezulton si më poshtë: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pStyle w:val="Subtitle"/>
        <w:spacing w:line="276" w:lineRule="auto"/>
        <w:jc w:val="both"/>
        <w:rPr>
          <w:b w:val="0"/>
          <w:bCs w:val="0"/>
          <w:lang w:val="da-DK"/>
        </w:rPr>
      </w:pPr>
    </w:p>
    <w:p w:rsidR="00C7600C" w:rsidRPr="00A90A1B" w:rsidRDefault="00C7600C" w:rsidP="000C62E2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 xml:space="preserve">Shpenzimet e personelit                           </w:t>
      </w:r>
      <w:r w:rsidR="00C4142D" w:rsidRPr="00A90A1B">
        <w:rPr>
          <w:b w:val="0"/>
          <w:bCs w:val="0"/>
          <w:lang w:val="da-DK"/>
        </w:rPr>
        <w:t>8</w:t>
      </w:r>
      <w:r w:rsidR="007860CE" w:rsidRPr="00A90A1B">
        <w:rPr>
          <w:b w:val="0"/>
          <w:bCs w:val="0"/>
          <w:lang w:val="da-DK"/>
        </w:rPr>
        <w:t>9</w:t>
      </w:r>
      <w:r w:rsidR="00876E43" w:rsidRPr="00A90A1B">
        <w:rPr>
          <w:b w:val="0"/>
          <w:bCs w:val="0"/>
          <w:lang w:val="da-DK"/>
        </w:rPr>
        <w:t>.</w:t>
      </w:r>
      <w:r w:rsidR="007860CE" w:rsidRPr="00A90A1B">
        <w:rPr>
          <w:b w:val="0"/>
          <w:bCs w:val="0"/>
          <w:lang w:val="da-DK"/>
        </w:rPr>
        <w:t>9</w:t>
      </w:r>
      <w:r w:rsidRPr="00A90A1B">
        <w:rPr>
          <w:b w:val="0"/>
          <w:bCs w:val="0"/>
          <w:lang w:val="da-DK"/>
        </w:rPr>
        <w:t xml:space="preserve"> % </w:t>
      </w:r>
    </w:p>
    <w:p w:rsidR="00C7600C" w:rsidRPr="00A90A1B" w:rsidRDefault="00C7600C" w:rsidP="000C62E2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   </w:t>
      </w:r>
      <w:r w:rsidR="007860CE" w:rsidRPr="00A90A1B">
        <w:rPr>
          <w:b w:val="0"/>
          <w:bCs w:val="0"/>
        </w:rPr>
        <w:t>97</w:t>
      </w:r>
      <w:r w:rsidR="00876E43" w:rsidRPr="00A90A1B">
        <w:rPr>
          <w:b w:val="0"/>
          <w:bCs w:val="0"/>
        </w:rPr>
        <w:t>.2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0C62E2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                            </w:t>
      </w:r>
      <w:r w:rsidR="00C4142D" w:rsidRPr="00A90A1B">
        <w:rPr>
          <w:b w:val="0"/>
          <w:bCs w:val="0"/>
        </w:rPr>
        <w:t xml:space="preserve">   </w:t>
      </w:r>
      <w:r w:rsidR="007860CE" w:rsidRPr="00A90A1B">
        <w:rPr>
          <w:b w:val="0"/>
          <w:bCs w:val="0"/>
        </w:rPr>
        <w:t>16.9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6F7EF8">
      <w:pPr>
        <w:pStyle w:val="Subtitle"/>
        <w:spacing w:line="276" w:lineRule="auto"/>
        <w:ind w:left="1080"/>
        <w:jc w:val="both"/>
      </w:pPr>
      <w:r w:rsidRPr="00A90A1B">
        <w:t xml:space="preserve">         Gjithsej                                             </w:t>
      </w:r>
      <w:r w:rsidR="00876E43" w:rsidRPr="00A90A1B">
        <w:t>8</w:t>
      </w:r>
      <w:r w:rsidR="007860CE" w:rsidRPr="00A90A1B">
        <w:t>6</w:t>
      </w:r>
      <w:r w:rsidR="004F68E9" w:rsidRPr="00A90A1B">
        <w:t>.</w:t>
      </w:r>
      <w:r w:rsidR="007860CE" w:rsidRPr="00A90A1B">
        <w:t>67</w:t>
      </w:r>
      <w:r w:rsidRPr="00A90A1B">
        <w:t xml:space="preserve"> %</w:t>
      </w:r>
    </w:p>
    <w:p w:rsidR="00C7600C" w:rsidRPr="00A90A1B" w:rsidRDefault="00C7600C" w:rsidP="006F7EF8">
      <w:pPr>
        <w:spacing w:line="276" w:lineRule="auto"/>
        <w:jc w:val="both"/>
      </w:pPr>
    </w:p>
    <w:p w:rsidR="008F5254" w:rsidRPr="00A90A1B" w:rsidRDefault="008F5254" w:rsidP="006F7EF8">
      <w:pPr>
        <w:spacing w:line="276" w:lineRule="auto"/>
        <w:jc w:val="both"/>
      </w:pPr>
      <w:r w:rsidRPr="00A90A1B">
        <w:rPr>
          <w:noProof/>
        </w:rPr>
        <w:lastRenderedPageBreak/>
        <w:drawing>
          <wp:inline distT="0" distB="0" distL="0" distR="0" wp14:anchorId="645A7442" wp14:editId="7D2AE35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F5254" w:rsidRPr="00A90A1B" w:rsidRDefault="008F5254" w:rsidP="006F7EF8">
      <w:pPr>
        <w:spacing w:line="276" w:lineRule="auto"/>
        <w:jc w:val="both"/>
      </w:pPr>
    </w:p>
    <w:p w:rsidR="008F5254" w:rsidRPr="00A90A1B" w:rsidRDefault="008F5254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Treguesit buxhetorë tregojnë për një realiz</w:t>
      </w:r>
      <w:r w:rsidR="008E7634" w:rsidRPr="00A90A1B">
        <w:t>i</w:t>
      </w:r>
      <w:r w:rsidRPr="00A90A1B">
        <w:t xml:space="preserve">m të mirë të shpenzimeve të personelit, </w:t>
      </w:r>
      <w:r w:rsidR="00C4142D" w:rsidRPr="00A90A1B">
        <w:t>dhe t</w:t>
      </w:r>
      <w:r w:rsidR="00D63FF5" w:rsidRPr="00A90A1B">
        <w:t>ë</w:t>
      </w:r>
      <w:r w:rsidR="00C4142D" w:rsidRPr="00A90A1B">
        <w:t xml:space="preserve"> shpenzimeve operative.</w:t>
      </w:r>
      <w:proofErr w:type="gramEnd"/>
      <w:r w:rsidR="00C4142D" w:rsidRPr="00A90A1B">
        <w:t xml:space="preserve"> </w:t>
      </w:r>
      <w:proofErr w:type="gramStart"/>
      <w:r w:rsidR="00C4142D" w:rsidRPr="00A90A1B">
        <w:t>Nd</w:t>
      </w:r>
      <w:r w:rsidR="00D63FF5" w:rsidRPr="00A90A1B">
        <w:t>ë</w:t>
      </w:r>
      <w:r w:rsidR="00C4142D" w:rsidRPr="00A90A1B">
        <w:t>rsa</w:t>
      </w:r>
      <w:r w:rsidRPr="00A90A1B">
        <w:t xml:space="preserve"> shpenzime</w:t>
      </w:r>
      <w:r w:rsidR="00C4142D" w:rsidRPr="00A90A1B">
        <w:t>t</w:t>
      </w:r>
      <w:r w:rsidRPr="00A90A1B">
        <w:t xml:space="preserve"> kapitale, të cilat </w:t>
      </w:r>
      <w:r w:rsidR="00033489" w:rsidRPr="00A90A1B">
        <w:t xml:space="preserve">nuk </w:t>
      </w:r>
      <w:r w:rsidRPr="00A90A1B">
        <w:t xml:space="preserve">janë realizuar </w:t>
      </w:r>
      <w:r w:rsidR="007B46CE" w:rsidRPr="00A90A1B">
        <w:t>pjes</w:t>
      </w:r>
      <w:r w:rsidR="00A90A1B">
        <w:t>ë</w:t>
      </w:r>
      <w:r w:rsidR="007B46CE" w:rsidRPr="00A90A1B">
        <w:t xml:space="preserve">risht pasi fondi i akorduar </w:t>
      </w:r>
      <w:r w:rsidR="00634010" w:rsidRPr="00A90A1B">
        <w:t>me Aktin Normativ Nr 1 (</w:t>
      </w:r>
      <w:r w:rsidR="007B46CE" w:rsidRPr="00A90A1B">
        <w:t>Rishikimi i Buxhetit</w:t>
      </w:r>
      <w:r w:rsidR="00634010" w:rsidRPr="00A90A1B">
        <w:t>)</w:t>
      </w:r>
      <w:r w:rsidR="007B46CE" w:rsidRPr="00A90A1B">
        <w:t xml:space="preserve"> u tenderua tep</w:t>
      </w:r>
      <w:r w:rsidR="00A90A1B">
        <w:t>ë</w:t>
      </w:r>
      <w:r w:rsidR="007B46CE" w:rsidRPr="00A90A1B">
        <w:t>r von</w:t>
      </w:r>
      <w:r w:rsidR="00A90A1B">
        <w:t>ë</w:t>
      </w:r>
      <w:r w:rsidR="007B46CE" w:rsidRPr="00A90A1B">
        <w:t xml:space="preserve"> nga Ministria e Brendshme dhe nuk u arrit t</w:t>
      </w:r>
      <w:r w:rsidR="00A90A1B">
        <w:t>ë</w:t>
      </w:r>
      <w:r w:rsidR="007B46CE" w:rsidRPr="00A90A1B">
        <w:t xml:space="preserve"> lidhej kontrata p</w:t>
      </w:r>
      <w:r w:rsidR="00A90A1B">
        <w:t>ë</w:t>
      </w:r>
      <w:r w:rsidR="007B46CE" w:rsidRPr="00A90A1B">
        <w:t>r blerjen e pajisjeve</w:t>
      </w:r>
      <w:r w:rsidRPr="00A90A1B">
        <w:t xml:space="preserve"> në terma financiarë.</w:t>
      </w:r>
      <w:proofErr w:type="gramEnd"/>
      <w:r w:rsidRPr="00A90A1B">
        <w:t xml:space="preserve"> </w:t>
      </w:r>
      <w:proofErr w:type="gramStart"/>
      <w:r w:rsidR="00634010" w:rsidRPr="00A90A1B">
        <w:t>Pjesa tjet</w:t>
      </w:r>
      <w:r w:rsidR="00A90A1B">
        <w:t>ë</w:t>
      </w:r>
      <w:r w:rsidR="00634010" w:rsidRPr="00A90A1B">
        <w:t>r e investimeve q</w:t>
      </w:r>
      <w:r w:rsidR="00A90A1B">
        <w:t>ë</w:t>
      </w:r>
      <w:r w:rsidR="00634010" w:rsidRPr="00A90A1B">
        <w:t xml:space="preserve"> ishte akorduar q</w:t>
      </w:r>
      <w:r w:rsidR="00A90A1B">
        <w:t>ë</w:t>
      </w:r>
      <w:r w:rsidR="00634010" w:rsidRPr="00A90A1B">
        <w:t xml:space="preserve"> n</w:t>
      </w:r>
      <w:r w:rsidR="00A90A1B">
        <w:t>ë</w:t>
      </w:r>
      <w:r w:rsidR="00634010" w:rsidRPr="00A90A1B">
        <w:t xml:space="preserve"> fillim t</w:t>
      </w:r>
      <w:r w:rsidR="00A90A1B">
        <w:t>ë</w:t>
      </w:r>
      <w:r w:rsidR="00634010" w:rsidRPr="00A90A1B">
        <w:t xml:space="preserve"> vitit buxhetor u realizua plot</w:t>
      </w:r>
      <w:r w:rsidR="00A90A1B">
        <w:t>ë</w:t>
      </w:r>
      <w:r w:rsidR="00634010" w:rsidRPr="00A90A1B">
        <w:t>sisht.</w:t>
      </w:r>
      <w:proofErr w:type="gramEnd"/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8C79BE" w:rsidRPr="00A90A1B" w:rsidRDefault="00C7600C" w:rsidP="00634010">
      <w:pPr>
        <w:spacing w:line="276" w:lineRule="auto"/>
        <w:ind w:left="-900"/>
        <w:jc w:val="both"/>
      </w:pPr>
      <w:proofErr w:type="gramStart"/>
      <w:r w:rsidRPr="00A90A1B">
        <w:t xml:space="preserve">Janë parashikuar </w:t>
      </w:r>
      <w:r w:rsidR="004F68E9" w:rsidRPr="00A90A1B">
        <w:t>2</w:t>
      </w:r>
      <w:r w:rsidRPr="00A90A1B">
        <w:t xml:space="preserve"> produkte për vitin 201</w:t>
      </w:r>
      <w:r w:rsidR="00634010" w:rsidRPr="00A90A1B">
        <w:t>4</w:t>
      </w:r>
      <w:r w:rsidRPr="00A90A1B">
        <w:t xml:space="preserve">, “Ekzekutimi i titujve ekzekutivë”, </w:t>
      </w:r>
      <w:r w:rsidR="004F68E9" w:rsidRPr="00A90A1B">
        <w:t xml:space="preserve">dhe </w:t>
      </w:r>
      <w:r w:rsidRPr="00A90A1B">
        <w:t>“Menaxhimi i Shërbimit Përmbarimor Gjyqësor”.</w:t>
      </w:r>
      <w:proofErr w:type="gramEnd"/>
      <w:r w:rsidRPr="00A90A1B">
        <w:t xml:space="preserve"> </w:t>
      </w:r>
      <w:proofErr w:type="gramStart"/>
      <w:r w:rsidRPr="00A90A1B">
        <w:t xml:space="preserve">Gjatë </w:t>
      </w:r>
      <w:r w:rsidR="004F68E9" w:rsidRPr="00A90A1B">
        <w:t>k</w:t>
      </w:r>
      <w:r w:rsidR="000D54BA" w:rsidRPr="00A90A1B">
        <w:t>ë</w:t>
      </w:r>
      <w:r w:rsidR="004F68E9" w:rsidRPr="00A90A1B">
        <w:t>saj periudhe</w:t>
      </w:r>
      <w:r w:rsidRPr="00A90A1B">
        <w:t>, produkti i parë është realizuar p</w:t>
      </w:r>
      <w:r w:rsidR="0016469D" w:rsidRPr="00A90A1B">
        <w:t>jes</w:t>
      </w:r>
      <w:r w:rsidRPr="00A90A1B">
        <w:t>ë</w:t>
      </w:r>
      <w:r w:rsidR="0016469D" w:rsidRPr="00A90A1B">
        <w:t>rish</w:t>
      </w:r>
      <w:r w:rsidR="004F68E9" w:rsidRPr="00A90A1B">
        <w:t>t</w:t>
      </w:r>
      <w:r w:rsidRPr="00A90A1B">
        <w:t>.</w:t>
      </w:r>
      <w:proofErr w:type="gramEnd"/>
      <w:r w:rsidRPr="00A90A1B">
        <w:t xml:space="preserve"> </w:t>
      </w:r>
      <w:proofErr w:type="gramStart"/>
      <w:r w:rsidRPr="00A90A1B">
        <w:t xml:space="preserve">Kështu janë ekzekutuar </w:t>
      </w:r>
      <w:r w:rsidR="00634010" w:rsidRPr="00A90A1B">
        <w:t>8.555</w:t>
      </w:r>
      <w:r w:rsidRPr="00A90A1B">
        <w:t xml:space="preserve"> tituj ekzekutivë, nga </w:t>
      </w:r>
      <w:r w:rsidR="00634010" w:rsidRPr="00A90A1B">
        <w:t>9.</w:t>
      </w:r>
      <w:r w:rsidR="008E7634" w:rsidRPr="00A90A1B">
        <w:t>6</w:t>
      </w:r>
      <w:r w:rsidR="00634010" w:rsidRPr="00A90A1B">
        <w:t>8</w:t>
      </w:r>
      <w:r w:rsidR="008E7634" w:rsidRPr="00A90A1B">
        <w:t>0</w:t>
      </w:r>
      <w:r w:rsidRPr="00A90A1B">
        <w:t xml:space="preserve"> të planifikuara </w:t>
      </w:r>
      <w:r w:rsidR="008E7634" w:rsidRPr="00A90A1B">
        <w:t>p</w:t>
      </w:r>
      <w:r w:rsidR="00DB3C97" w:rsidRPr="00A90A1B">
        <w:t>ë</w:t>
      </w:r>
      <w:r w:rsidR="008E7634" w:rsidRPr="00A90A1B">
        <w:t>r k</w:t>
      </w:r>
      <w:r w:rsidR="00DB3C97" w:rsidRPr="00A90A1B">
        <w:t>ë</w:t>
      </w:r>
      <w:r w:rsidR="008E7634" w:rsidRPr="00A90A1B">
        <w:t>t</w:t>
      </w:r>
      <w:r w:rsidR="00DB3C97" w:rsidRPr="00A90A1B">
        <w:t>ë</w:t>
      </w:r>
      <w:r w:rsidR="008E7634" w:rsidRPr="00A90A1B">
        <w:t xml:space="preserve"> periudh</w:t>
      </w:r>
      <w:r w:rsidR="00DB3C97" w:rsidRPr="00A90A1B">
        <w:t>ë</w:t>
      </w:r>
      <w:r w:rsidRPr="00A90A1B">
        <w:t>.</w:t>
      </w:r>
      <w:proofErr w:type="gramEnd"/>
      <w:r w:rsidRPr="00A90A1B">
        <w:t xml:space="preserve"> </w:t>
      </w:r>
      <w:proofErr w:type="gramStart"/>
      <w:r w:rsidRPr="00A90A1B">
        <w:t xml:space="preserve">Produkti i dytë </w:t>
      </w:r>
      <w:r w:rsidR="000D54BA" w:rsidRPr="00A90A1B">
        <w:t>ë</w:t>
      </w:r>
      <w:r w:rsidR="004F68E9" w:rsidRPr="00A90A1B">
        <w:t>sht</w:t>
      </w:r>
      <w:r w:rsidR="000D54BA" w:rsidRPr="00A90A1B">
        <w:t>ë</w:t>
      </w:r>
      <w:r w:rsidR="004F68E9" w:rsidRPr="00A90A1B">
        <w:t xml:space="preserve"> </w:t>
      </w:r>
      <w:r w:rsidRPr="00A90A1B">
        <w:t>realizua</w:t>
      </w:r>
      <w:r w:rsidR="004F68E9" w:rsidRPr="00A90A1B">
        <w:t>r</w:t>
      </w:r>
      <w:r w:rsidRPr="00A90A1B">
        <w:t xml:space="preserve"> plotësisht sipas parashikimit.</w:t>
      </w:r>
      <w:proofErr w:type="gramEnd"/>
      <w:r w:rsidRPr="00A90A1B">
        <w:t xml:space="preserve"> </w:t>
      </w:r>
      <w:r w:rsidR="00634010" w:rsidRPr="00A90A1B">
        <w:t>Per dy projektet Blerje pajisje zyre dhe orendi t</w:t>
      </w:r>
      <w:r w:rsidR="00A90A1B">
        <w:t>ë</w:t>
      </w:r>
      <w:r w:rsidR="00634010" w:rsidRPr="00A90A1B">
        <w:t xml:space="preserve"> tjera </w:t>
      </w:r>
      <w:r w:rsidR="00A90A1B">
        <w:t>ë</w:t>
      </w:r>
      <w:r w:rsidR="00634010" w:rsidRPr="00A90A1B">
        <w:t>sht</w:t>
      </w:r>
      <w:r w:rsidR="00A90A1B">
        <w:t>ë</w:t>
      </w:r>
      <w:r w:rsidR="00634010" w:rsidRPr="00A90A1B">
        <w:t xml:space="preserve"> realizuar </w:t>
      </w:r>
      <w:proofErr w:type="gramStart"/>
      <w:r w:rsidR="00634010" w:rsidRPr="00A90A1B">
        <w:t>dhe  likuidimi</w:t>
      </w:r>
      <w:proofErr w:type="gramEnd"/>
      <w:r w:rsidR="00634010" w:rsidRPr="00A90A1B">
        <w:t xml:space="preserve"> I shumave p</w:t>
      </w:r>
      <w:r w:rsidR="00A90A1B">
        <w:t>ë</w:t>
      </w:r>
      <w:r w:rsidR="00634010" w:rsidRPr="00A90A1B">
        <w:t>rkat</w:t>
      </w:r>
      <w:r w:rsidR="00A90A1B">
        <w:t>ë</w:t>
      </w:r>
      <w:r w:rsidR="00634010" w:rsidRPr="00A90A1B">
        <w:t>se.</w:t>
      </w:r>
    </w:p>
    <w:p w:rsidR="00634010" w:rsidRPr="00A90A1B" w:rsidRDefault="00634010" w:rsidP="006F7EF8">
      <w:pPr>
        <w:spacing w:line="276" w:lineRule="auto"/>
        <w:jc w:val="both"/>
        <w:rPr>
          <w:b/>
        </w:rPr>
      </w:pPr>
    </w:p>
    <w:p w:rsidR="00634010" w:rsidRPr="00A90A1B" w:rsidRDefault="00634010" w:rsidP="006F7EF8">
      <w:pPr>
        <w:spacing w:line="276" w:lineRule="auto"/>
        <w:jc w:val="both"/>
        <w:rPr>
          <w:b/>
        </w:rPr>
      </w:pPr>
    </w:p>
    <w:p w:rsidR="00634010" w:rsidRPr="00A90A1B" w:rsidRDefault="00634010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A90A1B">
        <w:rPr>
          <w:b/>
        </w:rPr>
        <w:t>Programi “Shërbimi për Çështjet e Birësimeve”</w:t>
      </w: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Ky</w:t>
      </w:r>
      <w:proofErr w:type="gramEnd"/>
      <w:r w:rsidRPr="00A90A1B">
        <w:t xml:space="preserve"> program, për </w:t>
      </w:r>
      <w:r w:rsidR="00630741" w:rsidRPr="00A90A1B">
        <w:t>viti</w:t>
      </w:r>
      <w:r w:rsidR="007B43C6" w:rsidRPr="00A90A1B">
        <w:t>n</w:t>
      </w:r>
      <w:r w:rsidR="00630741" w:rsidRPr="00A90A1B">
        <w:t xml:space="preserve"> 2014</w:t>
      </w:r>
      <w:r w:rsidRPr="00A90A1B">
        <w:t xml:space="preserve">, ka realizuar treguesit e shpenzimeve në </w:t>
      </w:r>
      <w:r w:rsidRPr="00A90A1B">
        <w:rPr>
          <w:b/>
        </w:rPr>
        <w:t xml:space="preserve">masën </w:t>
      </w:r>
      <w:r w:rsidR="006A659D" w:rsidRPr="00A90A1B">
        <w:rPr>
          <w:b/>
        </w:rPr>
        <w:t>8</w:t>
      </w:r>
      <w:r w:rsidR="007B43C6" w:rsidRPr="00A90A1B">
        <w:rPr>
          <w:b/>
        </w:rPr>
        <w:t>2.65</w:t>
      </w:r>
      <w:r w:rsidRPr="00A90A1B">
        <w:rPr>
          <w:b/>
        </w:rPr>
        <w:t xml:space="preserve">%. </w:t>
      </w:r>
      <w:r w:rsidRPr="00A90A1B">
        <w:t xml:space="preserve">Krahasuar me planin e periudhës, </w:t>
      </w:r>
      <w:r w:rsidR="006A659D" w:rsidRPr="00A90A1B">
        <w:t>shpenzimet jan</w:t>
      </w:r>
      <w:r w:rsidR="00A8789B" w:rsidRPr="00A90A1B">
        <w:t>ë</w:t>
      </w:r>
      <w:r w:rsidR="006A659D" w:rsidRPr="00A90A1B">
        <w:t xml:space="preserve"> realizuar n</w:t>
      </w:r>
      <w:r w:rsidR="00A8789B" w:rsidRPr="00A90A1B">
        <w:t>ë</w:t>
      </w:r>
      <w:r w:rsidR="006A659D" w:rsidRPr="00A90A1B">
        <w:t xml:space="preserve"> </w:t>
      </w:r>
      <w:r w:rsidRPr="00A90A1B">
        <w:t>zëra si më poshtë:</w:t>
      </w: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0C62E2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 xml:space="preserve">Shpenzimet e personelit                          </w:t>
      </w:r>
      <w:r w:rsidR="00630741" w:rsidRPr="00A90A1B">
        <w:rPr>
          <w:b w:val="0"/>
          <w:bCs w:val="0"/>
          <w:lang w:val="da-DK"/>
        </w:rPr>
        <w:t>8</w:t>
      </w:r>
      <w:r w:rsidR="004A2189" w:rsidRPr="00A90A1B">
        <w:rPr>
          <w:b w:val="0"/>
          <w:bCs w:val="0"/>
          <w:lang w:val="da-DK"/>
        </w:rPr>
        <w:t>1</w:t>
      </w:r>
      <w:r w:rsidR="00630741" w:rsidRPr="00A90A1B">
        <w:rPr>
          <w:b w:val="0"/>
          <w:bCs w:val="0"/>
          <w:lang w:val="da-DK"/>
        </w:rPr>
        <w:t>.</w:t>
      </w:r>
      <w:r w:rsidR="007B43C6" w:rsidRPr="00A90A1B">
        <w:rPr>
          <w:b w:val="0"/>
          <w:bCs w:val="0"/>
          <w:lang w:val="da-DK"/>
        </w:rPr>
        <w:t>2</w:t>
      </w:r>
      <w:r w:rsidR="00630741" w:rsidRPr="00A90A1B">
        <w:rPr>
          <w:b w:val="0"/>
          <w:bCs w:val="0"/>
          <w:lang w:val="da-DK"/>
        </w:rPr>
        <w:t>7</w:t>
      </w:r>
      <w:r w:rsidRPr="00A90A1B">
        <w:rPr>
          <w:b w:val="0"/>
          <w:bCs w:val="0"/>
          <w:lang w:val="da-DK"/>
        </w:rPr>
        <w:t xml:space="preserve"> % </w:t>
      </w:r>
    </w:p>
    <w:p w:rsidR="00C7600C" w:rsidRPr="00A90A1B" w:rsidRDefault="00C7600C" w:rsidP="000C62E2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</w:t>
      </w:r>
      <w:r w:rsidR="0097772D" w:rsidRPr="00A90A1B">
        <w:rPr>
          <w:b w:val="0"/>
          <w:bCs w:val="0"/>
        </w:rPr>
        <w:t xml:space="preserve">  </w:t>
      </w:r>
      <w:r w:rsidR="007B43C6" w:rsidRPr="00A90A1B">
        <w:rPr>
          <w:b w:val="0"/>
          <w:bCs w:val="0"/>
        </w:rPr>
        <w:t>88</w:t>
      </w:r>
      <w:r w:rsidR="00C27234" w:rsidRPr="00A90A1B">
        <w:rPr>
          <w:b w:val="0"/>
          <w:bCs w:val="0"/>
        </w:rPr>
        <w:t>.</w:t>
      </w:r>
      <w:r w:rsidR="007B43C6" w:rsidRPr="00A90A1B">
        <w:rPr>
          <w:b w:val="0"/>
          <w:bCs w:val="0"/>
        </w:rPr>
        <w:t>7</w:t>
      </w:r>
      <w:r w:rsidR="00C27234" w:rsidRPr="00A90A1B">
        <w:rPr>
          <w:b w:val="0"/>
          <w:bCs w:val="0"/>
        </w:rPr>
        <w:t>2</w:t>
      </w:r>
      <w:r w:rsidRPr="00A90A1B">
        <w:rPr>
          <w:b w:val="0"/>
          <w:bCs w:val="0"/>
        </w:rPr>
        <w:t>%</w:t>
      </w:r>
    </w:p>
    <w:p w:rsidR="00C7600C" w:rsidRPr="00A90A1B" w:rsidRDefault="00C7600C" w:rsidP="000C62E2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                          </w:t>
      </w:r>
      <w:r w:rsidR="0097772D" w:rsidRPr="00A90A1B">
        <w:rPr>
          <w:b w:val="0"/>
          <w:bCs w:val="0"/>
        </w:rPr>
        <w:t xml:space="preserve">    </w:t>
      </w:r>
      <w:r w:rsidR="007B43C6" w:rsidRPr="00A90A1B">
        <w:rPr>
          <w:b w:val="0"/>
          <w:bCs w:val="0"/>
        </w:rPr>
        <w:t>73.27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6F7EF8">
      <w:pPr>
        <w:pStyle w:val="Subtitle"/>
        <w:spacing w:line="276" w:lineRule="auto"/>
        <w:ind w:left="1080"/>
        <w:jc w:val="both"/>
      </w:pPr>
      <w:r w:rsidRPr="00A90A1B">
        <w:t xml:space="preserve">         Gjithsej                                         </w:t>
      </w:r>
      <w:r w:rsidR="0097772D" w:rsidRPr="00A90A1B">
        <w:t xml:space="preserve">    </w:t>
      </w:r>
      <w:r w:rsidR="00C27234" w:rsidRPr="00A90A1B">
        <w:t>8</w:t>
      </w:r>
      <w:r w:rsidR="007B43C6" w:rsidRPr="00A90A1B">
        <w:t>2.65</w:t>
      </w:r>
      <w:r w:rsidRPr="00A90A1B">
        <w:t xml:space="preserve"> %</w:t>
      </w:r>
      <w:r w:rsidR="0054596C" w:rsidRPr="00A90A1B">
        <w:t xml:space="preserve"> </w:t>
      </w:r>
    </w:p>
    <w:p w:rsidR="0054596C" w:rsidRPr="00A90A1B" w:rsidRDefault="0054596C" w:rsidP="006F7EF8">
      <w:pPr>
        <w:pStyle w:val="Subtitle"/>
        <w:spacing w:line="276" w:lineRule="auto"/>
        <w:ind w:left="1080"/>
        <w:jc w:val="both"/>
      </w:pPr>
    </w:p>
    <w:p w:rsidR="0054596C" w:rsidRPr="00A90A1B" w:rsidRDefault="0054596C" w:rsidP="006F7EF8">
      <w:pPr>
        <w:pStyle w:val="Subtitle"/>
        <w:spacing w:line="276" w:lineRule="auto"/>
        <w:ind w:left="1080"/>
        <w:jc w:val="both"/>
      </w:pPr>
    </w:p>
    <w:p w:rsidR="0054596C" w:rsidRPr="00A90A1B" w:rsidRDefault="00F836EC" w:rsidP="00FB4666">
      <w:pPr>
        <w:pStyle w:val="Subtitle"/>
        <w:spacing w:line="276" w:lineRule="auto"/>
        <w:ind w:left="1080"/>
        <w:jc w:val="both"/>
      </w:pPr>
      <w:r w:rsidRPr="00A90A1B">
        <w:rPr>
          <w:noProof/>
          <w:lang w:val="en-US"/>
        </w:rPr>
        <w:lastRenderedPageBreak/>
        <w:drawing>
          <wp:inline distT="0" distB="0" distL="0" distR="0" wp14:anchorId="55157B47" wp14:editId="3427406A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4596C" w:rsidRPr="00A90A1B" w:rsidRDefault="0054596C" w:rsidP="006F7EF8">
      <w:pPr>
        <w:pStyle w:val="Subtitle"/>
        <w:spacing w:line="276" w:lineRule="auto"/>
        <w:ind w:left="1080"/>
        <w:jc w:val="both"/>
      </w:pPr>
    </w:p>
    <w:p w:rsidR="0054596C" w:rsidRPr="00A90A1B" w:rsidRDefault="0054596C" w:rsidP="006F7EF8">
      <w:pPr>
        <w:pStyle w:val="Subtitle"/>
        <w:spacing w:line="276" w:lineRule="auto"/>
        <w:ind w:left="108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Realizimi i shpenzimeve të personelit</w:t>
      </w:r>
      <w:r w:rsidR="00630741" w:rsidRPr="00A90A1B">
        <w:t xml:space="preserve"> dhe</w:t>
      </w:r>
      <w:r w:rsidRPr="00A90A1B">
        <w:t xml:space="preserve"> shpenzimeve operative</w:t>
      </w:r>
      <w:r w:rsidR="00630741" w:rsidRPr="00A90A1B">
        <w:t xml:space="preserve"> </w:t>
      </w:r>
      <w:r w:rsidRPr="00A90A1B">
        <w:t xml:space="preserve">është </w:t>
      </w:r>
      <w:r w:rsidR="00500F4E" w:rsidRPr="00A90A1B">
        <w:t>n</w:t>
      </w:r>
      <w:r w:rsidR="00474A81" w:rsidRPr="00A90A1B">
        <w:t>ë</w:t>
      </w:r>
      <w:r w:rsidR="00500F4E" w:rsidRPr="00A90A1B">
        <w:t xml:space="preserve"> nivele t</w:t>
      </w:r>
      <w:r w:rsidR="00474A81" w:rsidRPr="00A90A1B">
        <w:t>ë</w:t>
      </w:r>
      <w:r w:rsidR="00500F4E" w:rsidRPr="00A90A1B">
        <w:t xml:space="preserve"> mira.</w:t>
      </w:r>
      <w:proofErr w:type="gramEnd"/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>Për vitin 201</w:t>
      </w:r>
      <w:r w:rsidR="00630741" w:rsidRPr="00A90A1B">
        <w:t>4</w:t>
      </w:r>
      <w:r w:rsidRPr="00A90A1B">
        <w:t xml:space="preserve">, ky program ka parashikuar një produkt të vetëm “Birësime të realizuara”, të cilin e ka </w:t>
      </w:r>
      <w:r w:rsidR="00B2264D" w:rsidRPr="00A90A1B">
        <w:t>tejkaluar</w:t>
      </w:r>
      <w:r w:rsidRPr="00A90A1B">
        <w:t xml:space="preserve">, nga </w:t>
      </w:r>
      <w:r w:rsidR="00B2264D" w:rsidRPr="00A90A1B">
        <w:t>50</w:t>
      </w:r>
      <w:r w:rsidRPr="00A90A1B">
        <w:t xml:space="preserve"> të planifikuara </w:t>
      </w:r>
      <w:r w:rsidR="00B564BB" w:rsidRPr="00A90A1B">
        <w:t>p</w:t>
      </w:r>
      <w:r w:rsidR="000D54BA" w:rsidRPr="00A90A1B">
        <w:t>ë</w:t>
      </w:r>
      <w:r w:rsidR="00B564BB" w:rsidRPr="00A90A1B">
        <w:t>r viti</w:t>
      </w:r>
      <w:r w:rsidR="00B2264D" w:rsidRPr="00A90A1B">
        <w:t>n</w:t>
      </w:r>
      <w:r w:rsidRPr="00A90A1B">
        <w:t xml:space="preserve">, janë realizuar </w:t>
      </w:r>
      <w:r w:rsidR="00B2264D" w:rsidRPr="00A90A1B">
        <w:t>67</w:t>
      </w:r>
      <w:r w:rsidRPr="00A90A1B">
        <w:t xml:space="preserve"> birësime. </w:t>
      </w:r>
      <w:proofErr w:type="gramStart"/>
      <w:r w:rsidRPr="00A90A1B">
        <w:t>Theksojmë se, përfundimi i procedurës së birësimit, varet nga shumë faktorë, si gjykata, monitorimi i periudhës etj.</w:t>
      </w:r>
      <w:proofErr w:type="gramEnd"/>
      <w:r w:rsidRPr="00A90A1B">
        <w:t xml:space="preserve"> </w:t>
      </w:r>
      <w:proofErr w:type="gramStart"/>
      <w:r w:rsidR="00B2264D" w:rsidRPr="00A90A1B">
        <w:t>Jan</w:t>
      </w:r>
      <w:r w:rsidR="00A90A1B">
        <w:t>ë</w:t>
      </w:r>
      <w:r w:rsidR="00B2264D" w:rsidRPr="00A90A1B">
        <w:t xml:space="preserve"> kaluar v</w:t>
      </w:r>
      <w:r w:rsidR="00A90A1B">
        <w:t>ë</w:t>
      </w:r>
      <w:r w:rsidR="00B2264D" w:rsidRPr="00A90A1B">
        <w:t>shtir</w:t>
      </w:r>
      <w:r w:rsidR="00A90A1B">
        <w:t>ë</w:t>
      </w:r>
      <w:r w:rsidR="00B2264D" w:rsidRPr="00A90A1B">
        <w:t>sit</w:t>
      </w:r>
      <w:r w:rsidR="00A90A1B">
        <w:t>ë</w:t>
      </w:r>
      <w:r w:rsidR="00B2264D" w:rsidRPr="00A90A1B">
        <w:t xml:space="preserve"> n</w:t>
      </w:r>
      <w:r w:rsidR="00A90A1B">
        <w:t>ë</w:t>
      </w:r>
      <w:r w:rsidRPr="00A90A1B">
        <w:t xml:space="preserve"> vonesa nga përfundimi i procedurave të deklarimit të braktisjes së fëmijëve e deri në gjykatat e rretheve ku ndodhen institucionet e përkujdesjes.</w:t>
      </w:r>
      <w:proofErr w:type="gramEnd"/>
      <w:r w:rsidR="00A4195C" w:rsidRPr="00A90A1B">
        <w:t xml:space="preserve"> </w:t>
      </w:r>
      <w:proofErr w:type="gramStart"/>
      <w:r w:rsidR="00A4195C" w:rsidRPr="00A90A1B">
        <w:t>Ka dhe proçedura t</w:t>
      </w:r>
      <w:r w:rsidR="00B63EC0" w:rsidRPr="00A90A1B">
        <w:t>ë</w:t>
      </w:r>
      <w:r w:rsidR="00A4195C" w:rsidRPr="00A90A1B">
        <w:t xml:space="preserve"> cilat kan</w:t>
      </w:r>
      <w:r w:rsidR="00474A81" w:rsidRPr="00A90A1B">
        <w:t>ë</w:t>
      </w:r>
      <w:r w:rsidR="00A4195C" w:rsidRPr="00A90A1B">
        <w:t xml:space="preserve"> filluar </w:t>
      </w:r>
      <w:r w:rsidR="00B2264D" w:rsidRPr="00A90A1B">
        <w:t>m</w:t>
      </w:r>
      <w:r w:rsidR="00A90A1B">
        <w:t>ë</w:t>
      </w:r>
      <w:r w:rsidR="00B2264D" w:rsidRPr="00A90A1B">
        <w:t xml:space="preserve"> p</w:t>
      </w:r>
      <w:r w:rsidR="00A90A1B">
        <w:t>ë</w:t>
      </w:r>
      <w:r w:rsidR="00B2264D" w:rsidRPr="00A90A1B">
        <w:t xml:space="preserve">rpara </w:t>
      </w:r>
      <w:r w:rsidR="00A4195C" w:rsidRPr="00A90A1B">
        <w:t xml:space="preserve">dhe </w:t>
      </w:r>
      <w:r w:rsidR="00B564BB" w:rsidRPr="00A90A1B">
        <w:t>k</w:t>
      </w:r>
      <w:r w:rsidR="00A4195C" w:rsidRPr="00A90A1B">
        <w:t>an</w:t>
      </w:r>
      <w:r w:rsidR="00474A81" w:rsidRPr="00A90A1B">
        <w:t>ë</w:t>
      </w:r>
      <w:r w:rsidR="00A4195C" w:rsidRPr="00A90A1B">
        <w:t xml:space="preserve"> </w:t>
      </w:r>
      <w:r w:rsidR="00B564BB" w:rsidRPr="00A90A1B">
        <w:t>p</w:t>
      </w:r>
      <w:r w:rsidR="000D54BA" w:rsidRPr="00A90A1B">
        <w:t>ë</w:t>
      </w:r>
      <w:r w:rsidR="00B564BB" w:rsidRPr="00A90A1B">
        <w:t>rfunduar n</w:t>
      </w:r>
      <w:r w:rsidR="000D54BA" w:rsidRPr="00A90A1B">
        <w:t>ë</w:t>
      </w:r>
      <w:r w:rsidR="00B564BB" w:rsidRPr="00A90A1B">
        <w:t xml:space="preserve"> k</w:t>
      </w:r>
      <w:r w:rsidR="000D54BA" w:rsidRPr="00A90A1B">
        <w:t>ë</w:t>
      </w:r>
      <w:r w:rsidR="00B564BB" w:rsidRPr="00A90A1B">
        <w:t>t</w:t>
      </w:r>
      <w:r w:rsidR="000D54BA" w:rsidRPr="00A90A1B">
        <w:t>ë</w:t>
      </w:r>
      <w:r w:rsidR="00B564BB" w:rsidRPr="00A90A1B">
        <w:t xml:space="preserve"> periudh</w:t>
      </w:r>
      <w:r w:rsidR="000D54BA" w:rsidRPr="00A90A1B">
        <w:t>ë</w:t>
      </w:r>
      <w:r w:rsidR="00A4195C" w:rsidRPr="00A90A1B">
        <w:t>.</w:t>
      </w:r>
      <w:proofErr w:type="gramEnd"/>
      <w:r w:rsidR="00D63FF5" w:rsidRPr="00A90A1B">
        <w:t xml:space="preserve"> Për </w:t>
      </w:r>
      <w:proofErr w:type="gramStart"/>
      <w:r w:rsidR="00D63FF5" w:rsidRPr="00A90A1B">
        <w:t>sa</w:t>
      </w:r>
      <w:proofErr w:type="gramEnd"/>
      <w:r w:rsidR="00D63FF5" w:rsidRPr="00A90A1B">
        <w:t xml:space="preserve"> i përket investimeve </w:t>
      </w:r>
      <w:r w:rsidR="00B2264D" w:rsidRPr="00A90A1B">
        <w:t xml:space="preserve">ato </w:t>
      </w:r>
      <w:r w:rsidR="00B564BB" w:rsidRPr="00A90A1B">
        <w:t>jan</w:t>
      </w:r>
      <w:r w:rsidR="000D54BA" w:rsidRPr="00A90A1B">
        <w:t>ë</w:t>
      </w:r>
      <w:r w:rsidR="00B564BB" w:rsidRPr="00A90A1B">
        <w:t xml:space="preserve"> realizuar </w:t>
      </w:r>
      <w:r w:rsidR="00B2264D" w:rsidRPr="00A90A1B">
        <w:t xml:space="preserve">dhe </w:t>
      </w:r>
      <w:r w:rsidR="00A90A1B">
        <w:t>ë</w:t>
      </w:r>
      <w:r w:rsidR="00B2264D" w:rsidRPr="00A90A1B">
        <w:t>sht</w:t>
      </w:r>
      <w:r w:rsidR="00A90A1B">
        <w:t>ë</w:t>
      </w:r>
      <w:r w:rsidR="00B2264D" w:rsidRPr="00A90A1B">
        <w:t xml:space="preserve"> b</w:t>
      </w:r>
      <w:r w:rsidR="00A90A1B">
        <w:t>ë</w:t>
      </w:r>
      <w:r w:rsidR="00B2264D" w:rsidRPr="00A90A1B">
        <w:t>r</w:t>
      </w:r>
      <w:r w:rsidR="00A90A1B">
        <w:t>ë</w:t>
      </w:r>
      <w:r w:rsidR="00B2264D" w:rsidRPr="00A90A1B">
        <w:t xml:space="preserve"> dhe likuidimi i detyrimeve</w:t>
      </w:r>
      <w:r w:rsidR="00B564BB" w:rsidRPr="00A90A1B">
        <w:t>.</w:t>
      </w:r>
    </w:p>
    <w:p w:rsidR="00B564BB" w:rsidRPr="00A90A1B" w:rsidRDefault="00B564BB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A90A1B">
        <w:rPr>
          <w:b/>
        </w:rPr>
        <w:t>Programi “Shërbimi i  Kthimit dhe Kompesimit të Pronave”</w:t>
      </w: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 xml:space="preserve">Realizimi i shpenzimeve buxhetore </w:t>
      </w:r>
      <w:r w:rsidR="00B2264D" w:rsidRPr="00A90A1B">
        <w:t>p</w:t>
      </w:r>
      <w:r w:rsidR="00A90A1B">
        <w:t>ë</w:t>
      </w:r>
      <w:r w:rsidR="00B2264D" w:rsidRPr="00A90A1B">
        <w:t xml:space="preserve">r </w:t>
      </w:r>
      <w:r w:rsidR="001664BC" w:rsidRPr="00A90A1B">
        <w:t>viti</w:t>
      </w:r>
      <w:r w:rsidR="00B2264D" w:rsidRPr="00A90A1B">
        <w:t>n</w:t>
      </w:r>
      <w:r w:rsidRPr="00A90A1B">
        <w:t xml:space="preserve"> 201</w:t>
      </w:r>
      <w:r w:rsidR="001664BC" w:rsidRPr="00A90A1B">
        <w:t>4</w:t>
      </w:r>
      <w:r w:rsidRPr="00A90A1B">
        <w:t xml:space="preserve">, krahasuar me buxhetin e akorduar të periudhës, është në </w:t>
      </w:r>
      <w:r w:rsidRPr="00A90A1B">
        <w:rPr>
          <w:b/>
        </w:rPr>
        <w:t xml:space="preserve">masën </w:t>
      </w:r>
      <w:r w:rsidR="00B2264D" w:rsidRPr="00A90A1B">
        <w:rPr>
          <w:b/>
        </w:rPr>
        <w:t>81</w:t>
      </w:r>
      <w:r w:rsidR="002840AB" w:rsidRPr="00A90A1B">
        <w:rPr>
          <w:b/>
        </w:rPr>
        <w:t>.</w:t>
      </w:r>
      <w:r w:rsidR="00E35F04" w:rsidRPr="00A90A1B">
        <w:rPr>
          <w:b/>
        </w:rPr>
        <w:t>5</w:t>
      </w:r>
      <w:r w:rsidR="00B2264D" w:rsidRPr="00A90A1B">
        <w:rPr>
          <w:b/>
        </w:rPr>
        <w:t>9</w:t>
      </w:r>
      <w:r w:rsidRPr="00A90A1B">
        <w:rPr>
          <w:b/>
        </w:rPr>
        <w:t xml:space="preserve"> %.</w:t>
      </w:r>
      <w:proofErr w:type="gramEnd"/>
      <w:r w:rsidRPr="00A90A1B">
        <w:rPr>
          <w:b/>
        </w:rPr>
        <w:t xml:space="preserve"> </w:t>
      </w:r>
      <w:r w:rsidRPr="00A90A1B">
        <w:t>Realizimi i shpenzimeve, sipas zërave kryesorë, rezulton si më poshtë:</w:t>
      </w: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 xml:space="preserve">Shpenzimet e personelit                          </w:t>
      </w:r>
      <w:r w:rsidR="00E35F04" w:rsidRPr="00A90A1B">
        <w:rPr>
          <w:b w:val="0"/>
          <w:bCs w:val="0"/>
          <w:lang w:val="da-DK"/>
        </w:rPr>
        <w:t>7</w:t>
      </w:r>
      <w:r w:rsidR="00B2264D" w:rsidRPr="00A90A1B">
        <w:rPr>
          <w:b w:val="0"/>
          <w:bCs w:val="0"/>
          <w:lang w:val="da-DK"/>
        </w:rPr>
        <w:t>4</w:t>
      </w:r>
      <w:r w:rsidR="001664BC" w:rsidRPr="00A90A1B">
        <w:rPr>
          <w:b w:val="0"/>
          <w:bCs w:val="0"/>
          <w:lang w:val="da-DK"/>
        </w:rPr>
        <w:t>.</w:t>
      </w:r>
      <w:r w:rsidR="00B2264D" w:rsidRPr="00A90A1B">
        <w:rPr>
          <w:b w:val="0"/>
          <w:bCs w:val="0"/>
          <w:lang w:val="da-DK"/>
        </w:rPr>
        <w:t>9</w:t>
      </w:r>
      <w:r w:rsidRPr="00A90A1B">
        <w:rPr>
          <w:b w:val="0"/>
          <w:bCs w:val="0"/>
          <w:lang w:val="da-DK"/>
        </w:rPr>
        <w:t xml:space="preserve"> % </w:t>
      </w:r>
    </w:p>
    <w:p w:rsidR="00C7600C" w:rsidRPr="00A90A1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  </w:t>
      </w:r>
      <w:r w:rsidR="009575A8" w:rsidRPr="00A90A1B">
        <w:rPr>
          <w:b w:val="0"/>
          <w:bCs w:val="0"/>
        </w:rPr>
        <w:t>83</w:t>
      </w:r>
      <w:r w:rsidR="00233F10" w:rsidRPr="00A90A1B">
        <w:rPr>
          <w:b w:val="0"/>
          <w:bCs w:val="0"/>
        </w:rPr>
        <w:t>.</w:t>
      </w:r>
      <w:r w:rsidR="009575A8" w:rsidRPr="00A90A1B">
        <w:rPr>
          <w:b w:val="0"/>
          <w:bCs w:val="0"/>
        </w:rPr>
        <w:t>28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për fondin e kompesimit   </w:t>
      </w:r>
      <w:r w:rsidR="001664BC" w:rsidRPr="00A90A1B">
        <w:rPr>
          <w:b w:val="0"/>
          <w:bCs w:val="0"/>
        </w:rPr>
        <w:t xml:space="preserve">  </w:t>
      </w:r>
      <w:r w:rsidRPr="00A90A1B">
        <w:rPr>
          <w:b w:val="0"/>
          <w:bCs w:val="0"/>
        </w:rPr>
        <w:t>100  %</w:t>
      </w:r>
    </w:p>
    <w:p w:rsidR="00C7600C" w:rsidRPr="00A90A1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</w:t>
      </w:r>
      <w:r w:rsidR="001664BC" w:rsidRPr="00A90A1B">
        <w:rPr>
          <w:b w:val="0"/>
          <w:bCs w:val="0"/>
        </w:rPr>
        <w:t xml:space="preserve">                                 </w:t>
      </w:r>
      <w:r w:rsidR="009575A8" w:rsidRPr="00A90A1B">
        <w:rPr>
          <w:b w:val="0"/>
          <w:bCs w:val="0"/>
        </w:rPr>
        <w:t>32</w:t>
      </w:r>
      <w:r w:rsidR="00233F10" w:rsidRPr="00A90A1B">
        <w:rPr>
          <w:b w:val="0"/>
          <w:bCs w:val="0"/>
        </w:rPr>
        <w:t>.</w:t>
      </w:r>
      <w:r w:rsidR="009575A8" w:rsidRPr="00A90A1B">
        <w:rPr>
          <w:b w:val="0"/>
          <w:bCs w:val="0"/>
        </w:rPr>
        <w:t>7</w:t>
      </w:r>
      <w:r w:rsidR="00233F10" w:rsidRPr="00A90A1B">
        <w:rPr>
          <w:b w:val="0"/>
          <w:bCs w:val="0"/>
        </w:rPr>
        <w:t>8</w:t>
      </w:r>
      <w:r w:rsidRPr="00A90A1B">
        <w:rPr>
          <w:b w:val="0"/>
          <w:bCs w:val="0"/>
        </w:rPr>
        <w:t xml:space="preserve"> % </w:t>
      </w:r>
    </w:p>
    <w:p w:rsidR="00C7600C" w:rsidRPr="00A90A1B" w:rsidRDefault="00C7600C" w:rsidP="006F7EF8">
      <w:pPr>
        <w:pStyle w:val="Subtitle"/>
        <w:tabs>
          <w:tab w:val="num" w:pos="1440"/>
        </w:tabs>
        <w:spacing w:line="276" w:lineRule="auto"/>
        <w:ind w:left="900"/>
        <w:jc w:val="both"/>
      </w:pPr>
      <w:r w:rsidRPr="00A90A1B">
        <w:t xml:space="preserve"> Gjithsej për </w:t>
      </w:r>
      <w:r w:rsidR="00653296" w:rsidRPr="00A90A1B">
        <w:t xml:space="preserve">shpenzimet buxhetore        </w:t>
      </w:r>
      <w:r w:rsidR="009575A8" w:rsidRPr="00A90A1B">
        <w:t>81</w:t>
      </w:r>
      <w:r w:rsidR="002840AB" w:rsidRPr="00A90A1B">
        <w:t>.</w:t>
      </w:r>
      <w:r w:rsidR="00233F10" w:rsidRPr="00A90A1B">
        <w:t>5</w:t>
      </w:r>
      <w:r w:rsidR="009575A8" w:rsidRPr="00A90A1B">
        <w:t>9</w:t>
      </w:r>
      <w:r w:rsidRPr="00A90A1B">
        <w:t xml:space="preserve"> %  </w:t>
      </w:r>
    </w:p>
    <w:p w:rsidR="00C7600C" w:rsidRPr="00A90A1B" w:rsidRDefault="00C7600C" w:rsidP="006F7EF8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  <w:r w:rsidRPr="00A90A1B">
        <w:t xml:space="preserve"> </w:t>
      </w:r>
    </w:p>
    <w:p w:rsidR="000C62E2" w:rsidRPr="00A90A1B" w:rsidRDefault="00C7600C" w:rsidP="000C62E2">
      <w:pPr>
        <w:pStyle w:val="Subtitle"/>
        <w:numPr>
          <w:ilvl w:val="0"/>
          <w:numId w:val="11"/>
        </w:numPr>
        <w:spacing w:line="276" w:lineRule="auto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nga të ardhurat </w:t>
      </w:r>
      <w:r w:rsidR="000C62E2" w:rsidRPr="00A90A1B">
        <w:rPr>
          <w:b w:val="0"/>
          <w:bCs w:val="0"/>
        </w:rPr>
        <w:t xml:space="preserve">jashtë buxhetore                  </w:t>
      </w:r>
      <w:r w:rsidR="009575A8" w:rsidRPr="00A90A1B">
        <w:rPr>
          <w:b w:val="0"/>
          <w:bCs w:val="0"/>
        </w:rPr>
        <w:t>88.73</w:t>
      </w:r>
      <w:r w:rsidR="000C62E2" w:rsidRPr="00A90A1B">
        <w:rPr>
          <w:b w:val="0"/>
          <w:bCs w:val="0"/>
        </w:rPr>
        <w:t xml:space="preserve"> %</w:t>
      </w:r>
    </w:p>
    <w:p w:rsidR="00C7600C" w:rsidRPr="00A90A1B" w:rsidRDefault="00C7600C" w:rsidP="006F7EF8">
      <w:pPr>
        <w:pStyle w:val="Subtitle"/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                </w:t>
      </w:r>
    </w:p>
    <w:p w:rsidR="007538A0" w:rsidRPr="00A90A1B" w:rsidRDefault="00C7600C" w:rsidP="006F7EF8">
      <w:pPr>
        <w:pStyle w:val="Subtitle"/>
        <w:spacing w:line="276" w:lineRule="auto"/>
        <w:ind w:left="1080"/>
        <w:jc w:val="both"/>
      </w:pPr>
      <w:r w:rsidRPr="00A90A1B">
        <w:t xml:space="preserve">        </w:t>
      </w:r>
    </w:p>
    <w:p w:rsidR="007538A0" w:rsidRPr="00A90A1B" w:rsidRDefault="007538A0" w:rsidP="006F7EF8">
      <w:pPr>
        <w:pStyle w:val="Subtitle"/>
        <w:spacing w:line="276" w:lineRule="auto"/>
        <w:ind w:left="1080"/>
        <w:jc w:val="both"/>
      </w:pPr>
      <w:r w:rsidRPr="00A90A1B">
        <w:rPr>
          <w:noProof/>
          <w:lang w:val="en-US"/>
        </w:rPr>
        <w:lastRenderedPageBreak/>
        <w:drawing>
          <wp:inline distT="0" distB="0" distL="0" distR="0" wp14:anchorId="3C7E3B63" wp14:editId="51B915D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538A0" w:rsidRPr="00A90A1B" w:rsidRDefault="007538A0" w:rsidP="006F7EF8">
      <w:pPr>
        <w:pStyle w:val="Subtitle"/>
        <w:spacing w:line="276" w:lineRule="auto"/>
        <w:ind w:left="1080"/>
        <w:jc w:val="both"/>
      </w:pPr>
    </w:p>
    <w:p w:rsidR="007538A0" w:rsidRPr="00A90A1B" w:rsidRDefault="007538A0" w:rsidP="006F7EF8">
      <w:pPr>
        <w:pStyle w:val="Subtitle"/>
        <w:spacing w:line="276" w:lineRule="auto"/>
        <w:ind w:left="1080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>Siç shihet nga shifrat, rezultatet e realizimit të gji</w:t>
      </w:r>
      <w:r w:rsidR="00653296" w:rsidRPr="00A90A1B">
        <w:t>thë shpenzimeve buxhetore janë</w:t>
      </w:r>
      <w:r w:rsidRPr="00A90A1B">
        <w:t xml:space="preserve"> </w:t>
      </w:r>
      <w:r w:rsidR="009575A8" w:rsidRPr="00A90A1B">
        <w:t>t</w:t>
      </w:r>
      <w:r w:rsidR="00A90A1B">
        <w:t>ë</w:t>
      </w:r>
      <w:r w:rsidR="009575A8" w:rsidRPr="00A90A1B">
        <w:t xml:space="preserve"> mira</w:t>
      </w:r>
      <w:r w:rsidRPr="00A90A1B">
        <w:t xml:space="preserve">, kjo tregon për një punë optimale të </w:t>
      </w:r>
      <w:r w:rsidR="00B63EC0" w:rsidRPr="00A90A1B">
        <w:t>i</w:t>
      </w:r>
      <w:r w:rsidRPr="00A90A1B">
        <w:t>nstitucionit.</w:t>
      </w:r>
      <w:proofErr w:type="gramEnd"/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>Për vitin 201</w:t>
      </w:r>
      <w:r w:rsidR="00E7495C" w:rsidRPr="00A90A1B">
        <w:t>4</w:t>
      </w:r>
      <w:r w:rsidRPr="00A90A1B">
        <w:t xml:space="preserve">, </w:t>
      </w:r>
      <w:proofErr w:type="gramStart"/>
      <w:r w:rsidRPr="00A90A1B">
        <w:t>ky</w:t>
      </w:r>
      <w:proofErr w:type="gramEnd"/>
      <w:r w:rsidRPr="00A90A1B">
        <w:t xml:space="preserve"> program ka parashikuar </w:t>
      </w:r>
      <w:r w:rsidR="00E7495C" w:rsidRPr="00A90A1B">
        <w:t>8</w:t>
      </w:r>
      <w:r w:rsidRPr="00A90A1B">
        <w:t xml:space="preserve"> produkte, </w:t>
      </w:r>
      <w:r w:rsidR="00E7495C" w:rsidRPr="00A90A1B">
        <w:t>7</w:t>
      </w:r>
      <w:r w:rsidRPr="00A90A1B">
        <w:t xml:space="preserve"> nga të cilat janë me fondet buxhetore dhe 1 produkt i parashikuar me fondet jashtë buxhetore. </w:t>
      </w:r>
      <w:proofErr w:type="gramStart"/>
      <w:r w:rsidRPr="00A90A1B">
        <w:t>Si produkt i par</w:t>
      </w:r>
      <w:r w:rsidR="000D54BA" w:rsidRPr="00A90A1B">
        <w:t>ë</w:t>
      </w:r>
      <w:r w:rsidRPr="00A90A1B">
        <w:t xml:space="preserve"> është </w:t>
      </w:r>
      <w:r w:rsidR="00B63EC0" w:rsidRPr="00A90A1B">
        <w:t>“</w:t>
      </w:r>
      <w:r w:rsidRPr="00A90A1B">
        <w:t>Vendime të marra nga shqyrtimi i kërkesave të subjekteve të shpronësuar, për njohjen e së drejtës së pronësisë, kthim apo kompesim të pronës”.</w:t>
      </w:r>
      <w:proofErr w:type="gramEnd"/>
      <w:r w:rsidRPr="00A90A1B">
        <w:t xml:space="preserve"> </w:t>
      </w:r>
      <w:proofErr w:type="gramStart"/>
      <w:r w:rsidRPr="00A90A1B">
        <w:t>Ky</w:t>
      </w:r>
      <w:proofErr w:type="gramEnd"/>
      <w:r w:rsidRPr="00A90A1B">
        <w:t xml:space="preserve"> produkt </w:t>
      </w:r>
      <w:r w:rsidR="00E7495C" w:rsidRPr="00A90A1B">
        <w:t xml:space="preserve">nuk </w:t>
      </w:r>
      <w:r w:rsidRPr="00A90A1B">
        <w:t xml:space="preserve">është realizuar </w:t>
      </w:r>
      <w:r w:rsidR="00E7495C" w:rsidRPr="00A90A1B">
        <w:t xml:space="preserve">aspak pasi po </w:t>
      </w:r>
      <w:r w:rsidR="001F44A8" w:rsidRPr="00A90A1B">
        <w:t>realizohet</w:t>
      </w:r>
      <w:r w:rsidR="00E7495C" w:rsidRPr="00A90A1B">
        <w:t xml:space="preserve"> hedhja e vendimeve n</w:t>
      </w:r>
      <w:r w:rsidR="000D54BA" w:rsidRPr="00A90A1B">
        <w:t>ë</w:t>
      </w:r>
      <w:r w:rsidR="00E7495C" w:rsidRPr="00A90A1B">
        <w:t xml:space="preserve"> sistem dhe po sistemohet arkiva p</w:t>
      </w:r>
      <w:r w:rsidR="000D54BA" w:rsidRPr="00A90A1B">
        <w:t>ë</w:t>
      </w:r>
      <w:r w:rsidR="00E7495C" w:rsidRPr="00A90A1B">
        <w:t>r t</w:t>
      </w:r>
      <w:r w:rsidR="000D54BA" w:rsidRPr="00A90A1B">
        <w:t>ë</w:t>
      </w:r>
      <w:r w:rsidR="00E7495C" w:rsidRPr="00A90A1B">
        <w:t xml:space="preserve"> nxjerr</w:t>
      </w:r>
      <w:r w:rsidR="000D54BA" w:rsidRPr="00A90A1B">
        <w:t>ë</w:t>
      </w:r>
      <w:r w:rsidR="00E7495C" w:rsidRPr="00A90A1B">
        <w:t xml:space="preserve"> fatur</w:t>
      </w:r>
      <w:r w:rsidR="000D54BA" w:rsidRPr="00A90A1B">
        <w:t>ë</w:t>
      </w:r>
      <w:r w:rsidR="00E7495C" w:rsidRPr="00A90A1B">
        <w:t>n financiare t</w:t>
      </w:r>
      <w:r w:rsidR="000D54BA" w:rsidRPr="00A90A1B">
        <w:t>ë</w:t>
      </w:r>
      <w:r w:rsidR="00E7495C" w:rsidRPr="00A90A1B">
        <w:t xml:space="preserve"> detyrimit t</w:t>
      </w:r>
      <w:r w:rsidR="000D54BA" w:rsidRPr="00A90A1B">
        <w:t>ë</w:t>
      </w:r>
      <w:r w:rsidR="00E7495C" w:rsidRPr="00A90A1B">
        <w:t xml:space="preserve"> AKKP</w:t>
      </w:r>
      <w:r w:rsidRPr="00A90A1B">
        <w:t xml:space="preserve">, nga </w:t>
      </w:r>
      <w:r w:rsidR="00C60A63" w:rsidRPr="00A90A1B">
        <w:t>550</w:t>
      </w:r>
      <w:r w:rsidR="00E7495C" w:rsidRPr="00A90A1B">
        <w:t xml:space="preserve"> vendime t</w:t>
      </w:r>
      <w:r w:rsidR="000D54BA" w:rsidRPr="00A90A1B">
        <w:t>ë</w:t>
      </w:r>
      <w:r w:rsidR="00E7495C" w:rsidRPr="00A90A1B">
        <w:t xml:space="preserve"> planifikuar nuk </w:t>
      </w:r>
      <w:r w:rsidR="000D54BA" w:rsidRPr="00A90A1B">
        <w:t>ë</w:t>
      </w:r>
      <w:r w:rsidR="00E7495C" w:rsidRPr="00A90A1B">
        <w:t>sht</w:t>
      </w:r>
      <w:r w:rsidR="000D54BA" w:rsidRPr="00A90A1B">
        <w:t>ë</w:t>
      </w:r>
      <w:r w:rsidR="00E7495C" w:rsidRPr="00A90A1B">
        <w:t xml:space="preserve"> realizuar asnj</w:t>
      </w:r>
      <w:r w:rsidR="000D54BA" w:rsidRPr="00A90A1B">
        <w:t>ë</w:t>
      </w:r>
      <w:r w:rsidR="00E7495C" w:rsidRPr="00A90A1B">
        <w:t xml:space="preserve"> vendim.</w:t>
      </w:r>
    </w:p>
    <w:p w:rsidR="00F54ED4" w:rsidRPr="00A90A1B" w:rsidRDefault="00C7600C" w:rsidP="006F7EF8">
      <w:pPr>
        <w:spacing w:line="276" w:lineRule="auto"/>
        <w:ind w:left="-900"/>
        <w:jc w:val="both"/>
      </w:pPr>
      <w:r w:rsidRPr="00A90A1B">
        <w:t>Produkti “Vendime të trajtuara sipas procedurave të oborreve në përdorim dhe tjetërsimit të sipërfaqeve të tokës me cilësi të veçantë, sipas kërkesave të subjekteve”, ë</w:t>
      </w:r>
      <w:r w:rsidR="00E7747B" w:rsidRPr="00A90A1B">
        <w:t>shtë realizuar p</w:t>
      </w:r>
      <w:r w:rsidR="00E7495C" w:rsidRPr="00A90A1B">
        <w:t>jes</w:t>
      </w:r>
      <w:r w:rsidR="00E7747B" w:rsidRPr="00A90A1B">
        <w:t>ë</w:t>
      </w:r>
      <w:r w:rsidR="00E7495C" w:rsidRPr="00A90A1B">
        <w:t>r</w:t>
      </w:r>
      <w:r w:rsidR="00E7747B" w:rsidRPr="00A90A1B">
        <w:t xml:space="preserve">isht nga </w:t>
      </w:r>
      <w:r w:rsidR="00C60A63" w:rsidRPr="00A90A1B">
        <w:t>250</w:t>
      </w:r>
      <w:r w:rsidRPr="00A90A1B">
        <w:t xml:space="preserve"> vendime të parashikuara, janë realizuar </w:t>
      </w:r>
      <w:r w:rsidR="00C60A63" w:rsidRPr="00A90A1B">
        <w:t>66</w:t>
      </w:r>
      <w:r w:rsidR="000C1A33" w:rsidRPr="00A90A1B">
        <w:t>,</w:t>
      </w:r>
      <w:r w:rsidR="00180809" w:rsidRPr="00A90A1B">
        <w:t xml:space="preserve"> </w:t>
      </w:r>
      <w:proofErr w:type="gramStart"/>
      <w:r w:rsidR="00180809" w:rsidRPr="00A90A1B">
        <w:t>k</w:t>
      </w:r>
      <w:r w:rsidR="001F44A8" w:rsidRPr="00A90A1B">
        <w:t>y</w:t>
      </w:r>
      <w:proofErr w:type="gramEnd"/>
      <w:r w:rsidR="001F44A8" w:rsidRPr="00A90A1B">
        <w:t xml:space="preserve"> produ</w:t>
      </w:r>
      <w:r w:rsidR="00180809" w:rsidRPr="00A90A1B">
        <w:t>k</w:t>
      </w:r>
      <w:r w:rsidR="001F44A8" w:rsidRPr="00A90A1B">
        <w:t xml:space="preserve">t </w:t>
      </w:r>
      <w:r w:rsidR="00D71FED" w:rsidRPr="00A90A1B">
        <w:t>ë</w:t>
      </w:r>
      <w:r w:rsidR="001F44A8" w:rsidRPr="00A90A1B">
        <w:t>sht</w:t>
      </w:r>
      <w:r w:rsidR="00D71FED" w:rsidRPr="00A90A1B">
        <w:t>ë</w:t>
      </w:r>
      <w:r w:rsidR="001F44A8" w:rsidRPr="00A90A1B">
        <w:t xml:space="preserve"> realizuar pjes</w:t>
      </w:r>
      <w:r w:rsidR="00D71FED" w:rsidRPr="00A90A1B">
        <w:t>ë</w:t>
      </w:r>
      <w:r w:rsidR="001F44A8" w:rsidRPr="00A90A1B">
        <w:t xml:space="preserve">risht </w:t>
      </w:r>
      <w:r w:rsidR="00C60A63" w:rsidRPr="00A90A1B">
        <w:t xml:space="preserve">pasi procedura </w:t>
      </w:r>
      <w:r w:rsidR="00A90A1B">
        <w:t>ë</w:t>
      </w:r>
      <w:r w:rsidR="00C60A63" w:rsidRPr="00A90A1B">
        <w:t>sht</w:t>
      </w:r>
      <w:r w:rsidR="00A90A1B">
        <w:t>ë</w:t>
      </w:r>
      <w:r w:rsidR="00C60A63" w:rsidRPr="00A90A1B">
        <w:t xml:space="preserve"> e lidhur me bashk</w:t>
      </w:r>
      <w:r w:rsidR="00A90A1B">
        <w:t>ë</w:t>
      </w:r>
      <w:r w:rsidR="00C60A63" w:rsidRPr="00A90A1B">
        <w:t>punimin me institucionet e tjera</w:t>
      </w:r>
      <w:r w:rsidR="001F44A8" w:rsidRPr="00A90A1B">
        <w:t>.</w:t>
      </w:r>
      <w:r w:rsidRPr="00A90A1B">
        <w:t xml:space="preserve"> Ndërsa produkti “Subjekte të shpronësuara që përfitojnë nga shpërndarja e fondit të kompesimit në të holla (financiar) nga fondet buxhetore” </w:t>
      </w:r>
      <w:r w:rsidR="003916DB" w:rsidRPr="00A90A1B">
        <w:t xml:space="preserve">nuk </w:t>
      </w:r>
      <w:r w:rsidRPr="00A90A1B">
        <w:t xml:space="preserve">është </w:t>
      </w:r>
      <w:r w:rsidR="00E7495C" w:rsidRPr="00A90A1B">
        <w:t>realiz</w:t>
      </w:r>
      <w:r w:rsidR="003916DB" w:rsidRPr="00A90A1B">
        <w:t>uar</w:t>
      </w:r>
      <w:r w:rsidR="00E7495C" w:rsidRPr="00A90A1B">
        <w:t xml:space="preserve"> </w:t>
      </w:r>
      <w:r w:rsidR="00C60A63" w:rsidRPr="00A90A1B">
        <w:t xml:space="preserve">aspak </w:t>
      </w:r>
      <w:r w:rsidR="00E7495C" w:rsidRPr="00A90A1B">
        <w:t xml:space="preserve">pasi </w:t>
      </w:r>
      <w:r w:rsidR="00F54ED4" w:rsidRPr="00A90A1B">
        <w:t>VKM q</w:t>
      </w:r>
      <w:r w:rsidR="000D54BA" w:rsidRPr="00A90A1B">
        <w:t>ë</w:t>
      </w:r>
      <w:r w:rsidR="00F54ED4" w:rsidRPr="00A90A1B">
        <w:t xml:space="preserve"> p</w:t>
      </w:r>
      <w:r w:rsidR="000D54BA" w:rsidRPr="00A90A1B">
        <w:t>ë</w:t>
      </w:r>
      <w:r w:rsidR="00F54ED4" w:rsidRPr="00A90A1B">
        <w:t>rcakto</w:t>
      </w:r>
      <w:r w:rsidR="00C60A63" w:rsidRPr="00A90A1B">
        <w:t>n</w:t>
      </w:r>
      <w:r w:rsidR="00F54ED4" w:rsidRPr="00A90A1B">
        <w:t xml:space="preserve"> m</w:t>
      </w:r>
      <w:r w:rsidR="000D54BA" w:rsidRPr="00A90A1B">
        <w:t>ë</w:t>
      </w:r>
      <w:r w:rsidR="00F54ED4" w:rsidRPr="00A90A1B">
        <w:t>nyr</w:t>
      </w:r>
      <w:r w:rsidR="000D54BA" w:rsidRPr="00A90A1B">
        <w:t>ë</w:t>
      </w:r>
      <w:r w:rsidR="00F54ED4" w:rsidRPr="00A90A1B">
        <w:t>n e shp</w:t>
      </w:r>
      <w:r w:rsidR="000D54BA" w:rsidRPr="00A90A1B">
        <w:t>ë</w:t>
      </w:r>
      <w:r w:rsidR="00F54ED4" w:rsidRPr="00A90A1B">
        <w:t>rndarjes s</w:t>
      </w:r>
      <w:r w:rsidR="000D54BA" w:rsidRPr="00A90A1B">
        <w:t>ë</w:t>
      </w:r>
      <w:r w:rsidR="00F54ED4" w:rsidRPr="00A90A1B">
        <w:t xml:space="preserve"> fondit p</w:t>
      </w:r>
      <w:r w:rsidR="000D54BA" w:rsidRPr="00A90A1B">
        <w:t>ë</w:t>
      </w:r>
      <w:r w:rsidR="00F54ED4" w:rsidRPr="00A90A1B">
        <w:t>r vitin 2014</w:t>
      </w:r>
      <w:r w:rsidR="00C60A63" w:rsidRPr="00A90A1B">
        <w:t xml:space="preserve"> u miratua n</w:t>
      </w:r>
      <w:r w:rsidR="00A90A1B">
        <w:t>ë</w:t>
      </w:r>
      <w:r w:rsidR="00C60A63" w:rsidRPr="00A90A1B">
        <w:t xml:space="preserve"> Dhjetor dhe ky fond u kalua n</w:t>
      </w:r>
      <w:r w:rsidR="00A90A1B">
        <w:t>ë</w:t>
      </w:r>
      <w:r w:rsidR="00C60A63" w:rsidRPr="00A90A1B">
        <w:t xml:space="preserve"> fondin special t</w:t>
      </w:r>
      <w:r w:rsidR="00A90A1B">
        <w:t>ë</w:t>
      </w:r>
      <w:r w:rsidR="00C60A63" w:rsidRPr="00A90A1B">
        <w:t xml:space="preserve"> kompensimit p</w:t>
      </w:r>
      <w:r w:rsidR="00A90A1B">
        <w:t>ë</w:t>
      </w:r>
      <w:r w:rsidR="00C60A63" w:rsidRPr="00A90A1B">
        <w:t>r tu shp</w:t>
      </w:r>
      <w:r w:rsidR="00A90A1B">
        <w:t>ë</w:t>
      </w:r>
      <w:r w:rsidR="00C60A63" w:rsidRPr="00A90A1B">
        <w:t>rndar</w:t>
      </w:r>
      <w:r w:rsidR="00A90A1B">
        <w:t>ë</w:t>
      </w:r>
      <w:r w:rsidR="00C60A63" w:rsidRPr="00A90A1B">
        <w:t xml:space="preserve"> n</w:t>
      </w:r>
      <w:r w:rsidR="00A90A1B">
        <w:t>ë</w:t>
      </w:r>
      <w:r w:rsidR="00C60A63" w:rsidRPr="00A90A1B">
        <w:t xml:space="preserve"> vitin 2015</w:t>
      </w:r>
      <w:r w:rsidR="00E7747B" w:rsidRPr="00A90A1B">
        <w:t xml:space="preserve">. </w:t>
      </w:r>
    </w:p>
    <w:p w:rsidR="00C7600C" w:rsidRPr="00A90A1B" w:rsidRDefault="00C7600C" w:rsidP="006F7EF8">
      <w:pPr>
        <w:spacing w:line="276" w:lineRule="auto"/>
        <w:ind w:left="-900"/>
        <w:jc w:val="both"/>
      </w:pPr>
      <w:r w:rsidRPr="00A90A1B">
        <w:t xml:space="preserve">Produkti “Subjekte të shpronësuara që përfitojnë nga shpërndarja e fondit të kompesimit nga të ardhurat e ALUIZNI-t”, parashikuar </w:t>
      </w:r>
      <w:r w:rsidRPr="00A90A1B">
        <w:rPr>
          <w:b/>
        </w:rPr>
        <w:t>me fonde jashtë buxhetore</w:t>
      </w:r>
      <w:r w:rsidRPr="00A90A1B">
        <w:t>, është realizuar p</w:t>
      </w:r>
      <w:r w:rsidR="00D71FED" w:rsidRPr="00A90A1B">
        <w:t>jes</w:t>
      </w:r>
      <w:r w:rsidR="000D54BA" w:rsidRPr="00A90A1B">
        <w:t>ë</w:t>
      </w:r>
      <w:r w:rsidR="00D71FED" w:rsidRPr="00A90A1B">
        <w:t>r</w:t>
      </w:r>
      <w:r w:rsidR="00F54ED4" w:rsidRPr="00A90A1B">
        <w:t>isht</w:t>
      </w:r>
      <w:r w:rsidRPr="00A90A1B">
        <w:t xml:space="preserve">,  janë kompesuar </w:t>
      </w:r>
      <w:r w:rsidR="00C60A63" w:rsidRPr="00A90A1B">
        <w:t>648</w:t>
      </w:r>
      <w:r w:rsidRPr="00A90A1B">
        <w:t xml:space="preserve"> pronarë, nga </w:t>
      </w:r>
      <w:r w:rsidR="00C60A63" w:rsidRPr="00A90A1B">
        <w:t>800</w:t>
      </w:r>
      <w:r w:rsidRPr="00A90A1B">
        <w:t xml:space="preserve"> të parashikuar për </w:t>
      </w:r>
      <w:r w:rsidR="00F54ED4" w:rsidRPr="00A90A1B">
        <w:t>viti</w:t>
      </w:r>
      <w:r w:rsidR="00C60A63" w:rsidRPr="00A90A1B">
        <w:t>n 2014</w:t>
      </w:r>
      <w:r w:rsidRPr="00A90A1B">
        <w:t xml:space="preserve">. </w:t>
      </w:r>
    </w:p>
    <w:p w:rsidR="00F54ED4" w:rsidRPr="00A90A1B" w:rsidRDefault="00F54ED4" w:rsidP="006F7EF8">
      <w:pPr>
        <w:spacing w:line="276" w:lineRule="auto"/>
        <w:ind w:left="-900"/>
        <w:jc w:val="both"/>
      </w:pPr>
    </w:p>
    <w:p w:rsidR="00F54ED4" w:rsidRPr="00A90A1B" w:rsidRDefault="00F54ED4" w:rsidP="006F7EF8">
      <w:pPr>
        <w:spacing w:line="276" w:lineRule="auto"/>
        <w:ind w:left="-900"/>
        <w:jc w:val="both"/>
      </w:pPr>
      <w:r w:rsidRPr="00A90A1B">
        <w:t xml:space="preserve">Kompensimi fizik nuk </w:t>
      </w:r>
      <w:r w:rsidR="000D54BA" w:rsidRPr="00A90A1B">
        <w:t>ë</w:t>
      </w:r>
      <w:r w:rsidRPr="00A90A1B">
        <w:t>sht</w:t>
      </w:r>
      <w:r w:rsidR="000D54BA" w:rsidRPr="00A90A1B">
        <w:t>ë</w:t>
      </w:r>
      <w:r w:rsidRPr="00A90A1B">
        <w:t xml:space="preserve"> realizuar aspak pasi </w:t>
      </w:r>
      <w:proofErr w:type="gramStart"/>
      <w:r w:rsidRPr="00A90A1B">
        <w:t>ky</w:t>
      </w:r>
      <w:proofErr w:type="gramEnd"/>
      <w:r w:rsidRPr="00A90A1B">
        <w:t xml:space="preserve"> proces do t</w:t>
      </w:r>
      <w:r w:rsidR="000D54BA" w:rsidRPr="00A90A1B">
        <w:t>ë</w:t>
      </w:r>
      <w:r w:rsidRPr="00A90A1B">
        <w:t xml:space="preserve"> filloj</w:t>
      </w:r>
      <w:r w:rsidR="000D54BA" w:rsidRPr="00A90A1B">
        <w:t>ë</w:t>
      </w:r>
      <w:r w:rsidRPr="00A90A1B">
        <w:t xml:space="preserve"> pas p</w:t>
      </w:r>
      <w:r w:rsidR="000D54BA" w:rsidRPr="00A90A1B">
        <w:t>ë</w:t>
      </w:r>
      <w:r w:rsidRPr="00A90A1B">
        <w:t>rfundimit t</w:t>
      </w:r>
      <w:r w:rsidR="000D54BA" w:rsidRPr="00A90A1B">
        <w:t>ë</w:t>
      </w:r>
      <w:r w:rsidRPr="00A90A1B">
        <w:t xml:space="preserve"> verifikimit dhe krijimit t</w:t>
      </w:r>
      <w:r w:rsidR="000D54BA" w:rsidRPr="00A90A1B">
        <w:t>ë</w:t>
      </w:r>
      <w:r w:rsidRPr="00A90A1B">
        <w:t xml:space="preserve"> fondit fizik si dhe pas miratimit t</w:t>
      </w:r>
      <w:r w:rsidR="000D54BA" w:rsidRPr="00A90A1B">
        <w:t>ë</w:t>
      </w:r>
      <w:r w:rsidRPr="00A90A1B">
        <w:t xml:space="preserve"> akteve n</w:t>
      </w:r>
      <w:r w:rsidR="000D54BA" w:rsidRPr="00A90A1B">
        <w:t>ë</w:t>
      </w:r>
      <w:r w:rsidRPr="00A90A1B">
        <w:t>nligjore p</w:t>
      </w:r>
      <w:r w:rsidR="000D54BA" w:rsidRPr="00A90A1B">
        <w:t>ë</w:t>
      </w:r>
      <w:r w:rsidRPr="00A90A1B">
        <w:t>rkat</w:t>
      </w:r>
      <w:r w:rsidR="000D54BA" w:rsidRPr="00A90A1B">
        <w:t>ë</w:t>
      </w:r>
      <w:r w:rsidRPr="00A90A1B">
        <w:t>se p</w:t>
      </w:r>
      <w:r w:rsidR="000D54BA" w:rsidRPr="00A90A1B">
        <w:t>ë</w:t>
      </w:r>
      <w:r w:rsidRPr="00A90A1B">
        <w:t>r p</w:t>
      </w:r>
      <w:r w:rsidR="000D54BA" w:rsidRPr="00A90A1B">
        <w:t>ë</w:t>
      </w:r>
      <w:r w:rsidRPr="00A90A1B">
        <w:t>rcaktimin e kritereve dhe rregullave p</w:t>
      </w:r>
      <w:r w:rsidR="000D54BA" w:rsidRPr="00A90A1B">
        <w:t>ë</w:t>
      </w:r>
      <w:r w:rsidRPr="00A90A1B">
        <w:t>r shp</w:t>
      </w:r>
      <w:r w:rsidR="000D54BA" w:rsidRPr="00A90A1B">
        <w:t>ë</w:t>
      </w:r>
      <w:r w:rsidRPr="00A90A1B">
        <w:t>rndarjen e k</w:t>
      </w:r>
      <w:r w:rsidR="000D54BA" w:rsidRPr="00A90A1B">
        <w:t>ë</w:t>
      </w:r>
      <w:r w:rsidRPr="00A90A1B">
        <w:t>tij fondi.</w:t>
      </w:r>
    </w:p>
    <w:p w:rsidR="00F54ED4" w:rsidRPr="00A90A1B" w:rsidRDefault="00F54ED4" w:rsidP="006F7EF8">
      <w:pPr>
        <w:spacing w:line="276" w:lineRule="auto"/>
        <w:ind w:left="-900"/>
        <w:jc w:val="both"/>
        <w:rPr>
          <w:b/>
        </w:rPr>
      </w:pPr>
      <w:proofErr w:type="gramStart"/>
      <w:r w:rsidRPr="00A90A1B">
        <w:t xml:space="preserve">Shpenzimet kapitale </w:t>
      </w:r>
      <w:r w:rsidR="00D71FED" w:rsidRPr="00A90A1B">
        <w:t>janë</w:t>
      </w:r>
      <w:r w:rsidRPr="00A90A1B">
        <w:t xml:space="preserve"> realiz</w:t>
      </w:r>
      <w:r w:rsidR="00D71FED" w:rsidRPr="00A90A1B">
        <w:t xml:space="preserve">uar </w:t>
      </w:r>
      <w:r w:rsidR="008C1ECF" w:rsidRPr="00A90A1B">
        <w:t xml:space="preserve">3 </w:t>
      </w:r>
      <w:r w:rsidR="00D71FED" w:rsidRPr="00A90A1B">
        <w:t xml:space="preserve">projekte ndërsa është realizimi i </w:t>
      </w:r>
      <w:r w:rsidR="008C1ECF" w:rsidRPr="00A90A1B">
        <w:t>projektit “Blerje pajisje p</w:t>
      </w:r>
      <w:r w:rsidR="00A90A1B">
        <w:t>ë</w:t>
      </w:r>
      <w:r w:rsidR="008C1ECF" w:rsidRPr="00A90A1B">
        <w:t>r sistemin e Sigurimit” nuk u finalizua pasi nuk u mbyll dot procedurat e tenderit.</w:t>
      </w:r>
      <w:proofErr w:type="gramEnd"/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A90A1B">
        <w:rPr>
          <w:b/>
        </w:rPr>
        <w:lastRenderedPageBreak/>
        <w:t xml:space="preserve">  Programi  “Shërbimi i  Provës”</w:t>
      </w:r>
    </w:p>
    <w:p w:rsidR="00C7600C" w:rsidRPr="00A90A1B" w:rsidRDefault="00C7600C" w:rsidP="006F7EF8">
      <w:pPr>
        <w:spacing w:line="276" w:lineRule="auto"/>
        <w:ind w:left="928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928"/>
        <w:jc w:val="both"/>
        <w:rPr>
          <w:b/>
        </w:rPr>
      </w:pPr>
    </w:p>
    <w:p w:rsidR="00C7600C" w:rsidRPr="00A90A1B" w:rsidRDefault="00C7600C" w:rsidP="006F7EF8">
      <w:pPr>
        <w:spacing w:line="276" w:lineRule="auto"/>
        <w:ind w:left="-900"/>
        <w:jc w:val="both"/>
      </w:pPr>
      <w:proofErr w:type="gramStart"/>
      <w:r w:rsidRPr="00A90A1B">
        <w:t xml:space="preserve">Realizimi i shpenzimeve </w:t>
      </w:r>
      <w:r w:rsidR="00A61EB5" w:rsidRPr="00A90A1B">
        <w:t>p</w:t>
      </w:r>
      <w:r w:rsidR="000D54BA" w:rsidRPr="00A90A1B">
        <w:t>ë</w:t>
      </w:r>
      <w:r w:rsidR="00A61EB5" w:rsidRPr="00A90A1B">
        <w:t xml:space="preserve">r </w:t>
      </w:r>
      <w:r w:rsidR="00604CDE" w:rsidRPr="00A90A1B">
        <w:t>12</w:t>
      </w:r>
      <w:r w:rsidR="00A61EB5" w:rsidRPr="00A90A1B">
        <w:t>-mujorin e vitit 2014</w:t>
      </w:r>
      <w:r w:rsidRPr="00A90A1B">
        <w:t xml:space="preserve">, krahasuar me buxhetin e periudhës, është në </w:t>
      </w:r>
      <w:r w:rsidRPr="00A90A1B">
        <w:rPr>
          <w:b/>
        </w:rPr>
        <w:t xml:space="preserve">masën </w:t>
      </w:r>
      <w:r w:rsidR="00604CDE" w:rsidRPr="00A90A1B">
        <w:rPr>
          <w:b/>
        </w:rPr>
        <w:t>9</w:t>
      </w:r>
      <w:r w:rsidR="00E35F04" w:rsidRPr="00A90A1B">
        <w:rPr>
          <w:b/>
        </w:rPr>
        <w:t>1.8</w:t>
      </w:r>
      <w:r w:rsidRPr="00A90A1B">
        <w:rPr>
          <w:b/>
        </w:rPr>
        <w:t>%.</w:t>
      </w:r>
      <w:proofErr w:type="gramEnd"/>
      <w:r w:rsidRPr="00A90A1B">
        <w:rPr>
          <w:b/>
        </w:rPr>
        <w:t xml:space="preserve"> </w:t>
      </w:r>
      <w:r w:rsidRPr="00A90A1B">
        <w:t>Realizimi i shpenzimeve, sipas zërave kryesorë, rezulton si më poshtë:</w:t>
      </w:r>
    </w:p>
    <w:p w:rsidR="00C7600C" w:rsidRPr="00A90A1B" w:rsidRDefault="00C7600C" w:rsidP="006F7EF8">
      <w:pPr>
        <w:spacing w:line="276" w:lineRule="auto"/>
        <w:ind w:left="-900"/>
        <w:jc w:val="both"/>
      </w:pPr>
    </w:p>
    <w:p w:rsidR="00C7600C" w:rsidRPr="00A90A1B" w:rsidRDefault="00C7600C" w:rsidP="006F7EF8">
      <w:pPr>
        <w:spacing w:line="276" w:lineRule="auto"/>
        <w:jc w:val="both"/>
      </w:pPr>
    </w:p>
    <w:p w:rsidR="00C7600C" w:rsidRPr="00A90A1B" w:rsidRDefault="00C7600C" w:rsidP="006F7EF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440"/>
        <w:jc w:val="both"/>
        <w:rPr>
          <w:b w:val="0"/>
          <w:bCs w:val="0"/>
          <w:lang w:val="da-DK"/>
        </w:rPr>
      </w:pPr>
      <w:r w:rsidRPr="00A90A1B">
        <w:rPr>
          <w:b w:val="0"/>
          <w:bCs w:val="0"/>
          <w:lang w:val="da-DK"/>
        </w:rPr>
        <w:t>Shpenzimet e personelit                          9</w:t>
      </w:r>
      <w:r w:rsidR="008B0AB3" w:rsidRPr="00A90A1B">
        <w:rPr>
          <w:b w:val="0"/>
          <w:bCs w:val="0"/>
          <w:lang w:val="da-DK"/>
        </w:rPr>
        <w:t>9</w:t>
      </w:r>
      <w:r w:rsidRPr="00A90A1B">
        <w:rPr>
          <w:b w:val="0"/>
          <w:bCs w:val="0"/>
          <w:lang w:val="da-DK"/>
        </w:rPr>
        <w:t>.</w:t>
      </w:r>
      <w:r w:rsidR="00BE50E4" w:rsidRPr="00A90A1B">
        <w:rPr>
          <w:b w:val="0"/>
          <w:bCs w:val="0"/>
          <w:lang w:val="da-DK"/>
        </w:rPr>
        <w:t>84</w:t>
      </w:r>
      <w:r w:rsidRPr="00A90A1B">
        <w:rPr>
          <w:b w:val="0"/>
          <w:bCs w:val="0"/>
          <w:lang w:val="da-DK"/>
        </w:rPr>
        <w:t xml:space="preserve"> % </w:t>
      </w:r>
    </w:p>
    <w:p w:rsidR="00C7600C" w:rsidRPr="00A90A1B" w:rsidRDefault="00C7600C" w:rsidP="006F7EF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e tjera operative                 </w:t>
      </w:r>
      <w:r w:rsidR="00AF2460" w:rsidRPr="00A90A1B">
        <w:rPr>
          <w:b w:val="0"/>
          <w:bCs w:val="0"/>
        </w:rPr>
        <w:t xml:space="preserve">  </w:t>
      </w:r>
      <w:r w:rsidR="00BE50E4" w:rsidRPr="00A90A1B">
        <w:rPr>
          <w:b w:val="0"/>
          <w:bCs w:val="0"/>
        </w:rPr>
        <w:t>99.69</w:t>
      </w:r>
      <w:r w:rsidRPr="00A90A1B">
        <w:rPr>
          <w:b w:val="0"/>
          <w:bCs w:val="0"/>
        </w:rPr>
        <w:t xml:space="preserve"> %</w:t>
      </w:r>
    </w:p>
    <w:p w:rsidR="00C7600C" w:rsidRPr="00A90A1B" w:rsidRDefault="00C7600C" w:rsidP="006F7EF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  <w:r w:rsidRPr="00A90A1B">
        <w:rPr>
          <w:b w:val="0"/>
          <w:bCs w:val="0"/>
        </w:rPr>
        <w:t xml:space="preserve">Shpenzimet kapitale                                  </w:t>
      </w:r>
      <w:r w:rsidR="00AF2460" w:rsidRPr="00A90A1B">
        <w:rPr>
          <w:b w:val="0"/>
          <w:bCs w:val="0"/>
        </w:rPr>
        <w:t xml:space="preserve"> </w:t>
      </w:r>
      <w:r w:rsidR="00BE50E4" w:rsidRPr="00A90A1B">
        <w:rPr>
          <w:b w:val="0"/>
          <w:bCs w:val="0"/>
        </w:rPr>
        <w:t>87.84</w:t>
      </w:r>
      <w:r w:rsidRPr="00A90A1B">
        <w:rPr>
          <w:b w:val="0"/>
          <w:bCs w:val="0"/>
        </w:rPr>
        <w:t xml:space="preserve">% </w:t>
      </w:r>
    </w:p>
    <w:p w:rsidR="00BE50E4" w:rsidRPr="00A90A1B" w:rsidRDefault="00BE50E4" w:rsidP="00BE50E4">
      <w:pPr>
        <w:pStyle w:val="Subtitle"/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</w:p>
    <w:p w:rsidR="00C7600C" w:rsidRPr="00A90A1B" w:rsidRDefault="00C7600C" w:rsidP="006F7EF8">
      <w:pPr>
        <w:spacing w:line="276" w:lineRule="auto"/>
        <w:jc w:val="both"/>
        <w:rPr>
          <w:b/>
        </w:rPr>
      </w:pPr>
      <w:r w:rsidRPr="00A90A1B">
        <w:t xml:space="preserve">                            </w:t>
      </w:r>
      <w:r w:rsidRPr="00A90A1B">
        <w:rPr>
          <w:b/>
        </w:rPr>
        <w:t xml:space="preserve">Gjithsej                                               </w:t>
      </w:r>
      <w:r w:rsidR="00BE50E4" w:rsidRPr="00A90A1B">
        <w:rPr>
          <w:b/>
        </w:rPr>
        <w:t>91.8</w:t>
      </w:r>
      <w:r w:rsidRPr="00A90A1B">
        <w:rPr>
          <w:b/>
        </w:rPr>
        <w:t xml:space="preserve">%       </w:t>
      </w:r>
    </w:p>
    <w:p w:rsidR="00D558F8" w:rsidRPr="00A90A1B" w:rsidRDefault="00D558F8" w:rsidP="006F7EF8">
      <w:pPr>
        <w:spacing w:line="276" w:lineRule="auto"/>
        <w:jc w:val="both"/>
        <w:rPr>
          <w:b/>
        </w:rPr>
      </w:pPr>
    </w:p>
    <w:p w:rsidR="00D558F8" w:rsidRPr="00A90A1B" w:rsidRDefault="00D558F8" w:rsidP="006F7EF8">
      <w:pPr>
        <w:spacing w:line="276" w:lineRule="auto"/>
        <w:jc w:val="both"/>
        <w:rPr>
          <w:b/>
        </w:rPr>
      </w:pPr>
    </w:p>
    <w:p w:rsidR="00D558F8" w:rsidRPr="00A90A1B" w:rsidRDefault="00D558F8" w:rsidP="006F7EF8">
      <w:pPr>
        <w:spacing w:line="276" w:lineRule="auto"/>
        <w:jc w:val="both"/>
        <w:rPr>
          <w:b/>
        </w:rPr>
      </w:pPr>
    </w:p>
    <w:p w:rsidR="00D558F8" w:rsidRPr="00A90A1B" w:rsidRDefault="00D558F8" w:rsidP="006F7EF8">
      <w:pPr>
        <w:spacing w:line="276" w:lineRule="auto"/>
        <w:jc w:val="both"/>
        <w:rPr>
          <w:b/>
        </w:rPr>
      </w:pPr>
      <w:r w:rsidRPr="00A90A1B">
        <w:rPr>
          <w:b/>
          <w:noProof/>
        </w:rPr>
        <w:drawing>
          <wp:inline distT="0" distB="0" distL="0" distR="0" wp14:anchorId="02CB8CFB" wp14:editId="55EC1D86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58F8" w:rsidRPr="00A90A1B" w:rsidRDefault="00D558F8" w:rsidP="006F7EF8">
      <w:pPr>
        <w:spacing w:line="276" w:lineRule="auto"/>
        <w:jc w:val="both"/>
        <w:rPr>
          <w:b/>
        </w:rPr>
      </w:pPr>
    </w:p>
    <w:p w:rsidR="00C7600C" w:rsidRPr="00A90A1B" w:rsidRDefault="00C7600C" w:rsidP="006F7EF8">
      <w:pPr>
        <w:tabs>
          <w:tab w:val="left" w:pos="142"/>
          <w:tab w:val="left" w:pos="284"/>
        </w:tabs>
        <w:spacing w:line="276" w:lineRule="auto"/>
        <w:ind w:left="-851"/>
        <w:jc w:val="both"/>
      </w:pPr>
    </w:p>
    <w:p w:rsidR="00F775AC" w:rsidRPr="00A90A1B" w:rsidRDefault="00C7600C" w:rsidP="00BE50E4">
      <w:pPr>
        <w:tabs>
          <w:tab w:val="left" w:pos="142"/>
          <w:tab w:val="left" w:pos="284"/>
        </w:tabs>
        <w:spacing w:line="276" w:lineRule="auto"/>
        <w:ind w:left="-851"/>
        <w:jc w:val="both"/>
      </w:pPr>
      <w:r w:rsidRPr="00A90A1B">
        <w:t>Për vitin 201</w:t>
      </w:r>
      <w:r w:rsidR="0060044C" w:rsidRPr="00A90A1B">
        <w:t>4</w:t>
      </w:r>
      <w:r w:rsidRPr="00A90A1B">
        <w:t xml:space="preserve">, Drejtoria e Shërbimit të Provës ka parashikuar </w:t>
      </w:r>
      <w:r w:rsidR="00AF2460" w:rsidRPr="00A90A1B">
        <w:t>2</w:t>
      </w:r>
      <w:r w:rsidRPr="00A90A1B">
        <w:t xml:space="preserve"> produkte: “Mbikqyrja e të dënuarve”, i cili është realizuar plotësisht, nga </w:t>
      </w:r>
      <w:r w:rsidR="00BE50E4" w:rsidRPr="00A90A1B">
        <w:t>4206</w:t>
      </w:r>
      <w:r w:rsidRPr="00A90A1B">
        <w:t xml:space="preserve"> të dënuar të planifikuar për tu mbikqyrur, janë mbikqyrur të </w:t>
      </w:r>
      <w:r w:rsidR="00BE50E4" w:rsidRPr="00A90A1B">
        <w:t>4206</w:t>
      </w:r>
      <w:r w:rsidRPr="00A90A1B">
        <w:t xml:space="preserve"> të dënuar me dënim alternativ, po kështu edhe produkti i dytë “Mirëfunksionimi i shërbimit të Provës”, është realizuar plotësisht sipas planifikimit. </w:t>
      </w:r>
      <w:r w:rsidR="00D63FF5" w:rsidRPr="00A90A1B">
        <w:t>P</w:t>
      </w:r>
      <w:r w:rsidR="00B63EC0" w:rsidRPr="00A90A1B">
        <w:t>ë</w:t>
      </w:r>
      <w:r w:rsidR="00D63FF5" w:rsidRPr="00A90A1B">
        <w:t xml:space="preserve">r </w:t>
      </w:r>
      <w:proofErr w:type="gramStart"/>
      <w:r w:rsidR="00D63FF5" w:rsidRPr="00A90A1B">
        <w:t>sa</w:t>
      </w:r>
      <w:proofErr w:type="gramEnd"/>
      <w:r w:rsidR="00D63FF5" w:rsidRPr="00A90A1B">
        <w:t xml:space="preserve"> i p</w:t>
      </w:r>
      <w:r w:rsidR="00B63EC0" w:rsidRPr="00A90A1B">
        <w:t>ë</w:t>
      </w:r>
      <w:r w:rsidR="00D63FF5" w:rsidRPr="00A90A1B">
        <w:t>rket z</w:t>
      </w:r>
      <w:r w:rsidR="00B63EC0" w:rsidRPr="00A90A1B">
        <w:t>ë</w:t>
      </w:r>
      <w:r w:rsidR="00D63FF5" w:rsidRPr="00A90A1B">
        <w:t>rit t</w:t>
      </w:r>
      <w:r w:rsidR="00B63EC0" w:rsidRPr="00A90A1B">
        <w:t>ë</w:t>
      </w:r>
      <w:r w:rsidR="00D63FF5" w:rsidRPr="00A90A1B">
        <w:t xml:space="preserve"> investimeve jan</w:t>
      </w:r>
      <w:r w:rsidR="00B63EC0" w:rsidRPr="00A90A1B">
        <w:t>ë</w:t>
      </w:r>
      <w:r w:rsidR="00D63FF5" w:rsidRPr="00A90A1B">
        <w:t xml:space="preserve"> realizuar </w:t>
      </w:r>
      <w:r w:rsidR="00BE50E4" w:rsidRPr="00A90A1B">
        <w:t xml:space="preserve">dhe </w:t>
      </w:r>
      <w:r w:rsidR="00A90A1B">
        <w:t>ë</w:t>
      </w:r>
      <w:r w:rsidR="00BE50E4" w:rsidRPr="00A90A1B">
        <w:t>sht</w:t>
      </w:r>
      <w:r w:rsidR="00A90A1B">
        <w:t>ë</w:t>
      </w:r>
      <w:r w:rsidR="00BE50E4" w:rsidRPr="00A90A1B">
        <w:t xml:space="preserve"> b</w:t>
      </w:r>
      <w:r w:rsidR="00A90A1B">
        <w:t>ë</w:t>
      </w:r>
      <w:r w:rsidR="00BE50E4" w:rsidRPr="00A90A1B">
        <w:t>r</w:t>
      </w:r>
      <w:r w:rsidR="00A90A1B">
        <w:t>ë</w:t>
      </w:r>
      <w:r w:rsidR="00BE50E4" w:rsidRPr="00A90A1B">
        <w:t xml:space="preserve"> likuidimi i detyrimit p</w:t>
      </w:r>
      <w:r w:rsidR="00A90A1B">
        <w:t>ë</w:t>
      </w:r>
      <w:r w:rsidR="00BE50E4" w:rsidRPr="00A90A1B">
        <w:t>rkat</w:t>
      </w:r>
      <w:r w:rsidR="00A90A1B">
        <w:t>ë</w:t>
      </w:r>
      <w:r w:rsidR="00BE50E4" w:rsidRPr="00A90A1B">
        <w:t>s.</w:t>
      </w:r>
    </w:p>
    <w:p w:rsidR="00F775AC" w:rsidRPr="00A90A1B" w:rsidRDefault="00F775AC" w:rsidP="00C7600C">
      <w:pPr>
        <w:jc w:val="both"/>
      </w:pPr>
    </w:p>
    <w:p w:rsidR="00F775AC" w:rsidRPr="00A90A1B" w:rsidRDefault="00F775AC" w:rsidP="00C7600C">
      <w:pPr>
        <w:jc w:val="both"/>
      </w:pPr>
    </w:p>
    <w:p w:rsidR="00B55F3D" w:rsidRPr="00A90A1B" w:rsidRDefault="00B55F3D" w:rsidP="00F775AC">
      <w:pPr>
        <w:ind w:left="-720"/>
        <w:jc w:val="both"/>
        <w:rPr>
          <w:lang w:val="sq-AL"/>
        </w:rPr>
      </w:pPr>
    </w:p>
    <w:p w:rsidR="00FB4666" w:rsidRPr="00A90A1B" w:rsidRDefault="00FB4666" w:rsidP="00F775AC">
      <w:pPr>
        <w:ind w:left="-720"/>
        <w:jc w:val="both"/>
        <w:rPr>
          <w:lang w:val="sq-AL"/>
        </w:rPr>
      </w:pPr>
      <w:r w:rsidRPr="00A90A1B">
        <w:rPr>
          <w:lang w:val="sq-AL"/>
        </w:rPr>
        <w:t>Po ju paraqesim me posht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n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nj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grafik p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>rmbledh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>s realizimin e fondeve t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Ministris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s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Drejt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>sis</w:t>
      </w:r>
      <w:r w:rsidR="00F775AC" w:rsidRPr="00A90A1B">
        <w:rPr>
          <w:lang w:val="sq-AL"/>
        </w:rPr>
        <w:t>ë</w:t>
      </w:r>
      <w:r w:rsidRPr="00A90A1B">
        <w:rPr>
          <w:lang w:val="sq-AL"/>
        </w:rPr>
        <w:t xml:space="preserve"> sipas programeve.</w:t>
      </w:r>
    </w:p>
    <w:p w:rsidR="00FB4666" w:rsidRPr="00A90A1B" w:rsidRDefault="00FB4666" w:rsidP="00F775AC">
      <w:pPr>
        <w:jc w:val="both"/>
        <w:rPr>
          <w:b/>
        </w:rPr>
      </w:pPr>
    </w:p>
    <w:p w:rsidR="00FB4666" w:rsidRPr="00A90A1B" w:rsidRDefault="00FB4666" w:rsidP="00C7600C">
      <w:pPr>
        <w:jc w:val="both"/>
        <w:rPr>
          <w:b/>
        </w:rPr>
      </w:pPr>
    </w:p>
    <w:p w:rsidR="00A90A1B" w:rsidRDefault="00A90A1B" w:rsidP="00C7600C">
      <w:pPr>
        <w:jc w:val="both"/>
        <w:rPr>
          <w:b/>
        </w:rPr>
      </w:pPr>
    </w:p>
    <w:p w:rsidR="00A90A1B" w:rsidRDefault="00A90A1B" w:rsidP="00C7600C">
      <w:pPr>
        <w:jc w:val="both"/>
        <w:rPr>
          <w:b/>
        </w:rPr>
      </w:pPr>
    </w:p>
    <w:p w:rsidR="00A90A1B" w:rsidRDefault="00A90A1B" w:rsidP="00C7600C">
      <w:pPr>
        <w:jc w:val="both"/>
        <w:rPr>
          <w:b/>
        </w:rPr>
      </w:pPr>
    </w:p>
    <w:p w:rsidR="00796678" w:rsidRPr="00A90A1B" w:rsidRDefault="00796678" w:rsidP="00C7600C">
      <w:pPr>
        <w:jc w:val="both"/>
        <w:rPr>
          <w:b/>
        </w:rPr>
      </w:pPr>
      <w:r w:rsidRPr="00A90A1B">
        <w:rPr>
          <w:b/>
        </w:rPr>
        <w:t>Realizimi i fondeve Buxhetore sipas Programeve</w:t>
      </w:r>
      <w:r w:rsidR="00674D86" w:rsidRPr="00A90A1B">
        <w:rPr>
          <w:b/>
        </w:rPr>
        <w:t xml:space="preserve"> n</w:t>
      </w:r>
      <w:r w:rsidR="00A90A1B">
        <w:rPr>
          <w:b/>
        </w:rPr>
        <w:t>ë</w:t>
      </w:r>
      <w:r w:rsidR="00674D86" w:rsidRPr="00A90A1B">
        <w:rPr>
          <w:b/>
        </w:rPr>
        <w:t xml:space="preserve"> mij</w:t>
      </w:r>
      <w:r w:rsidR="00A90A1B">
        <w:rPr>
          <w:b/>
        </w:rPr>
        <w:t>ë</w:t>
      </w:r>
      <w:r w:rsidR="00674D86" w:rsidRPr="00A90A1B">
        <w:rPr>
          <w:b/>
        </w:rPr>
        <w:t>ra lek</w:t>
      </w:r>
      <w:r w:rsidR="00A90A1B">
        <w:rPr>
          <w:b/>
        </w:rPr>
        <w:t>ë</w:t>
      </w:r>
    </w:p>
    <w:p w:rsidR="00796678" w:rsidRPr="00A90A1B" w:rsidRDefault="00796678" w:rsidP="00C7600C">
      <w:pPr>
        <w:jc w:val="both"/>
        <w:rPr>
          <w:b/>
        </w:rPr>
      </w:pPr>
    </w:p>
    <w:p w:rsidR="00B33E38" w:rsidRPr="00A90A1B" w:rsidRDefault="00EA30F4" w:rsidP="00C7600C">
      <w:pPr>
        <w:jc w:val="both"/>
      </w:pPr>
      <w:r w:rsidRPr="00A90A1B">
        <w:rPr>
          <w:noProof/>
        </w:rPr>
        <w:drawing>
          <wp:inline distT="0" distB="0" distL="0" distR="0" wp14:anchorId="3E598609" wp14:editId="0B77CEC1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33E38" w:rsidRPr="00A90A1B" w:rsidRDefault="00B33E38" w:rsidP="00C7600C">
      <w:pPr>
        <w:jc w:val="both"/>
      </w:pPr>
    </w:p>
    <w:p w:rsidR="00B33E38" w:rsidRPr="00A90A1B" w:rsidRDefault="00B33E38" w:rsidP="00C7600C">
      <w:pPr>
        <w:jc w:val="both"/>
      </w:pPr>
    </w:p>
    <w:p w:rsidR="00B33E38" w:rsidRPr="00A90A1B" w:rsidRDefault="00B33E38" w:rsidP="00C7600C">
      <w:pPr>
        <w:jc w:val="both"/>
      </w:pPr>
    </w:p>
    <w:p w:rsidR="00B33E38" w:rsidRPr="00A90A1B" w:rsidRDefault="00FB4666" w:rsidP="00C7600C">
      <w:pPr>
        <w:jc w:val="both"/>
      </w:pPr>
      <w:r w:rsidRPr="00A90A1B">
        <w:t xml:space="preserve">Duke </w:t>
      </w:r>
      <w:proofErr w:type="gramStart"/>
      <w:r w:rsidRPr="00A90A1B">
        <w:t>ju</w:t>
      </w:r>
      <w:proofErr w:type="gramEnd"/>
      <w:r w:rsidRPr="00A90A1B">
        <w:t xml:space="preserve"> fal</w:t>
      </w:r>
      <w:r w:rsidR="00A90A1B">
        <w:t>ë</w:t>
      </w:r>
      <w:r w:rsidRPr="00A90A1B">
        <w:t>nderuar p</w:t>
      </w:r>
      <w:r w:rsidR="00F775AC" w:rsidRPr="00A90A1B">
        <w:t>ë</w:t>
      </w:r>
      <w:r w:rsidRPr="00A90A1B">
        <w:t>r mir</w:t>
      </w:r>
      <w:r w:rsidR="00F775AC" w:rsidRPr="00A90A1B">
        <w:t>ë</w:t>
      </w:r>
      <w:r w:rsidRPr="00A90A1B">
        <w:t>kuptimin dhe bashk</w:t>
      </w:r>
      <w:r w:rsidR="00F775AC" w:rsidRPr="00A90A1B">
        <w:t>ë</w:t>
      </w:r>
      <w:r w:rsidRPr="00A90A1B">
        <w:t>punimin</w:t>
      </w:r>
      <w:r w:rsidR="00E5304E" w:rsidRPr="00A90A1B">
        <w:t>.</w:t>
      </w:r>
    </w:p>
    <w:p w:rsidR="00E5304E" w:rsidRPr="00A90A1B" w:rsidRDefault="00E5304E" w:rsidP="00C7600C">
      <w:pPr>
        <w:jc w:val="both"/>
      </w:pPr>
    </w:p>
    <w:p w:rsidR="00B55F3D" w:rsidRPr="00A90A1B" w:rsidRDefault="00B55F3D" w:rsidP="00C7600C">
      <w:pPr>
        <w:jc w:val="both"/>
      </w:pPr>
    </w:p>
    <w:p w:rsidR="00B55F3D" w:rsidRPr="00A90A1B" w:rsidRDefault="00B55F3D" w:rsidP="00C7600C">
      <w:pPr>
        <w:jc w:val="both"/>
      </w:pPr>
    </w:p>
    <w:p w:rsidR="00E5304E" w:rsidRPr="00A90A1B" w:rsidRDefault="00E5304E" w:rsidP="00C7600C">
      <w:pPr>
        <w:jc w:val="both"/>
      </w:pPr>
    </w:p>
    <w:p w:rsidR="00C7600C" w:rsidRPr="00A90A1B" w:rsidRDefault="00C7600C" w:rsidP="00C7600C">
      <w:pPr>
        <w:jc w:val="both"/>
      </w:pPr>
    </w:p>
    <w:p w:rsidR="00C7600C" w:rsidRPr="00A90A1B" w:rsidRDefault="00C7600C" w:rsidP="00C7600C">
      <w:pPr>
        <w:jc w:val="center"/>
        <w:rPr>
          <w:b/>
        </w:rPr>
      </w:pPr>
      <w:r w:rsidRPr="00A90A1B">
        <w:rPr>
          <w:b/>
        </w:rPr>
        <w:t>SEKRETAR</w:t>
      </w:r>
      <w:r w:rsidR="00933BDE" w:rsidRPr="00A90A1B">
        <w:rPr>
          <w:b/>
        </w:rPr>
        <w:t>E</w:t>
      </w:r>
      <w:r w:rsidRPr="00A90A1B">
        <w:rPr>
          <w:b/>
        </w:rPr>
        <w:t xml:space="preserve"> </w:t>
      </w:r>
      <w:r w:rsidR="00933BDE" w:rsidRPr="00A90A1B">
        <w:rPr>
          <w:b/>
        </w:rPr>
        <w:t>E</w:t>
      </w:r>
      <w:r w:rsidRPr="00A90A1B">
        <w:rPr>
          <w:b/>
        </w:rPr>
        <w:t xml:space="preserve"> PËRGJITHSHM</w:t>
      </w:r>
      <w:r w:rsidR="00933BDE" w:rsidRPr="00A90A1B">
        <w:rPr>
          <w:b/>
        </w:rPr>
        <w:t>E</w:t>
      </w:r>
    </w:p>
    <w:p w:rsidR="00C7600C" w:rsidRPr="00A90A1B" w:rsidRDefault="00C7600C" w:rsidP="00C7600C">
      <w:pPr>
        <w:rPr>
          <w:b/>
        </w:rPr>
      </w:pPr>
    </w:p>
    <w:p w:rsidR="00C7600C" w:rsidRPr="00A90A1B" w:rsidRDefault="00933BDE" w:rsidP="00C7600C">
      <w:pPr>
        <w:jc w:val="center"/>
        <w:rPr>
          <w:b/>
        </w:rPr>
      </w:pPr>
      <w:r w:rsidRPr="00A90A1B">
        <w:rPr>
          <w:b/>
        </w:rPr>
        <w:t>LLAMBRIOLA MISTO</w:t>
      </w:r>
    </w:p>
    <w:p w:rsidR="00C7600C" w:rsidRPr="00A90A1B" w:rsidRDefault="00C7600C" w:rsidP="00C7600C">
      <w:pPr>
        <w:jc w:val="center"/>
        <w:rPr>
          <w:b/>
        </w:rPr>
      </w:pPr>
    </w:p>
    <w:p w:rsidR="00B62F94" w:rsidRPr="00A90A1B" w:rsidRDefault="00B62F94" w:rsidP="00C7600C">
      <w:pPr>
        <w:jc w:val="center"/>
        <w:rPr>
          <w:b/>
        </w:rPr>
      </w:pPr>
    </w:p>
    <w:p w:rsidR="00B62F94" w:rsidRPr="00A90A1B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9600D4" w:rsidRDefault="009600D4" w:rsidP="00C7600C">
      <w:pPr>
        <w:jc w:val="center"/>
        <w:rPr>
          <w:b/>
        </w:rPr>
      </w:pPr>
    </w:p>
    <w:p w:rsidR="009600D4" w:rsidRPr="00A90A1B" w:rsidRDefault="009600D4" w:rsidP="00C7600C">
      <w:pPr>
        <w:jc w:val="center"/>
        <w:rPr>
          <w:b/>
        </w:rPr>
      </w:pPr>
      <w:bookmarkStart w:id="0" w:name="_GoBack"/>
      <w:bookmarkEnd w:id="0"/>
    </w:p>
    <w:p w:rsidR="0013253B" w:rsidRPr="00A90A1B" w:rsidRDefault="0013253B" w:rsidP="00C7600C">
      <w:pPr>
        <w:jc w:val="center"/>
        <w:rPr>
          <w:b/>
        </w:rPr>
      </w:pPr>
    </w:p>
    <w:p w:rsidR="0013253B" w:rsidRPr="00A90A1B" w:rsidRDefault="0013253B" w:rsidP="00C7600C">
      <w:pPr>
        <w:jc w:val="center"/>
        <w:rPr>
          <w:b/>
        </w:rPr>
      </w:pPr>
    </w:p>
    <w:p w:rsidR="0013253B" w:rsidRPr="00A90A1B" w:rsidRDefault="0013253B" w:rsidP="00C7600C">
      <w:pPr>
        <w:jc w:val="center"/>
        <w:rPr>
          <w:b/>
        </w:rPr>
      </w:pPr>
    </w:p>
    <w:p w:rsidR="0013253B" w:rsidRPr="00A90A1B" w:rsidRDefault="0013253B" w:rsidP="00C7600C">
      <w:pPr>
        <w:jc w:val="center"/>
        <w:rPr>
          <w:b/>
        </w:rPr>
      </w:pPr>
    </w:p>
    <w:p w:rsidR="00B62F94" w:rsidRPr="00A90A1B" w:rsidRDefault="00B62F94" w:rsidP="00C7600C">
      <w:pPr>
        <w:jc w:val="center"/>
        <w:rPr>
          <w:b/>
        </w:rPr>
      </w:pPr>
    </w:p>
    <w:p w:rsidR="00E77C1E" w:rsidRPr="00A90A1B" w:rsidRDefault="00E77C1E" w:rsidP="00E77C1E">
      <w:pPr>
        <w:tabs>
          <w:tab w:val="left" w:pos="270"/>
        </w:tabs>
        <w:ind w:left="-900"/>
        <w:rPr>
          <w:sz w:val="16"/>
          <w:szCs w:val="16"/>
        </w:rPr>
      </w:pPr>
    </w:p>
    <w:p w:rsidR="00E77C1E" w:rsidRPr="00A90A1B" w:rsidRDefault="00E77C1E" w:rsidP="0063399A">
      <w:pPr>
        <w:tabs>
          <w:tab w:val="left" w:pos="270"/>
        </w:tabs>
        <w:ind w:left="-900"/>
      </w:pPr>
      <w:r w:rsidRPr="00A90A1B">
        <w:rPr>
          <w:sz w:val="16"/>
          <w:szCs w:val="16"/>
        </w:rPr>
        <w:t xml:space="preserve">     </w:t>
      </w:r>
    </w:p>
    <w:p w:rsidR="0013253B" w:rsidRPr="00A90A1B" w:rsidRDefault="0013253B" w:rsidP="0013253B">
      <w:pPr>
        <w:tabs>
          <w:tab w:val="left" w:pos="270"/>
        </w:tabs>
        <w:ind w:left="-900"/>
        <w:rPr>
          <w:sz w:val="16"/>
          <w:szCs w:val="16"/>
        </w:rPr>
      </w:pPr>
      <w:r w:rsidRPr="00A90A1B">
        <w:rPr>
          <w:sz w:val="16"/>
          <w:szCs w:val="16"/>
        </w:rPr>
        <w:t xml:space="preserve"> Miratoi:  </w:t>
      </w:r>
      <w:r w:rsidR="00E5304E" w:rsidRPr="00A90A1B">
        <w:rPr>
          <w:sz w:val="16"/>
          <w:szCs w:val="16"/>
        </w:rPr>
        <w:t>Z</w:t>
      </w:r>
      <w:r w:rsidRPr="00A90A1B">
        <w:rPr>
          <w:sz w:val="16"/>
          <w:szCs w:val="16"/>
        </w:rPr>
        <w:t xml:space="preserve">.Petrit Bakiu, Drejtor i Financës    </w:t>
      </w:r>
    </w:p>
    <w:p w:rsidR="0013253B" w:rsidRPr="00A90A1B" w:rsidRDefault="0013253B" w:rsidP="0013253B">
      <w:pPr>
        <w:tabs>
          <w:tab w:val="left" w:pos="270"/>
        </w:tabs>
        <w:ind w:left="-900"/>
        <w:rPr>
          <w:sz w:val="16"/>
          <w:szCs w:val="16"/>
        </w:rPr>
      </w:pPr>
      <w:r w:rsidRPr="00A90A1B">
        <w:rPr>
          <w:sz w:val="16"/>
          <w:szCs w:val="16"/>
        </w:rPr>
        <w:t xml:space="preserve">                 Znj.Anisa Leka, Përgjegjëse e Sektorit të Buxhetit       </w:t>
      </w:r>
    </w:p>
    <w:p w:rsidR="0013253B" w:rsidRPr="00A90A1B" w:rsidRDefault="0013253B" w:rsidP="0013253B">
      <w:pPr>
        <w:tabs>
          <w:tab w:val="left" w:pos="270"/>
        </w:tabs>
        <w:ind w:left="-900"/>
        <w:rPr>
          <w:sz w:val="16"/>
          <w:szCs w:val="16"/>
        </w:rPr>
      </w:pPr>
      <w:r w:rsidRPr="00A90A1B">
        <w:rPr>
          <w:sz w:val="16"/>
          <w:szCs w:val="16"/>
        </w:rPr>
        <w:t xml:space="preserve">  Punoi:    znj.Ornela Bejte</w:t>
      </w:r>
    </w:p>
    <w:p w:rsidR="0013253B" w:rsidRPr="00A90A1B" w:rsidRDefault="0013253B" w:rsidP="0013253B">
      <w:pPr>
        <w:pBdr>
          <w:bottom w:val="single" w:sz="12" w:space="1" w:color="auto"/>
        </w:pBdr>
        <w:tabs>
          <w:tab w:val="left" w:pos="270"/>
        </w:tabs>
        <w:ind w:left="-900"/>
        <w:rPr>
          <w:sz w:val="16"/>
          <w:szCs w:val="16"/>
        </w:rPr>
      </w:pPr>
      <w:r w:rsidRPr="00A90A1B">
        <w:rPr>
          <w:sz w:val="16"/>
          <w:szCs w:val="16"/>
        </w:rPr>
        <w:t xml:space="preserve">  Datë       </w:t>
      </w:r>
      <w:r w:rsidR="00F876C7" w:rsidRPr="00A90A1B">
        <w:rPr>
          <w:sz w:val="16"/>
          <w:szCs w:val="16"/>
        </w:rPr>
        <w:t>30</w:t>
      </w:r>
      <w:r w:rsidRPr="00A90A1B">
        <w:rPr>
          <w:sz w:val="16"/>
          <w:szCs w:val="16"/>
        </w:rPr>
        <w:t>.</w:t>
      </w:r>
      <w:r w:rsidR="00443362" w:rsidRPr="00A90A1B">
        <w:rPr>
          <w:sz w:val="16"/>
          <w:szCs w:val="16"/>
        </w:rPr>
        <w:t>01</w:t>
      </w:r>
      <w:r w:rsidRPr="00A90A1B">
        <w:rPr>
          <w:sz w:val="16"/>
          <w:szCs w:val="16"/>
        </w:rPr>
        <w:t>.2014</w:t>
      </w:r>
    </w:p>
    <w:p w:rsidR="0013253B" w:rsidRPr="00A90A1B" w:rsidRDefault="0013253B" w:rsidP="0013253B">
      <w:pPr>
        <w:pStyle w:val="NoSpacing"/>
        <w:ind w:left="-720"/>
        <w:rPr>
          <w:sz w:val="16"/>
          <w:szCs w:val="16"/>
          <w:lang w:val="en-US"/>
        </w:rPr>
      </w:pPr>
      <w:r w:rsidRPr="00A90A1B">
        <w:rPr>
          <w:sz w:val="16"/>
          <w:szCs w:val="16"/>
          <w:lang w:val="en-US"/>
        </w:rPr>
        <w:t>Bulevardi “Zog I-rë</w:t>
      </w:r>
      <w:proofErr w:type="gramStart"/>
      <w:r w:rsidRPr="00A90A1B">
        <w:rPr>
          <w:sz w:val="16"/>
          <w:szCs w:val="16"/>
          <w:lang w:val="en-US"/>
        </w:rPr>
        <w:t>” ,</w:t>
      </w:r>
      <w:proofErr w:type="gramEnd"/>
      <w:r w:rsidRPr="00A90A1B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Tel.355 4 2259388 Ext.71125</w:t>
      </w:r>
    </w:p>
    <w:p w:rsidR="0013253B" w:rsidRDefault="0013253B" w:rsidP="00D64FFE">
      <w:pPr>
        <w:pStyle w:val="NoSpacing"/>
        <w:ind w:left="-720"/>
        <w:rPr>
          <w:sz w:val="16"/>
          <w:szCs w:val="16"/>
        </w:rPr>
      </w:pPr>
      <w:r w:rsidRPr="00A90A1B">
        <w:rPr>
          <w:sz w:val="16"/>
          <w:szCs w:val="16"/>
          <w:lang w:val="en-US"/>
        </w:rPr>
        <w:t>Tiranë                                                                                                                                                                                                         Fax.00 355 4 2234560</w:t>
      </w:r>
      <w:r>
        <w:rPr>
          <w:sz w:val="16"/>
          <w:szCs w:val="16"/>
        </w:rPr>
        <w:t xml:space="preserve">                       </w:t>
      </w:r>
    </w:p>
    <w:sectPr w:rsidR="0013253B" w:rsidSect="002840AB">
      <w:pgSz w:w="12240" w:h="15840"/>
      <w:pgMar w:top="450" w:right="108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77" w:rsidRDefault="006E0077" w:rsidP="00EA0989">
      <w:r>
        <w:separator/>
      </w:r>
    </w:p>
  </w:endnote>
  <w:endnote w:type="continuationSeparator" w:id="0">
    <w:p w:rsidR="006E0077" w:rsidRDefault="006E0077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77" w:rsidRDefault="006E0077" w:rsidP="00EA0989">
      <w:r>
        <w:separator/>
      </w:r>
    </w:p>
  </w:footnote>
  <w:footnote w:type="continuationSeparator" w:id="0">
    <w:p w:rsidR="006E0077" w:rsidRDefault="006E0077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214"/>
    <w:multiLevelType w:val="hybridMultilevel"/>
    <w:tmpl w:val="D6BC60CC"/>
    <w:lvl w:ilvl="0" w:tplc="DB1417AE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D95122"/>
    <w:multiLevelType w:val="hybridMultilevel"/>
    <w:tmpl w:val="96C6CD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3C52546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F74E8B"/>
    <w:multiLevelType w:val="hybridMultilevel"/>
    <w:tmpl w:val="EA66DE6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38CA6D07"/>
    <w:multiLevelType w:val="hybridMultilevel"/>
    <w:tmpl w:val="C3BC77E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>
    <w:nsid w:val="47C47D5B"/>
    <w:multiLevelType w:val="hybridMultilevel"/>
    <w:tmpl w:val="B066EE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CB73D5F"/>
    <w:multiLevelType w:val="hybridMultilevel"/>
    <w:tmpl w:val="4C3E79C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F0A1550"/>
    <w:multiLevelType w:val="hybridMultilevel"/>
    <w:tmpl w:val="298C271A"/>
    <w:lvl w:ilvl="0" w:tplc="AA1EDE00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6C827F0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6"/>
  </w:num>
  <w:num w:numId="5">
    <w:abstractNumId w:val="14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15"/>
  </w:num>
  <w:num w:numId="14">
    <w:abstractNumId w:val="10"/>
  </w:num>
  <w:num w:numId="15">
    <w:abstractNumId w:val="12"/>
  </w:num>
  <w:num w:numId="16">
    <w:abstractNumId w:val="11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00C"/>
    <w:rsid w:val="00033311"/>
    <w:rsid w:val="00033489"/>
    <w:rsid w:val="000375E0"/>
    <w:rsid w:val="0009030B"/>
    <w:rsid w:val="000B11FD"/>
    <w:rsid w:val="000C01CA"/>
    <w:rsid w:val="000C1405"/>
    <w:rsid w:val="000C1A33"/>
    <w:rsid w:val="000C2F90"/>
    <w:rsid w:val="000C53EE"/>
    <w:rsid w:val="000C5E61"/>
    <w:rsid w:val="000C62E2"/>
    <w:rsid w:val="000D1F72"/>
    <w:rsid w:val="000D54BA"/>
    <w:rsid w:val="000D687E"/>
    <w:rsid w:val="000F5287"/>
    <w:rsid w:val="00104B53"/>
    <w:rsid w:val="00115617"/>
    <w:rsid w:val="00115A11"/>
    <w:rsid w:val="0013253B"/>
    <w:rsid w:val="00154498"/>
    <w:rsid w:val="00163439"/>
    <w:rsid w:val="00163441"/>
    <w:rsid w:val="0016469D"/>
    <w:rsid w:val="001664BC"/>
    <w:rsid w:val="00173BC9"/>
    <w:rsid w:val="00175530"/>
    <w:rsid w:val="00180809"/>
    <w:rsid w:val="0019011C"/>
    <w:rsid w:val="0019584A"/>
    <w:rsid w:val="001C4FE2"/>
    <w:rsid w:val="001C5074"/>
    <w:rsid w:val="001D3DD1"/>
    <w:rsid w:val="001E450C"/>
    <w:rsid w:val="001F42A2"/>
    <w:rsid w:val="001F44A8"/>
    <w:rsid w:val="00205D4E"/>
    <w:rsid w:val="00206F0A"/>
    <w:rsid w:val="002076B2"/>
    <w:rsid w:val="00220E67"/>
    <w:rsid w:val="00224EF2"/>
    <w:rsid w:val="00233F10"/>
    <w:rsid w:val="002343BD"/>
    <w:rsid w:val="00251EA9"/>
    <w:rsid w:val="002545D8"/>
    <w:rsid w:val="00260E33"/>
    <w:rsid w:val="002705D8"/>
    <w:rsid w:val="00270A74"/>
    <w:rsid w:val="00272F4D"/>
    <w:rsid w:val="002803FD"/>
    <w:rsid w:val="002840AB"/>
    <w:rsid w:val="0029685E"/>
    <w:rsid w:val="002A6EEB"/>
    <w:rsid w:val="002B7744"/>
    <w:rsid w:val="002C511C"/>
    <w:rsid w:val="002F516B"/>
    <w:rsid w:val="00301428"/>
    <w:rsid w:val="00315C00"/>
    <w:rsid w:val="00317113"/>
    <w:rsid w:val="00342A49"/>
    <w:rsid w:val="0035466B"/>
    <w:rsid w:val="00356507"/>
    <w:rsid w:val="003565B7"/>
    <w:rsid w:val="00360DAF"/>
    <w:rsid w:val="003722B1"/>
    <w:rsid w:val="003916DB"/>
    <w:rsid w:val="003935B8"/>
    <w:rsid w:val="003A18E5"/>
    <w:rsid w:val="003C08CF"/>
    <w:rsid w:val="003F203D"/>
    <w:rsid w:val="003F3041"/>
    <w:rsid w:val="003F4F86"/>
    <w:rsid w:val="00406B49"/>
    <w:rsid w:val="0042483A"/>
    <w:rsid w:val="00426920"/>
    <w:rsid w:val="004308F1"/>
    <w:rsid w:val="00443362"/>
    <w:rsid w:val="00460244"/>
    <w:rsid w:val="00474A81"/>
    <w:rsid w:val="004A104F"/>
    <w:rsid w:val="004A2189"/>
    <w:rsid w:val="004A62EC"/>
    <w:rsid w:val="004C470F"/>
    <w:rsid w:val="004D4553"/>
    <w:rsid w:val="004F68E9"/>
    <w:rsid w:val="00500F4E"/>
    <w:rsid w:val="00504919"/>
    <w:rsid w:val="00513933"/>
    <w:rsid w:val="00517772"/>
    <w:rsid w:val="00521E64"/>
    <w:rsid w:val="00532F86"/>
    <w:rsid w:val="0053409C"/>
    <w:rsid w:val="00540FB2"/>
    <w:rsid w:val="00542758"/>
    <w:rsid w:val="0054420B"/>
    <w:rsid w:val="0054596C"/>
    <w:rsid w:val="00566EF0"/>
    <w:rsid w:val="00571263"/>
    <w:rsid w:val="005942B6"/>
    <w:rsid w:val="00594379"/>
    <w:rsid w:val="00594AC4"/>
    <w:rsid w:val="005A5F3B"/>
    <w:rsid w:val="005D7CB3"/>
    <w:rsid w:val="005F1A56"/>
    <w:rsid w:val="005F4C82"/>
    <w:rsid w:val="0060044C"/>
    <w:rsid w:val="00604CDE"/>
    <w:rsid w:val="006108B8"/>
    <w:rsid w:val="006156BA"/>
    <w:rsid w:val="0061663F"/>
    <w:rsid w:val="00630741"/>
    <w:rsid w:val="00632F0E"/>
    <w:rsid w:val="0063399A"/>
    <w:rsid w:val="00634010"/>
    <w:rsid w:val="00653296"/>
    <w:rsid w:val="006543C6"/>
    <w:rsid w:val="00671B9B"/>
    <w:rsid w:val="00674D86"/>
    <w:rsid w:val="00677517"/>
    <w:rsid w:val="0069473D"/>
    <w:rsid w:val="0069731A"/>
    <w:rsid w:val="00697AD2"/>
    <w:rsid w:val="006A2E29"/>
    <w:rsid w:val="006A659D"/>
    <w:rsid w:val="006C3DFC"/>
    <w:rsid w:val="006C3F9A"/>
    <w:rsid w:val="006D4E78"/>
    <w:rsid w:val="006E0077"/>
    <w:rsid w:val="006E7722"/>
    <w:rsid w:val="006F6703"/>
    <w:rsid w:val="006F7EF8"/>
    <w:rsid w:val="00721700"/>
    <w:rsid w:val="0073355A"/>
    <w:rsid w:val="00742B63"/>
    <w:rsid w:val="007538A0"/>
    <w:rsid w:val="007676E0"/>
    <w:rsid w:val="00770E76"/>
    <w:rsid w:val="00784149"/>
    <w:rsid w:val="007860CE"/>
    <w:rsid w:val="00796678"/>
    <w:rsid w:val="007B43C6"/>
    <w:rsid w:val="007B46CE"/>
    <w:rsid w:val="007C2382"/>
    <w:rsid w:val="007C7DFC"/>
    <w:rsid w:val="007D3B50"/>
    <w:rsid w:val="00802534"/>
    <w:rsid w:val="00821EBF"/>
    <w:rsid w:val="008373A3"/>
    <w:rsid w:val="00843EB8"/>
    <w:rsid w:val="0085342A"/>
    <w:rsid w:val="008762BB"/>
    <w:rsid w:val="00876E43"/>
    <w:rsid w:val="00893C86"/>
    <w:rsid w:val="008A73C0"/>
    <w:rsid w:val="008B0AB3"/>
    <w:rsid w:val="008B74F1"/>
    <w:rsid w:val="008C12FB"/>
    <w:rsid w:val="008C1ECF"/>
    <w:rsid w:val="008C79BE"/>
    <w:rsid w:val="008D6072"/>
    <w:rsid w:val="008E5E92"/>
    <w:rsid w:val="008E7634"/>
    <w:rsid w:val="008F5254"/>
    <w:rsid w:val="00923034"/>
    <w:rsid w:val="009338F3"/>
    <w:rsid w:val="00933BDE"/>
    <w:rsid w:val="009402A3"/>
    <w:rsid w:val="00943BCD"/>
    <w:rsid w:val="00951057"/>
    <w:rsid w:val="00957416"/>
    <w:rsid w:val="009575A8"/>
    <w:rsid w:val="009600D4"/>
    <w:rsid w:val="00960FDE"/>
    <w:rsid w:val="0097772D"/>
    <w:rsid w:val="00981965"/>
    <w:rsid w:val="00983C64"/>
    <w:rsid w:val="00993AC3"/>
    <w:rsid w:val="009A568B"/>
    <w:rsid w:val="009D04C7"/>
    <w:rsid w:val="009E380D"/>
    <w:rsid w:val="009F3C41"/>
    <w:rsid w:val="00A03B18"/>
    <w:rsid w:val="00A05DA6"/>
    <w:rsid w:val="00A146CE"/>
    <w:rsid w:val="00A255E7"/>
    <w:rsid w:val="00A4195C"/>
    <w:rsid w:val="00A4572D"/>
    <w:rsid w:val="00A46512"/>
    <w:rsid w:val="00A52304"/>
    <w:rsid w:val="00A535F3"/>
    <w:rsid w:val="00A53AAA"/>
    <w:rsid w:val="00A61EB5"/>
    <w:rsid w:val="00A678E0"/>
    <w:rsid w:val="00A8789B"/>
    <w:rsid w:val="00A90A1B"/>
    <w:rsid w:val="00A93643"/>
    <w:rsid w:val="00AA4557"/>
    <w:rsid w:val="00AA7277"/>
    <w:rsid w:val="00AB2E9A"/>
    <w:rsid w:val="00AB64AC"/>
    <w:rsid w:val="00AC5DB4"/>
    <w:rsid w:val="00AC61CE"/>
    <w:rsid w:val="00AD210F"/>
    <w:rsid w:val="00AD43F9"/>
    <w:rsid w:val="00AD629B"/>
    <w:rsid w:val="00AD7E2C"/>
    <w:rsid w:val="00AF0B51"/>
    <w:rsid w:val="00AF2460"/>
    <w:rsid w:val="00B20361"/>
    <w:rsid w:val="00B2264D"/>
    <w:rsid w:val="00B33E38"/>
    <w:rsid w:val="00B55F3D"/>
    <w:rsid w:val="00B564BB"/>
    <w:rsid w:val="00B604EF"/>
    <w:rsid w:val="00B62F94"/>
    <w:rsid w:val="00B63EC0"/>
    <w:rsid w:val="00B7387F"/>
    <w:rsid w:val="00B773D1"/>
    <w:rsid w:val="00B86548"/>
    <w:rsid w:val="00BC249D"/>
    <w:rsid w:val="00BD4749"/>
    <w:rsid w:val="00BE506B"/>
    <w:rsid w:val="00BE50E4"/>
    <w:rsid w:val="00BF345E"/>
    <w:rsid w:val="00BF5CA7"/>
    <w:rsid w:val="00C27234"/>
    <w:rsid w:val="00C33F30"/>
    <w:rsid w:val="00C40CDF"/>
    <w:rsid w:val="00C4142D"/>
    <w:rsid w:val="00C46F72"/>
    <w:rsid w:val="00C55676"/>
    <w:rsid w:val="00C60A63"/>
    <w:rsid w:val="00C62A7E"/>
    <w:rsid w:val="00C66D46"/>
    <w:rsid w:val="00C7600C"/>
    <w:rsid w:val="00C80716"/>
    <w:rsid w:val="00CA2195"/>
    <w:rsid w:val="00CB56B1"/>
    <w:rsid w:val="00D20A13"/>
    <w:rsid w:val="00D2257A"/>
    <w:rsid w:val="00D24418"/>
    <w:rsid w:val="00D30DF3"/>
    <w:rsid w:val="00D558F8"/>
    <w:rsid w:val="00D56657"/>
    <w:rsid w:val="00D56EAD"/>
    <w:rsid w:val="00D61065"/>
    <w:rsid w:val="00D63FF5"/>
    <w:rsid w:val="00D64FFE"/>
    <w:rsid w:val="00D675EB"/>
    <w:rsid w:val="00D71FED"/>
    <w:rsid w:val="00D7246B"/>
    <w:rsid w:val="00D749B3"/>
    <w:rsid w:val="00D975B4"/>
    <w:rsid w:val="00DB3C97"/>
    <w:rsid w:val="00DC6A6D"/>
    <w:rsid w:val="00DC6F37"/>
    <w:rsid w:val="00DD4075"/>
    <w:rsid w:val="00DD4898"/>
    <w:rsid w:val="00DE786D"/>
    <w:rsid w:val="00DE7FF6"/>
    <w:rsid w:val="00E03D13"/>
    <w:rsid w:val="00E041E0"/>
    <w:rsid w:val="00E11C6B"/>
    <w:rsid w:val="00E16F69"/>
    <w:rsid w:val="00E2002B"/>
    <w:rsid w:val="00E200A5"/>
    <w:rsid w:val="00E23BE0"/>
    <w:rsid w:val="00E25B00"/>
    <w:rsid w:val="00E349BC"/>
    <w:rsid w:val="00E35F04"/>
    <w:rsid w:val="00E36C60"/>
    <w:rsid w:val="00E47913"/>
    <w:rsid w:val="00E5304E"/>
    <w:rsid w:val="00E609A3"/>
    <w:rsid w:val="00E62396"/>
    <w:rsid w:val="00E62467"/>
    <w:rsid w:val="00E663CE"/>
    <w:rsid w:val="00E7495C"/>
    <w:rsid w:val="00E7747B"/>
    <w:rsid w:val="00E77C1E"/>
    <w:rsid w:val="00E820C9"/>
    <w:rsid w:val="00E86D80"/>
    <w:rsid w:val="00EA0989"/>
    <w:rsid w:val="00EA30F4"/>
    <w:rsid w:val="00EB137E"/>
    <w:rsid w:val="00EB3716"/>
    <w:rsid w:val="00EB7854"/>
    <w:rsid w:val="00EC1496"/>
    <w:rsid w:val="00EC196C"/>
    <w:rsid w:val="00EC51C8"/>
    <w:rsid w:val="00ED10BD"/>
    <w:rsid w:val="00EF687D"/>
    <w:rsid w:val="00F005DF"/>
    <w:rsid w:val="00F14408"/>
    <w:rsid w:val="00F34C38"/>
    <w:rsid w:val="00F54E72"/>
    <w:rsid w:val="00F54ED4"/>
    <w:rsid w:val="00F55F22"/>
    <w:rsid w:val="00F704B8"/>
    <w:rsid w:val="00F775AC"/>
    <w:rsid w:val="00F836EC"/>
    <w:rsid w:val="00F876C7"/>
    <w:rsid w:val="00FA356B"/>
    <w:rsid w:val="00FB4666"/>
    <w:rsid w:val="00FB56B2"/>
    <w:rsid w:val="00FB69C0"/>
    <w:rsid w:val="00FB7E7F"/>
    <w:rsid w:val="00FC490D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Institucioneve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Sheet1!$A$2:$A$12</c:f>
              <c:strCache>
                <c:ptCount val="11"/>
                <c:pt idx="0">
                  <c:v>Aparati i Ministrise</c:v>
                </c:pt>
                <c:pt idx="1">
                  <c:v>Agjensia e Mbikqyrjes se Falimentit</c:v>
                </c:pt>
                <c:pt idx="2">
                  <c:v>Komisioni Shteteror i Ndihmes Juridike</c:v>
                </c:pt>
                <c:pt idx="3">
                  <c:v>Avokatura e Shtetit</c:v>
                </c:pt>
                <c:pt idx="4">
                  <c:v>Qendra e Botimeve Zyrtare</c:v>
                </c:pt>
                <c:pt idx="5">
                  <c:v>Instituti i Mjekesise Ligjore</c:v>
                </c:pt>
                <c:pt idx="6">
                  <c:v>Sherbimi i Permbarimit Gjyqesor</c:v>
                </c:pt>
                <c:pt idx="7">
                  <c:v>Sistemi i Burgjeve</c:v>
                </c:pt>
                <c:pt idx="8">
                  <c:v>Sherbimi per Çeshtjet e Biresimeve</c:v>
                </c:pt>
                <c:pt idx="9">
                  <c:v>Agjensia e Kthimit dhe Kompensimit te Pronave</c:v>
                </c:pt>
                <c:pt idx="10">
                  <c:v>Sherbimi i Proves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0.19178305000000001</c:v>
                </c:pt>
                <c:pt idx="1">
                  <c:v>1.4511257E-3</c:v>
                </c:pt>
                <c:pt idx="2">
                  <c:v>2.1766886418659506E-3</c:v>
                </c:pt>
                <c:pt idx="3">
                  <c:v>1.9902961330657401E-2</c:v>
                </c:pt>
                <c:pt idx="4">
                  <c:v>9.9831609258408689E-3</c:v>
                </c:pt>
                <c:pt idx="5">
                  <c:v>9.9832615287714123E-3</c:v>
                </c:pt>
                <c:pt idx="6">
                  <c:v>0.63915591964110285</c:v>
                </c:pt>
                <c:pt idx="7">
                  <c:v>1.7579582416492191E-2</c:v>
                </c:pt>
                <c:pt idx="8">
                  <c:v>1.80584539177027E-3</c:v>
                </c:pt>
                <c:pt idx="9">
                  <c:v>9.1951941631227913E-2</c:v>
                </c:pt>
                <c:pt idx="10">
                  <c:v>1.7139407602248188E-2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 %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Aparati i Ministrise</c:v>
                </c:pt>
                <c:pt idx="1">
                  <c:v>Agjensia e Mbikqyrjes se Falimentit</c:v>
                </c:pt>
                <c:pt idx="2">
                  <c:v>Komisioni Shteteror i Ndihmes Juridike</c:v>
                </c:pt>
                <c:pt idx="3">
                  <c:v>Avokatura e Shtetit</c:v>
                </c:pt>
                <c:pt idx="4">
                  <c:v>Qendra e Botimeve Zyrtare</c:v>
                </c:pt>
                <c:pt idx="5">
                  <c:v>Instituti i Mjekesise Ligjore</c:v>
                </c:pt>
                <c:pt idx="6">
                  <c:v>Sherbimi i Permbarimit Gjyqesor</c:v>
                </c:pt>
                <c:pt idx="7">
                  <c:v>Sistemi i Burgjeve</c:v>
                </c:pt>
                <c:pt idx="8">
                  <c:v>Sherbimi per Çeshtjet e Biresimeve</c:v>
                </c:pt>
                <c:pt idx="9">
                  <c:v>Agjensia e Kthimit dhe Kompensimit te Pronave</c:v>
                </c:pt>
                <c:pt idx="10">
                  <c:v>Sherbimi i Proves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0.19122601915995546</c:v>
                </c:pt>
                <c:pt idx="1">
                  <c:v>1.4469109283208488E-3</c:v>
                </c:pt>
                <c:pt idx="2">
                  <c:v>2.1703664840804007E-3</c:v>
                </c:pt>
                <c:pt idx="3">
                  <c:v>1.9845153493784486E-2</c:v>
                </c:pt>
                <c:pt idx="4">
                  <c:v>9.9541649925880549E-3</c:v>
                </c:pt>
                <c:pt idx="5">
                  <c:v>9.9542653033189762E-3</c:v>
                </c:pt>
                <c:pt idx="6">
                  <c:v>0.63729950136619729</c:v>
                </c:pt>
                <c:pt idx="7">
                  <c:v>1.7528522796984154E-2</c:v>
                </c:pt>
                <c:pt idx="8">
                  <c:v>1.8006003423481842E-3</c:v>
                </c:pt>
                <c:pt idx="9">
                  <c:v>9.1684868668885464E-2</c:v>
                </c:pt>
                <c:pt idx="10">
                  <c:v>1.7089626463536782E-2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Planifikim Menaxhim Administrimi</c:v>
                </c:pt>
                <c:pt idx="1">
                  <c:v>Qendra Publikimeve Zyrtare</c:v>
                </c:pt>
                <c:pt idx="2">
                  <c:v>Instituti Mjeksise Ligjore</c:v>
                </c:pt>
                <c:pt idx="3">
                  <c:v>Sistemi Burgjeve</c:v>
                </c:pt>
                <c:pt idx="4">
                  <c:v>Sherbimi Permbarimit Gjyqesor</c:v>
                </c:pt>
                <c:pt idx="5">
                  <c:v>Komiteti Shqiptar Biresimeve</c:v>
                </c:pt>
                <c:pt idx="6">
                  <c:v>Sherbimi Kthimit e Kompesimit Pronave</c:v>
                </c:pt>
                <c:pt idx="7">
                  <c:v>Sherbimi I Proves</c:v>
                </c:pt>
              </c:strCache>
            </c:strRef>
          </c:cat>
          <c:val>
            <c:numRef>
              <c:f>Sheet1!$B$2:$B$9</c:f>
              <c:numCache>
                <c:formatCode>#,##0</c:formatCode>
                <c:ptCount val="8"/>
                <c:pt idx="0">
                  <c:v>1335482</c:v>
                </c:pt>
                <c:pt idx="1">
                  <c:v>44912</c:v>
                </c:pt>
                <c:pt idx="2">
                  <c:v>61917</c:v>
                </c:pt>
                <c:pt idx="3">
                  <c:v>3964097</c:v>
                </c:pt>
                <c:pt idx="4">
                  <c:v>109030</c:v>
                </c:pt>
                <c:pt idx="5">
                  <c:v>11200</c:v>
                </c:pt>
                <c:pt idx="6">
                  <c:v>571454</c:v>
                </c:pt>
                <c:pt idx="7">
                  <c:v>106300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Planifikim Menaxhim Administrimi</c:v>
                </c:pt>
                <c:pt idx="1">
                  <c:v>Qendra Publikimeve Zyrtare</c:v>
                </c:pt>
                <c:pt idx="2">
                  <c:v>Instituti Mjeksise Ligjore</c:v>
                </c:pt>
                <c:pt idx="3">
                  <c:v>Sistemi Burgjeve</c:v>
                </c:pt>
                <c:pt idx="4">
                  <c:v>Sherbimi Permbarimit Gjyqesor</c:v>
                </c:pt>
                <c:pt idx="5">
                  <c:v>Komiteti Shqiptar Biresimeve</c:v>
                </c:pt>
                <c:pt idx="6">
                  <c:v>Sherbimi Kthimit e Kompesimit Pronave</c:v>
                </c:pt>
                <c:pt idx="7">
                  <c:v>Sherbimi I Proves</c:v>
                </c:pt>
              </c:strCache>
            </c:strRef>
          </c:cat>
          <c:val>
            <c:numRef>
              <c:f>Sheet1!$C$2:$C$9</c:f>
              <c:numCache>
                <c:formatCode>#,##0</c:formatCode>
                <c:ptCount val="8"/>
                <c:pt idx="0">
                  <c:v>1150663</c:v>
                </c:pt>
                <c:pt idx="1">
                  <c:v>39589</c:v>
                </c:pt>
                <c:pt idx="2">
                  <c:v>61669</c:v>
                </c:pt>
                <c:pt idx="3">
                  <c:v>3897802</c:v>
                </c:pt>
                <c:pt idx="4">
                  <c:v>94500</c:v>
                </c:pt>
                <c:pt idx="5">
                  <c:v>9258</c:v>
                </c:pt>
                <c:pt idx="6">
                  <c:v>466241</c:v>
                </c:pt>
                <c:pt idx="7">
                  <c:v>106096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223104"/>
        <c:axId val="212224640"/>
      </c:barChart>
      <c:catAx>
        <c:axId val="21222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12224640"/>
        <c:crosses val="autoZero"/>
        <c:auto val="1"/>
        <c:lblAlgn val="ctr"/>
        <c:lblOffset val="100"/>
        <c:noMultiLvlLbl val="0"/>
      </c:catAx>
      <c:valAx>
        <c:axId val="2122246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1222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237350539515889"/>
          <c:y val="0.392363454568179"/>
          <c:w val="0.12373760571595217"/>
          <c:h val="0.203368016497937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Shpenzime Operative</c:v>
                </c:pt>
                <c:pt idx="1">
                  <c:v>Shpenzime Kapitale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5235062</c:v>
                </c:pt>
                <c:pt idx="1">
                  <c:v>969331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75925925925917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Shpenzime Operative</c:v>
                </c:pt>
                <c:pt idx="1">
                  <c:v>Shpenzime Kapitale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5019818</c:v>
                </c:pt>
                <c:pt idx="1">
                  <c:v>806000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538240"/>
        <c:axId val="167924480"/>
      </c:barChart>
      <c:catAx>
        <c:axId val="166538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67924480"/>
        <c:crosses val="autoZero"/>
        <c:auto val="1"/>
        <c:lblAlgn val="ctr"/>
        <c:lblOffset val="100"/>
        <c:noMultiLvlLbl val="0"/>
      </c:catAx>
      <c:valAx>
        <c:axId val="16792448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6538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 mujor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3981481481481483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24750000</c:v>
                </c:pt>
                <c:pt idx="1">
                  <c:v>20062500</c:v>
                </c:pt>
                <c:pt idx="2">
                  <c:v>100000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21906239</c:v>
                </c:pt>
                <c:pt idx="1">
                  <c:v>17585685</c:v>
                </c:pt>
                <c:pt idx="2">
                  <c:v>97140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982976"/>
        <c:axId val="167984512"/>
      </c:barChart>
      <c:catAx>
        <c:axId val="167982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67984512"/>
        <c:crosses val="autoZero"/>
        <c:auto val="1"/>
        <c:lblAlgn val="ctr"/>
        <c:lblOffset val="100"/>
        <c:noMultiLvlLbl val="0"/>
      </c:catAx>
      <c:valAx>
        <c:axId val="16798451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7982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3.2407407407407364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35500000</c:v>
                </c:pt>
                <c:pt idx="1">
                  <c:v>15000000</c:v>
                </c:pt>
                <c:pt idx="2">
                  <c:v>11417000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129629629629636E-2"/>
                  <c:y val="7.9365079365079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35185185185185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759259259259342E-2"/>
                  <c:y val="7.9361954755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35262854</c:v>
                </c:pt>
                <c:pt idx="1">
                  <c:v>14998802</c:v>
                </c:pt>
                <c:pt idx="2">
                  <c:v>11407256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031232"/>
        <c:axId val="196032768"/>
      </c:barChart>
      <c:catAx>
        <c:axId val="196031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96032768"/>
        <c:crosses val="autoZero"/>
        <c:auto val="1"/>
        <c:lblAlgn val="ctr"/>
        <c:lblOffset val="100"/>
        <c:noMultiLvlLbl val="0"/>
      </c:catAx>
      <c:valAx>
        <c:axId val="1960327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96031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398148148148148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2880215</c:v>
                </c:pt>
                <c:pt idx="1">
                  <c:v>1064598</c:v>
                </c:pt>
                <c:pt idx="2">
                  <c:v>19284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2870167</c:v>
                </c:pt>
                <c:pt idx="1">
                  <c:v>1012164</c:v>
                </c:pt>
                <c:pt idx="2">
                  <c:v>15471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542720"/>
        <c:axId val="166777984"/>
      </c:barChart>
      <c:catAx>
        <c:axId val="166542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66777984"/>
        <c:crosses val="autoZero"/>
        <c:auto val="1"/>
        <c:lblAlgn val="ctr"/>
        <c:lblOffset val="100"/>
        <c:noMultiLvlLbl val="0"/>
      </c:catAx>
      <c:valAx>
        <c:axId val="16677798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6542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74825000</c:v>
                </c:pt>
                <c:pt idx="1">
                  <c:v>26705000</c:v>
                </c:pt>
                <c:pt idx="2">
                  <c:v>7500000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703703703703706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67270067</c:v>
                </c:pt>
                <c:pt idx="1">
                  <c:v>25958133</c:v>
                </c:pt>
                <c:pt idx="2">
                  <c:v>1271802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321536"/>
        <c:axId val="164651008"/>
      </c:barChart>
      <c:catAx>
        <c:axId val="16432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64651008"/>
        <c:crosses val="autoZero"/>
        <c:auto val="1"/>
        <c:lblAlgn val="ctr"/>
        <c:lblOffset val="100"/>
        <c:noMultiLvlLbl val="0"/>
      </c:catAx>
      <c:valAx>
        <c:axId val="16465100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432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462962962962962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888888888888888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8700000</c:v>
                </c:pt>
                <c:pt idx="1">
                  <c:v>2300000</c:v>
                </c:pt>
                <c:pt idx="2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92592592592592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7070782</c:v>
                </c:pt>
                <c:pt idx="1">
                  <c:v>2040573</c:v>
                </c:pt>
                <c:pt idx="2">
                  <c:v>146546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852096"/>
        <c:axId val="208853632"/>
      </c:barChart>
      <c:catAx>
        <c:axId val="208852096"/>
        <c:scaling>
          <c:orientation val="minMax"/>
        </c:scaling>
        <c:delete val="0"/>
        <c:axPos val="b"/>
        <c:majorTickMark val="out"/>
        <c:minorTickMark val="none"/>
        <c:tickLblPos val="nextTo"/>
        <c:crossAx val="208853632"/>
        <c:crosses val="autoZero"/>
        <c:auto val="1"/>
        <c:lblAlgn val="ctr"/>
        <c:lblOffset val="100"/>
        <c:noMultiLvlLbl val="0"/>
      </c:catAx>
      <c:valAx>
        <c:axId val="20885363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08852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48148148147934E-3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777777777777776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Shpenzimet nga te ardhurat Jashtebuxhetore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108896582</c:v>
                </c:pt>
                <c:pt idx="1">
                  <c:v>461396839</c:v>
                </c:pt>
                <c:pt idx="2">
                  <c:v>1161000</c:v>
                </c:pt>
                <c:pt idx="3">
                  <c:v>1671454421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407407407407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64814814814814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111111111111111"/>
                  <c:y val="-9.0938102914428524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Shpenzimet nga te ardhurat Jashtebuxhetore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81587644</c:v>
                </c:pt>
                <c:pt idx="1">
                  <c:v>384272383</c:v>
                </c:pt>
                <c:pt idx="2">
                  <c:v>380628</c:v>
                </c:pt>
                <c:pt idx="3">
                  <c:v>1483066781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961536"/>
        <c:axId val="208963072"/>
      </c:barChart>
      <c:catAx>
        <c:axId val="20896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208963072"/>
        <c:crosses val="autoZero"/>
        <c:auto val="1"/>
        <c:lblAlgn val="ctr"/>
        <c:lblOffset val="100"/>
        <c:noMultiLvlLbl val="0"/>
      </c:catAx>
      <c:valAx>
        <c:axId val="20896307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0896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12-mujor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3148148148148147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203703703703703E-2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89260000</c:v>
                </c:pt>
                <c:pt idx="1">
                  <c:v>16940000</c:v>
                </c:pt>
                <c:pt idx="2">
                  <c:v>100000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89121593</c:v>
                </c:pt>
                <c:pt idx="1">
                  <c:v>16886924</c:v>
                </c:pt>
                <c:pt idx="2">
                  <c:v>87840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985088"/>
        <c:axId val="212214528"/>
      </c:barChart>
      <c:catAx>
        <c:axId val="208985088"/>
        <c:scaling>
          <c:orientation val="minMax"/>
        </c:scaling>
        <c:delete val="0"/>
        <c:axPos val="b"/>
        <c:majorTickMark val="out"/>
        <c:minorTickMark val="none"/>
        <c:tickLblPos val="nextTo"/>
        <c:crossAx val="212214528"/>
        <c:crosses val="autoZero"/>
        <c:auto val="1"/>
        <c:lblAlgn val="ctr"/>
        <c:lblOffset val="100"/>
        <c:noMultiLvlLbl val="0"/>
      </c:catAx>
      <c:valAx>
        <c:axId val="21221452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08985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B97C7-1C8F-4F56-9543-F3C5F013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7515</TotalTime>
  <Pages>14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22043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178</cp:revision>
  <cp:lastPrinted>2014-11-03T12:05:00Z</cp:lastPrinted>
  <dcterms:created xsi:type="dcterms:W3CDTF">2014-01-23T08:36:00Z</dcterms:created>
  <dcterms:modified xsi:type="dcterms:W3CDTF">2015-02-02T11:30:00Z</dcterms:modified>
</cp:coreProperties>
</file>