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26AAA" w14:textId="77777777" w:rsidR="00E71C37" w:rsidRPr="0032048B" w:rsidRDefault="00E71C37">
      <w:pPr>
        <w:pStyle w:val="TOC3"/>
        <w:spacing w:before="0"/>
        <w:ind w:left="0"/>
        <w:rPr>
          <w:sz w:val="23"/>
          <w:lang w:val="sq-AL"/>
        </w:rPr>
      </w:pPr>
      <w:bookmarkStart w:id="0" w:name="_Hlk151130068"/>
    </w:p>
    <w:p w14:paraId="1DC2DE37" w14:textId="77777777" w:rsidR="00E71C37" w:rsidRPr="0032048B" w:rsidRDefault="00E71C37">
      <w:pPr>
        <w:pStyle w:val="TOC3"/>
        <w:spacing w:before="212"/>
        <w:ind w:left="0"/>
        <w:rPr>
          <w:sz w:val="23"/>
          <w:lang w:val="sq-AL"/>
        </w:rPr>
      </w:pPr>
    </w:p>
    <w:p w14:paraId="57D3B161" w14:textId="77777777" w:rsidR="00E71C37" w:rsidRPr="0032048B" w:rsidRDefault="00256288">
      <w:pPr>
        <w:spacing w:before="1"/>
        <w:ind w:left="3632" w:right="4615"/>
        <w:rPr>
          <w:rFonts w:ascii="Arial MT"/>
          <w:sz w:val="23"/>
          <w:lang w:val="sq-AL"/>
        </w:rPr>
      </w:pPr>
      <w:r w:rsidRPr="0032048B">
        <w:rPr>
          <w:lang w:val="sq-AL" w:eastAsia="sq-AL"/>
        </w:rPr>
        <w:drawing>
          <wp:anchor distT="0" distB="0" distL="0" distR="0" simplePos="0" relativeHeight="15728640" behindDoc="0" locked="0" layoutInCell="1" allowOverlap="1" wp14:anchorId="41F7FCF8" wp14:editId="61B07FD2">
            <wp:simplePos x="0" y="0"/>
            <wp:positionH relativeFrom="page">
              <wp:posOffset>909319</wp:posOffset>
            </wp:positionH>
            <wp:positionV relativeFrom="paragraph">
              <wp:posOffset>-464962</wp:posOffset>
            </wp:positionV>
            <wp:extent cx="1588693" cy="777474"/>
            <wp:effectExtent l="0" t="0" r="0" b="0"/>
            <wp:wrapNone/>
            <wp:docPr id="1" name="Image 1" descr="2025BC5F-7333-4C14-BB32-E7E559FF7B33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2025BC5F-7333-4C14-BB32-E7E559FF7B33 "/>
                    <pic:cNvPicPr/>
                  </pic:nvPicPr>
                  <pic:blipFill>
                    <a:blip r:embed="rId8" cstate="print"/>
                    <a:stretch>
                      <a:fillRect/>
                    </a:stretch>
                  </pic:blipFill>
                  <pic:spPr>
                    <a:xfrm>
                      <a:off x="0" y="0"/>
                      <a:ext cx="1588693" cy="777474"/>
                    </a:xfrm>
                    <a:prstGeom prst="rect">
                      <a:avLst/>
                    </a:prstGeom>
                  </pic:spPr>
                </pic:pic>
              </a:graphicData>
            </a:graphic>
          </wp:anchor>
        </w:drawing>
      </w:r>
      <w:r w:rsidRPr="0032048B">
        <w:rPr>
          <w:rFonts w:ascii="Arial MT"/>
          <w:spacing w:val="-2"/>
          <w:sz w:val="23"/>
          <w:lang w:val="sq-AL"/>
        </w:rPr>
        <w:t>EUROPEAN COMMISSION</w:t>
      </w:r>
    </w:p>
    <w:p w14:paraId="6F48C86D" w14:textId="77777777" w:rsidR="00E71C37" w:rsidRPr="0032048B" w:rsidRDefault="00E71C37">
      <w:pPr>
        <w:pStyle w:val="TOC3"/>
        <w:spacing w:before="0"/>
        <w:ind w:left="0"/>
        <w:rPr>
          <w:rFonts w:ascii="Arial MT"/>
          <w:lang w:val="sq-AL"/>
        </w:rPr>
      </w:pPr>
    </w:p>
    <w:p w14:paraId="034B4646" w14:textId="77777777" w:rsidR="00380775" w:rsidRPr="0032048B" w:rsidRDefault="00380775" w:rsidP="00380775">
      <w:pPr>
        <w:rPr>
          <w:rFonts w:ascii="Arial MT"/>
          <w:sz w:val="24"/>
          <w:szCs w:val="24"/>
          <w:lang w:val="sq-AL"/>
        </w:rPr>
      </w:pPr>
    </w:p>
    <w:p w14:paraId="79D3A113" w14:textId="77777777" w:rsidR="00380775" w:rsidRPr="0032048B" w:rsidRDefault="00380775" w:rsidP="00380775">
      <w:pPr>
        <w:spacing w:before="204"/>
        <w:rPr>
          <w:rFonts w:ascii="Arial MT"/>
          <w:sz w:val="24"/>
          <w:szCs w:val="24"/>
          <w:lang w:val="sq-AL"/>
        </w:rPr>
      </w:pPr>
    </w:p>
    <w:p w14:paraId="46D75834" w14:textId="77777777" w:rsidR="00380775" w:rsidRPr="0032048B" w:rsidRDefault="00380775" w:rsidP="00380775">
      <w:pPr>
        <w:spacing w:line="276" w:lineRule="exact"/>
        <w:ind w:left="6077"/>
        <w:rPr>
          <w:sz w:val="24"/>
          <w:szCs w:val="24"/>
          <w:lang w:val="sq-AL"/>
        </w:rPr>
      </w:pPr>
      <w:r w:rsidRPr="0032048B">
        <w:rPr>
          <w:sz w:val="24"/>
          <w:szCs w:val="24"/>
          <w:lang w:val="sq-AL"/>
        </w:rPr>
        <w:t>Bruksel,</w:t>
      </w:r>
      <w:r w:rsidRPr="0032048B">
        <w:rPr>
          <w:spacing w:val="-5"/>
          <w:sz w:val="24"/>
          <w:szCs w:val="24"/>
          <w:lang w:val="sq-AL"/>
        </w:rPr>
        <w:t xml:space="preserve"> </w:t>
      </w:r>
      <w:r w:rsidRPr="0032048B">
        <w:rPr>
          <w:spacing w:val="-2"/>
          <w:sz w:val="24"/>
          <w:szCs w:val="24"/>
          <w:lang w:val="sq-AL"/>
        </w:rPr>
        <w:t>8.11.2023</w:t>
      </w:r>
    </w:p>
    <w:p w14:paraId="4E5FAEDD" w14:textId="243BF1C7" w:rsidR="00380775" w:rsidRPr="0032048B" w:rsidRDefault="00EE18DF" w:rsidP="00380775">
      <w:pPr>
        <w:ind w:left="6077"/>
        <w:rPr>
          <w:sz w:val="24"/>
          <w:szCs w:val="24"/>
          <w:lang w:val="sq-AL"/>
        </w:rPr>
      </w:pPr>
      <w:r w:rsidRPr="0032048B">
        <w:rPr>
          <w:sz w:val="24"/>
          <w:szCs w:val="24"/>
          <w:lang w:val="sq-AL"/>
        </w:rPr>
        <w:t>SW</w:t>
      </w:r>
      <w:r w:rsidR="00380775" w:rsidRPr="0032048B">
        <w:rPr>
          <w:sz w:val="24"/>
          <w:szCs w:val="24"/>
          <w:lang w:val="sq-AL"/>
        </w:rPr>
        <w:t>D(2023)</w:t>
      </w:r>
      <w:r w:rsidR="00380775" w:rsidRPr="0032048B">
        <w:rPr>
          <w:spacing w:val="-4"/>
          <w:sz w:val="24"/>
          <w:szCs w:val="24"/>
          <w:lang w:val="sq-AL"/>
        </w:rPr>
        <w:t xml:space="preserve"> </w:t>
      </w:r>
      <w:r w:rsidR="00380775" w:rsidRPr="0032048B">
        <w:rPr>
          <w:sz w:val="24"/>
          <w:szCs w:val="24"/>
          <w:lang w:val="sq-AL"/>
        </w:rPr>
        <w:t xml:space="preserve">690 </w:t>
      </w:r>
      <w:r w:rsidR="00380775" w:rsidRPr="0032048B">
        <w:rPr>
          <w:spacing w:val="-4"/>
          <w:sz w:val="24"/>
          <w:szCs w:val="24"/>
          <w:lang w:val="sq-AL"/>
        </w:rPr>
        <w:t>final</w:t>
      </w:r>
    </w:p>
    <w:p w14:paraId="47C4244F" w14:textId="77777777" w:rsidR="00380775" w:rsidRPr="0032048B" w:rsidRDefault="00380775" w:rsidP="00380775">
      <w:pPr>
        <w:rPr>
          <w:sz w:val="24"/>
          <w:szCs w:val="24"/>
          <w:lang w:val="sq-AL"/>
        </w:rPr>
      </w:pPr>
    </w:p>
    <w:p w14:paraId="4AB1C43D" w14:textId="77777777" w:rsidR="00380775" w:rsidRPr="0032048B" w:rsidRDefault="00380775" w:rsidP="00380775">
      <w:pPr>
        <w:rPr>
          <w:sz w:val="24"/>
          <w:szCs w:val="24"/>
          <w:lang w:val="sq-AL"/>
        </w:rPr>
      </w:pPr>
    </w:p>
    <w:p w14:paraId="20C23453" w14:textId="77777777" w:rsidR="00380775" w:rsidRPr="0032048B" w:rsidRDefault="00380775" w:rsidP="00380775">
      <w:pPr>
        <w:rPr>
          <w:sz w:val="24"/>
          <w:szCs w:val="24"/>
          <w:lang w:val="sq-AL"/>
        </w:rPr>
      </w:pPr>
    </w:p>
    <w:p w14:paraId="555E17A9" w14:textId="77777777" w:rsidR="00380775" w:rsidRPr="0032048B" w:rsidRDefault="00380775" w:rsidP="00380775">
      <w:pPr>
        <w:rPr>
          <w:sz w:val="24"/>
          <w:szCs w:val="24"/>
          <w:lang w:val="sq-AL"/>
        </w:rPr>
      </w:pPr>
    </w:p>
    <w:p w14:paraId="15BEA17D" w14:textId="77777777" w:rsidR="00380775" w:rsidRPr="0032048B" w:rsidRDefault="00380775" w:rsidP="00380775">
      <w:pPr>
        <w:spacing w:before="70"/>
        <w:rPr>
          <w:sz w:val="24"/>
          <w:szCs w:val="24"/>
          <w:lang w:val="sq-AL"/>
        </w:rPr>
      </w:pPr>
    </w:p>
    <w:p w14:paraId="4D45EBE3" w14:textId="77777777" w:rsidR="00380775" w:rsidRPr="0032048B" w:rsidRDefault="00380775" w:rsidP="00380775">
      <w:pPr>
        <w:spacing w:before="83"/>
        <w:jc w:val="center"/>
        <w:rPr>
          <w:b/>
          <w:sz w:val="24"/>
          <w:szCs w:val="24"/>
          <w:lang w:val="sq-AL"/>
        </w:rPr>
      </w:pPr>
      <w:r w:rsidRPr="0032048B">
        <w:rPr>
          <w:b/>
          <w:bCs/>
          <w:sz w:val="24"/>
          <w:szCs w:val="24"/>
          <w:lang w:val="sq-AL" w:bidi="sq-AL"/>
        </w:rPr>
        <w:t>DOKUMENT PUNE I STAFIT TË KOMISIONIT</w:t>
      </w:r>
    </w:p>
    <w:p w14:paraId="0E773524" w14:textId="77777777" w:rsidR="00380775" w:rsidRPr="0032048B" w:rsidRDefault="00380775" w:rsidP="00380775">
      <w:pPr>
        <w:ind w:left="1211" w:right="1264"/>
        <w:jc w:val="center"/>
        <w:rPr>
          <w:b/>
          <w:w w:val="105"/>
          <w:sz w:val="24"/>
          <w:szCs w:val="24"/>
          <w:lang w:val="sq-AL" w:bidi="sq-AL"/>
        </w:rPr>
      </w:pPr>
    </w:p>
    <w:p w14:paraId="0E3E591C" w14:textId="77777777" w:rsidR="00380775" w:rsidRPr="0032048B" w:rsidRDefault="00380775" w:rsidP="00380775">
      <w:pPr>
        <w:ind w:left="1211" w:right="1264"/>
        <w:jc w:val="center"/>
        <w:rPr>
          <w:b/>
          <w:sz w:val="24"/>
          <w:szCs w:val="24"/>
          <w:lang w:val="sq-AL"/>
        </w:rPr>
      </w:pPr>
      <w:r w:rsidRPr="0032048B">
        <w:rPr>
          <w:b/>
          <w:w w:val="105"/>
          <w:sz w:val="24"/>
          <w:szCs w:val="24"/>
          <w:lang w:val="sq-AL" w:bidi="sq-AL"/>
        </w:rPr>
        <w:t>Raporti për Shqipërinë 2023</w:t>
      </w:r>
    </w:p>
    <w:p w14:paraId="08ED2F0A" w14:textId="77777777" w:rsidR="00380775" w:rsidRPr="0032048B" w:rsidRDefault="00380775" w:rsidP="00380775">
      <w:pPr>
        <w:ind w:left="751" w:right="719"/>
        <w:jc w:val="center"/>
        <w:rPr>
          <w:b/>
          <w:sz w:val="24"/>
          <w:szCs w:val="24"/>
          <w:lang w:val="sq-AL"/>
        </w:rPr>
      </w:pPr>
    </w:p>
    <w:p w14:paraId="0E323807" w14:textId="77777777" w:rsidR="00380775" w:rsidRPr="0032048B" w:rsidRDefault="00380775" w:rsidP="00380775">
      <w:pPr>
        <w:spacing w:before="83"/>
        <w:rPr>
          <w:b/>
          <w:sz w:val="24"/>
          <w:szCs w:val="24"/>
          <w:lang w:val="sq-AL"/>
        </w:rPr>
      </w:pPr>
    </w:p>
    <w:p w14:paraId="379C0A28" w14:textId="77777777" w:rsidR="00380775" w:rsidRPr="0032048B" w:rsidRDefault="00380775" w:rsidP="00380775">
      <w:pPr>
        <w:spacing w:before="1"/>
        <w:ind w:left="1211" w:right="1260"/>
        <w:jc w:val="center"/>
        <w:rPr>
          <w:b/>
          <w:i/>
          <w:sz w:val="24"/>
          <w:szCs w:val="24"/>
          <w:lang w:val="sq-AL"/>
        </w:rPr>
      </w:pPr>
      <w:r w:rsidRPr="0032048B">
        <w:rPr>
          <w:b/>
          <w:i/>
          <w:w w:val="105"/>
          <w:sz w:val="24"/>
          <w:szCs w:val="24"/>
          <w:lang w:val="sq-AL" w:bidi="sq-AL"/>
        </w:rPr>
        <w:t>i cili shoqëron</w:t>
      </w:r>
    </w:p>
    <w:p w14:paraId="783E8169" w14:textId="77777777" w:rsidR="00380775" w:rsidRPr="0032048B" w:rsidRDefault="00380775" w:rsidP="00380775">
      <w:pPr>
        <w:spacing w:before="120"/>
        <w:ind w:left="980" w:right="976"/>
        <w:jc w:val="center"/>
        <w:rPr>
          <w:b/>
          <w:bCs/>
          <w:sz w:val="24"/>
          <w:szCs w:val="24"/>
          <w:lang w:val="sq-AL"/>
        </w:rPr>
      </w:pPr>
      <w:r w:rsidRPr="0032048B">
        <w:rPr>
          <w:b/>
          <w:bCs/>
          <w:spacing w:val="-1"/>
          <w:w w:val="105"/>
          <w:sz w:val="24"/>
          <w:szCs w:val="24"/>
          <w:lang w:val="sq-AL" w:bidi="sq-AL"/>
        </w:rPr>
        <w:t xml:space="preserve">Komunikimin nga Komisioni për Parlamentin Evropian, </w:t>
      </w:r>
      <w:r w:rsidRPr="0032048B">
        <w:rPr>
          <w:b/>
          <w:bCs/>
          <w:w w:val="105"/>
          <w:sz w:val="24"/>
          <w:szCs w:val="24"/>
          <w:lang w:val="sq-AL" w:bidi="sq-AL"/>
        </w:rPr>
        <w:t>Këshillin, Komitetin Ekonomik dhe Social Evropian dhe Komitetin e Rajoneve</w:t>
      </w:r>
    </w:p>
    <w:p w14:paraId="10F79408" w14:textId="77777777" w:rsidR="00380775" w:rsidRPr="0032048B" w:rsidRDefault="00380775" w:rsidP="00380775">
      <w:pPr>
        <w:spacing w:before="239"/>
        <w:ind w:left="751" w:right="720"/>
        <w:jc w:val="center"/>
        <w:rPr>
          <w:b/>
          <w:sz w:val="24"/>
          <w:szCs w:val="24"/>
          <w:lang w:val="sq-AL"/>
        </w:rPr>
      </w:pPr>
      <w:r w:rsidRPr="0032048B">
        <w:rPr>
          <w:b/>
          <w:spacing w:val="-1"/>
          <w:w w:val="105"/>
          <w:sz w:val="24"/>
          <w:szCs w:val="24"/>
          <w:lang w:val="sq-AL" w:bidi="sq-AL"/>
        </w:rPr>
        <w:t xml:space="preserve">Komunikimi i vitit 2023 </w:t>
      </w:r>
      <w:r w:rsidRPr="0032048B">
        <w:rPr>
          <w:b/>
          <w:w w:val="105"/>
          <w:sz w:val="24"/>
          <w:szCs w:val="24"/>
          <w:lang w:val="sq-AL" w:bidi="sq-AL"/>
        </w:rPr>
        <w:t>për politikën e zgjerimit të BE-së</w:t>
      </w:r>
    </w:p>
    <w:p w14:paraId="04F6A631" w14:textId="77777777" w:rsidR="00380775" w:rsidRPr="0032048B" w:rsidRDefault="00380775" w:rsidP="00380775">
      <w:pPr>
        <w:rPr>
          <w:b/>
          <w:sz w:val="24"/>
          <w:szCs w:val="24"/>
          <w:lang w:val="sq-AL"/>
        </w:rPr>
      </w:pPr>
    </w:p>
    <w:p w14:paraId="05524A85" w14:textId="77777777" w:rsidR="00380775" w:rsidRPr="0032048B" w:rsidRDefault="00380775" w:rsidP="00380775">
      <w:pPr>
        <w:rPr>
          <w:b/>
          <w:sz w:val="24"/>
          <w:szCs w:val="24"/>
          <w:lang w:val="sq-AL"/>
        </w:rPr>
      </w:pPr>
    </w:p>
    <w:p w14:paraId="410183F1" w14:textId="77777777" w:rsidR="00380775" w:rsidRPr="0032048B" w:rsidRDefault="00380775" w:rsidP="00380775">
      <w:pPr>
        <w:spacing w:before="77"/>
        <w:rPr>
          <w:b/>
          <w:sz w:val="24"/>
          <w:szCs w:val="24"/>
          <w:lang w:val="sq-AL"/>
        </w:rPr>
      </w:pPr>
    </w:p>
    <w:p w14:paraId="722F9428" w14:textId="281BFF96" w:rsidR="00380775" w:rsidRPr="0032048B" w:rsidRDefault="00380775" w:rsidP="00380775">
      <w:pPr>
        <w:spacing w:before="1" w:line="276" w:lineRule="exact"/>
        <w:ind w:left="751" w:right="721"/>
        <w:jc w:val="center"/>
        <w:rPr>
          <w:sz w:val="24"/>
          <w:szCs w:val="24"/>
          <w:lang w:val="sq-AL"/>
        </w:rPr>
      </w:pPr>
      <w:r w:rsidRPr="0032048B">
        <w:rPr>
          <w:sz w:val="24"/>
          <w:szCs w:val="24"/>
          <w:lang w:val="sq-AL"/>
        </w:rPr>
        <w:t>{COM(2023)</w:t>
      </w:r>
      <w:r w:rsidRPr="0032048B">
        <w:rPr>
          <w:spacing w:val="-3"/>
          <w:sz w:val="24"/>
          <w:szCs w:val="24"/>
          <w:lang w:val="sq-AL"/>
        </w:rPr>
        <w:t xml:space="preserve"> </w:t>
      </w:r>
      <w:r w:rsidRPr="0032048B">
        <w:rPr>
          <w:sz w:val="24"/>
          <w:szCs w:val="24"/>
          <w:lang w:val="sq-AL"/>
        </w:rPr>
        <w:t>690</w:t>
      </w:r>
      <w:r w:rsidRPr="0032048B">
        <w:rPr>
          <w:spacing w:val="-1"/>
          <w:sz w:val="24"/>
          <w:szCs w:val="24"/>
          <w:lang w:val="sq-AL"/>
        </w:rPr>
        <w:t xml:space="preserve"> </w:t>
      </w:r>
      <w:r w:rsidRPr="0032048B">
        <w:rPr>
          <w:sz w:val="24"/>
          <w:szCs w:val="24"/>
          <w:lang w:val="sq-AL"/>
        </w:rPr>
        <w:t>final}</w:t>
      </w:r>
      <w:r w:rsidRPr="0032048B">
        <w:rPr>
          <w:spacing w:val="1"/>
          <w:sz w:val="24"/>
          <w:szCs w:val="24"/>
          <w:lang w:val="sq-AL"/>
        </w:rPr>
        <w:t xml:space="preserve"> </w:t>
      </w:r>
      <w:r w:rsidRPr="0032048B">
        <w:rPr>
          <w:sz w:val="24"/>
          <w:szCs w:val="24"/>
          <w:lang w:val="sq-AL"/>
        </w:rPr>
        <w:t>-</w:t>
      </w:r>
      <w:r w:rsidRPr="0032048B">
        <w:rPr>
          <w:spacing w:val="-2"/>
          <w:sz w:val="24"/>
          <w:szCs w:val="24"/>
          <w:lang w:val="sq-AL"/>
        </w:rPr>
        <w:t xml:space="preserve"> </w:t>
      </w:r>
      <w:r w:rsidR="00EE18DF" w:rsidRPr="0032048B">
        <w:rPr>
          <w:sz w:val="24"/>
          <w:szCs w:val="24"/>
          <w:lang w:val="sq-AL"/>
        </w:rPr>
        <w:t>{SW</w:t>
      </w:r>
      <w:r w:rsidRPr="0032048B">
        <w:rPr>
          <w:sz w:val="24"/>
          <w:szCs w:val="24"/>
          <w:lang w:val="sq-AL"/>
        </w:rPr>
        <w:t>D(2023)</w:t>
      </w:r>
      <w:r w:rsidRPr="0032048B">
        <w:rPr>
          <w:spacing w:val="-2"/>
          <w:sz w:val="24"/>
          <w:szCs w:val="24"/>
          <w:lang w:val="sq-AL"/>
        </w:rPr>
        <w:t xml:space="preserve"> </w:t>
      </w:r>
      <w:r w:rsidRPr="0032048B">
        <w:rPr>
          <w:sz w:val="24"/>
          <w:szCs w:val="24"/>
          <w:lang w:val="sq-AL"/>
        </w:rPr>
        <w:t>691</w:t>
      </w:r>
      <w:r w:rsidRPr="0032048B">
        <w:rPr>
          <w:spacing w:val="-1"/>
          <w:sz w:val="24"/>
          <w:szCs w:val="24"/>
          <w:lang w:val="sq-AL"/>
        </w:rPr>
        <w:t xml:space="preserve"> </w:t>
      </w:r>
      <w:r w:rsidRPr="0032048B">
        <w:rPr>
          <w:sz w:val="24"/>
          <w:szCs w:val="24"/>
          <w:lang w:val="sq-AL"/>
        </w:rPr>
        <w:t>final}</w:t>
      </w:r>
      <w:r w:rsidRPr="0032048B">
        <w:rPr>
          <w:spacing w:val="-1"/>
          <w:sz w:val="24"/>
          <w:szCs w:val="24"/>
          <w:lang w:val="sq-AL"/>
        </w:rPr>
        <w:t xml:space="preserve"> </w:t>
      </w:r>
      <w:r w:rsidRPr="0032048B">
        <w:rPr>
          <w:sz w:val="24"/>
          <w:szCs w:val="24"/>
          <w:lang w:val="sq-AL"/>
        </w:rPr>
        <w:t>-</w:t>
      </w:r>
      <w:r w:rsidRPr="0032048B">
        <w:rPr>
          <w:spacing w:val="-2"/>
          <w:sz w:val="24"/>
          <w:szCs w:val="24"/>
          <w:lang w:val="sq-AL"/>
        </w:rPr>
        <w:t xml:space="preserve"> </w:t>
      </w:r>
      <w:r w:rsidR="00EE18DF" w:rsidRPr="0032048B">
        <w:rPr>
          <w:sz w:val="24"/>
          <w:szCs w:val="24"/>
          <w:lang w:val="sq-AL"/>
        </w:rPr>
        <w:t>{SW</w:t>
      </w:r>
      <w:r w:rsidRPr="0032048B">
        <w:rPr>
          <w:sz w:val="24"/>
          <w:szCs w:val="24"/>
          <w:lang w:val="sq-AL"/>
        </w:rPr>
        <w:t>D(2023)</w:t>
      </w:r>
      <w:r w:rsidRPr="0032048B">
        <w:rPr>
          <w:spacing w:val="-2"/>
          <w:sz w:val="24"/>
          <w:szCs w:val="24"/>
          <w:lang w:val="sq-AL"/>
        </w:rPr>
        <w:t xml:space="preserve"> </w:t>
      </w:r>
      <w:r w:rsidRPr="0032048B">
        <w:rPr>
          <w:sz w:val="24"/>
          <w:szCs w:val="24"/>
          <w:lang w:val="sq-AL"/>
        </w:rPr>
        <w:t>692</w:t>
      </w:r>
      <w:r w:rsidRPr="0032048B">
        <w:rPr>
          <w:spacing w:val="-1"/>
          <w:sz w:val="24"/>
          <w:szCs w:val="24"/>
          <w:lang w:val="sq-AL"/>
        </w:rPr>
        <w:t xml:space="preserve"> </w:t>
      </w:r>
      <w:r w:rsidRPr="0032048B">
        <w:rPr>
          <w:sz w:val="24"/>
          <w:szCs w:val="24"/>
          <w:lang w:val="sq-AL"/>
        </w:rPr>
        <w:t>final}</w:t>
      </w:r>
      <w:r w:rsidRPr="0032048B">
        <w:rPr>
          <w:spacing w:val="-1"/>
          <w:sz w:val="24"/>
          <w:szCs w:val="24"/>
          <w:lang w:val="sq-AL"/>
        </w:rPr>
        <w:t xml:space="preserve"> </w:t>
      </w:r>
      <w:r w:rsidRPr="0032048B">
        <w:rPr>
          <w:spacing w:val="-10"/>
          <w:sz w:val="24"/>
          <w:szCs w:val="24"/>
          <w:lang w:val="sq-AL"/>
        </w:rPr>
        <w:t>-</w:t>
      </w:r>
    </w:p>
    <w:p w14:paraId="2653BA0B" w14:textId="316BC206" w:rsidR="00380775" w:rsidRPr="0032048B" w:rsidRDefault="00EE18DF" w:rsidP="00380775">
      <w:pPr>
        <w:spacing w:line="274" w:lineRule="exact"/>
        <w:ind w:left="806" w:right="714"/>
        <w:jc w:val="center"/>
        <w:rPr>
          <w:sz w:val="24"/>
          <w:szCs w:val="24"/>
          <w:lang w:val="sq-AL"/>
        </w:rPr>
      </w:pPr>
      <w:r w:rsidRPr="0032048B">
        <w:rPr>
          <w:sz w:val="24"/>
          <w:szCs w:val="24"/>
          <w:lang w:val="sq-AL"/>
        </w:rPr>
        <w:t>{SW</w:t>
      </w:r>
      <w:r w:rsidR="00380775" w:rsidRPr="0032048B">
        <w:rPr>
          <w:sz w:val="24"/>
          <w:szCs w:val="24"/>
          <w:lang w:val="sq-AL"/>
        </w:rPr>
        <w:t>D(2023)</w:t>
      </w:r>
      <w:r w:rsidR="00380775" w:rsidRPr="0032048B">
        <w:rPr>
          <w:spacing w:val="-5"/>
          <w:sz w:val="24"/>
          <w:szCs w:val="24"/>
          <w:lang w:val="sq-AL"/>
        </w:rPr>
        <w:t xml:space="preserve"> </w:t>
      </w:r>
      <w:r w:rsidR="00380775" w:rsidRPr="0032048B">
        <w:rPr>
          <w:sz w:val="24"/>
          <w:szCs w:val="24"/>
          <w:lang w:val="sq-AL"/>
        </w:rPr>
        <w:t>693</w:t>
      </w:r>
      <w:r w:rsidR="00380775" w:rsidRPr="0032048B">
        <w:rPr>
          <w:spacing w:val="-1"/>
          <w:sz w:val="24"/>
          <w:szCs w:val="24"/>
          <w:lang w:val="sq-AL"/>
        </w:rPr>
        <w:t xml:space="preserve"> </w:t>
      </w:r>
      <w:r w:rsidR="00380775" w:rsidRPr="0032048B">
        <w:rPr>
          <w:sz w:val="24"/>
          <w:szCs w:val="24"/>
          <w:lang w:val="sq-AL"/>
        </w:rPr>
        <w:t>final}</w:t>
      </w:r>
      <w:r w:rsidR="00380775" w:rsidRPr="0032048B">
        <w:rPr>
          <w:spacing w:val="-1"/>
          <w:sz w:val="24"/>
          <w:szCs w:val="24"/>
          <w:lang w:val="sq-AL"/>
        </w:rPr>
        <w:t xml:space="preserve"> </w:t>
      </w:r>
      <w:r w:rsidR="00380775" w:rsidRPr="0032048B">
        <w:rPr>
          <w:sz w:val="24"/>
          <w:szCs w:val="24"/>
          <w:lang w:val="sq-AL"/>
        </w:rPr>
        <w:t>-</w:t>
      </w:r>
      <w:r w:rsidR="00380775" w:rsidRPr="0032048B">
        <w:rPr>
          <w:spacing w:val="-2"/>
          <w:sz w:val="24"/>
          <w:szCs w:val="24"/>
          <w:lang w:val="sq-AL"/>
        </w:rPr>
        <w:t xml:space="preserve"> </w:t>
      </w:r>
      <w:r w:rsidRPr="0032048B">
        <w:rPr>
          <w:sz w:val="24"/>
          <w:szCs w:val="24"/>
          <w:lang w:val="sq-AL"/>
        </w:rPr>
        <w:t>{SW</w:t>
      </w:r>
      <w:r w:rsidR="00380775" w:rsidRPr="0032048B">
        <w:rPr>
          <w:sz w:val="24"/>
          <w:szCs w:val="24"/>
          <w:lang w:val="sq-AL"/>
        </w:rPr>
        <w:t>D(2023)</w:t>
      </w:r>
      <w:r w:rsidR="00380775" w:rsidRPr="0032048B">
        <w:rPr>
          <w:spacing w:val="-2"/>
          <w:sz w:val="24"/>
          <w:szCs w:val="24"/>
          <w:lang w:val="sq-AL"/>
        </w:rPr>
        <w:t xml:space="preserve"> </w:t>
      </w:r>
      <w:r w:rsidR="00380775" w:rsidRPr="0032048B">
        <w:rPr>
          <w:sz w:val="24"/>
          <w:szCs w:val="24"/>
          <w:lang w:val="sq-AL"/>
        </w:rPr>
        <w:t>694</w:t>
      </w:r>
      <w:r w:rsidR="00380775" w:rsidRPr="0032048B">
        <w:rPr>
          <w:spacing w:val="-1"/>
          <w:sz w:val="24"/>
          <w:szCs w:val="24"/>
          <w:lang w:val="sq-AL"/>
        </w:rPr>
        <w:t xml:space="preserve"> </w:t>
      </w:r>
      <w:r w:rsidR="00380775" w:rsidRPr="0032048B">
        <w:rPr>
          <w:sz w:val="24"/>
          <w:szCs w:val="24"/>
          <w:lang w:val="sq-AL"/>
        </w:rPr>
        <w:t>final}</w:t>
      </w:r>
      <w:r w:rsidR="00380775" w:rsidRPr="0032048B">
        <w:rPr>
          <w:spacing w:val="-1"/>
          <w:sz w:val="24"/>
          <w:szCs w:val="24"/>
          <w:lang w:val="sq-AL"/>
        </w:rPr>
        <w:t xml:space="preserve"> </w:t>
      </w:r>
      <w:r w:rsidR="00380775" w:rsidRPr="0032048B">
        <w:rPr>
          <w:sz w:val="24"/>
          <w:szCs w:val="24"/>
          <w:lang w:val="sq-AL"/>
        </w:rPr>
        <w:t>-</w:t>
      </w:r>
      <w:r w:rsidR="00380775" w:rsidRPr="0032048B">
        <w:rPr>
          <w:spacing w:val="-2"/>
          <w:sz w:val="24"/>
          <w:szCs w:val="24"/>
          <w:lang w:val="sq-AL"/>
        </w:rPr>
        <w:t xml:space="preserve"> </w:t>
      </w:r>
      <w:r w:rsidRPr="0032048B">
        <w:rPr>
          <w:sz w:val="24"/>
          <w:szCs w:val="24"/>
          <w:lang w:val="sq-AL"/>
        </w:rPr>
        <w:t>{SW</w:t>
      </w:r>
      <w:r w:rsidR="00380775" w:rsidRPr="0032048B">
        <w:rPr>
          <w:sz w:val="24"/>
          <w:szCs w:val="24"/>
          <w:lang w:val="sq-AL"/>
        </w:rPr>
        <w:t>D(2023)</w:t>
      </w:r>
      <w:r w:rsidR="00380775" w:rsidRPr="0032048B">
        <w:rPr>
          <w:spacing w:val="-2"/>
          <w:sz w:val="24"/>
          <w:szCs w:val="24"/>
          <w:lang w:val="sq-AL"/>
        </w:rPr>
        <w:t xml:space="preserve"> </w:t>
      </w:r>
      <w:r w:rsidR="00380775" w:rsidRPr="0032048B">
        <w:rPr>
          <w:sz w:val="24"/>
          <w:szCs w:val="24"/>
          <w:lang w:val="sq-AL"/>
        </w:rPr>
        <w:t>695</w:t>
      </w:r>
      <w:r w:rsidR="00380775" w:rsidRPr="0032048B">
        <w:rPr>
          <w:spacing w:val="-1"/>
          <w:sz w:val="24"/>
          <w:szCs w:val="24"/>
          <w:lang w:val="sq-AL"/>
        </w:rPr>
        <w:t xml:space="preserve"> </w:t>
      </w:r>
      <w:r w:rsidR="00380775" w:rsidRPr="0032048B">
        <w:rPr>
          <w:sz w:val="24"/>
          <w:szCs w:val="24"/>
          <w:lang w:val="sq-AL"/>
        </w:rPr>
        <w:t>final}</w:t>
      </w:r>
      <w:r w:rsidR="00380775" w:rsidRPr="0032048B">
        <w:rPr>
          <w:spacing w:val="-1"/>
          <w:sz w:val="24"/>
          <w:szCs w:val="24"/>
          <w:lang w:val="sq-AL"/>
        </w:rPr>
        <w:t xml:space="preserve"> </w:t>
      </w:r>
      <w:r w:rsidR="00380775" w:rsidRPr="0032048B">
        <w:rPr>
          <w:spacing w:val="-10"/>
          <w:sz w:val="24"/>
          <w:szCs w:val="24"/>
          <w:lang w:val="sq-AL"/>
        </w:rPr>
        <w:t>-</w:t>
      </w:r>
    </w:p>
    <w:p w14:paraId="7515070B" w14:textId="4DAC52DA" w:rsidR="00380775" w:rsidRPr="0032048B" w:rsidRDefault="00EE18DF" w:rsidP="00380775">
      <w:pPr>
        <w:spacing w:line="274" w:lineRule="exact"/>
        <w:ind w:left="806" w:right="714"/>
        <w:jc w:val="center"/>
        <w:rPr>
          <w:sz w:val="24"/>
          <w:szCs w:val="24"/>
          <w:lang w:val="sq-AL"/>
        </w:rPr>
      </w:pPr>
      <w:r w:rsidRPr="0032048B">
        <w:rPr>
          <w:sz w:val="24"/>
          <w:szCs w:val="24"/>
          <w:lang w:val="sq-AL"/>
        </w:rPr>
        <w:t>{SW</w:t>
      </w:r>
      <w:r w:rsidR="00380775" w:rsidRPr="0032048B">
        <w:rPr>
          <w:sz w:val="24"/>
          <w:szCs w:val="24"/>
          <w:lang w:val="sq-AL"/>
        </w:rPr>
        <w:t>D(2023)</w:t>
      </w:r>
      <w:r w:rsidR="00380775" w:rsidRPr="0032048B">
        <w:rPr>
          <w:spacing w:val="-5"/>
          <w:sz w:val="24"/>
          <w:szCs w:val="24"/>
          <w:lang w:val="sq-AL"/>
        </w:rPr>
        <w:t xml:space="preserve"> </w:t>
      </w:r>
      <w:r w:rsidR="00380775" w:rsidRPr="0032048B">
        <w:rPr>
          <w:sz w:val="24"/>
          <w:szCs w:val="24"/>
          <w:lang w:val="sq-AL"/>
        </w:rPr>
        <w:t>696</w:t>
      </w:r>
      <w:r w:rsidR="00380775" w:rsidRPr="0032048B">
        <w:rPr>
          <w:spacing w:val="-1"/>
          <w:sz w:val="24"/>
          <w:szCs w:val="24"/>
          <w:lang w:val="sq-AL"/>
        </w:rPr>
        <w:t xml:space="preserve"> </w:t>
      </w:r>
      <w:r w:rsidR="00380775" w:rsidRPr="0032048B">
        <w:rPr>
          <w:sz w:val="24"/>
          <w:szCs w:val="24"/>
          <w:lang w:val="sq-AL"/>
        </w:rPr>
        <w:t>final}</w:t>
      </w:r>
      <w:r w:rsidR="00380775" w:rsidRPr="0032048B">
        <w:rPr>
          <w:spacing w:val="-1"/>
          <w:sz w:val="24"/>
          <w:szCs w:val="24"/>
          <w:lang w:val="sq-AL"/>
        </w:rPr>
        <w:t xml:space="preserve"> </w:t>
      </w:r>
      <w:r w:rsidR="00380775" w:rsidRPr="0032048B">
        <w:rPr>
          <w:sz w:val="24"/>
          <w:szCs w:val="24"/>
          <w:lang w:val="sq-AL"/>
        </w:rPr>
        <w:t>-</w:t>
      </w:r>
      <w:r w:rsidR="00380775" w:rsidRPr="0032048B">
        <w:rPr>
          <w:spacing w:val="-2"/>
          <w:sz w:val="24"/>
          <w:szCs w:val="24"/>
          <w:lang w:val="sq-AL"/>
        </w:rPr>
        <w:t xml:space="preserve"> </w:t>
      </w:r>
      <w:r w:rsidRPr="0032048B">
        <w:rPr>
          <w:sz w:val="24"/>
          <w:szCs w:val="24"/>
          <w:lang w:val="sq-AL"/>
        </w:rPr>
        <w:t>{SW</w:t>
      </w:r>
      <w:r w:rsidR="00380775" w:rsidRPr="0032048B">
        <w:rPr>
          <w:sz w:val="24"/>
          <w:szCs w:val="24"/>
          <w:lang w:val="sq-AL"/>
        </w:rPr>
        <w:t>D(2023)</w:t>
      </w:r>
      <w:r w:rsidR="00380775" w:rsidRPr="0032048B">
        <w:rPr>
          <w:spacing w:val="-2"/>
          <w:sz w:val="24"/>
          <w:szCs w:val="24"/>
          <w:lang w:val="sq-AL"/>
        </w:rPr>
        <w:t xml:space="preserve"> </w:t>
      </w:r>
      <w:r w:rsidR="00380775" w:rsidRPr="0032048B">
        <w:rPr>
          <w:sz w:val="24"/>
          <w:szCs w:val="24"/>
          <w:lang w:val="sq-AL"/>
        </w:rPr>
        <w:t>697</w:t>
      </w:r>
      <w:r w:rsidR="00380775" w:rsidRPr="0032048B">
        <w:rPr>
          <w:spacing w:val="-1"/>
          <w:sz w:val="24"/>
          <w:szCs w:val="24"/>
          <w:lang w:val="sq-AL"/>
        </w:rPr>
        <w:t xml:space="preserve"> </w:t>
      </w:r>
      <w:r w:rsidR="00380775" w:rsidRPr="0032048B">
        <w:rPr>
          <w:sz w:val="24"/>
          <w:szCs w:val="24"/>
          <w:lang w:val="sq-AL"/>
        </w:rPr>
        <w:t>final}</w:t>
      </w:r>
      <w:r w:rsidR="00380775" w:rsidRPr="0032048B">
        <w:rPr>
          <w:spacing w:val="-1"/>
          <w:sz w:val="24"/>
          <w:szCs w:val="24"/>
          <w:lang w:val="sq-AL"/>
        </w:rPr>
        <w:t xml:space="preserve"> </w:t>
      </w:r>
      <w:r w:rsidR="00380775" w:rsidRPr="0032048B">
        <w:rPr>
          <w:sz w:val="24"/>
          <w:szCs w:val="24"/>
          <w:lang w:val="sq-AL"/>
        </w:rPr>
        <w:t>-</w:t>
      </w:r>
      <w:r w:rsidR="00380775" w:rsidRPr="0032048B">
        <w:rPr>
          <w:spacing w:val="-2"/>
          <w:sz w:val="24"/>
          <w:szCs w:val="24"/>
          <w:lang w:val="sq-AL"/>
        </w:rPr>
        <w:t xml:space="preserve"> </w:t>
      </w:r>
      <w:r w:rsidRPr="0032048B">
        <w:rPr>
          <w:sz w:val="24"/>
          <w:szCs w:val="24"/>
          <w:lang w:val="sq-AL"/>
        </w:rPr>
        <w:t>{SW</w:t>
      </w:r>
      <w:r w:rsidR="00380775" w:rsidRPr="0032048B">
        <w:rPr>
          <w:sz w:val="24"/>
          <w:szCs w:val="24"/>
          <w:lang w:val="sq-AL"/>
        </w:rPr>
        <w:t>D(2023)</w:t>
      </w:r>
      <w:r w:rsidR="00380775" w:rsidRPr="0032048B">
        <w:rPr>
          <w:spacing w:val="-2"/>
          <w:sz w:val="24"/>
          <w:szCs w:val="24"/>
          <w:lang w:val="sq-AL"/>
        </w:rPr>
        <w:t xml:space="preserve"> </w:t>
      </w:r>
      <w:r w:rsidR="00380775" w:rsidRPr="0032048B">
        <w:rPr>
          <w:sz w:val="24"/>
          <w:szCs w:val="24"/>
          <w:lang w:val="sq-AL"/>
        </w:rPr>
        <w:t>698</w:t>
      </w:r>
      <w:r w:rsidR="00380775" w:rsidRPr="0032048B">
        <w:rPr>
          <w:spacing w:val="-1"/>
          <w:sz w:val="24"/>
          <w:szCs w:val="24"/>
          <w:lang w:val="sq-AL"/>
        </w:rPr>
        <w:t xml:space="preserve"> </w:t>
      </w:r>
      <w:r w:rsidR="00380775" w:rsidRPr="0032048B">
        <w:rPr>
          <w:sz w:val="24"/>
          <w:szCs w:val="24"/>
          <w:lang w:val="sq-AL"/>
        </w:rPr>
        <w:t>final}</w:t>
      </w:r>
      <w:r w:rsidR="00380775" w:rsidRPr="0032048B">
        <w:rPr>
          <w:spacing w:val="-1"/>
          <w:sz w:val="24"/>
          <w:szCs w:val="24"/>
          <w:lang w:val="sq-AL"/>
        </w:rPr>
        <w:t xml:space="preserve"> </w:t>
      </w:r>
      <w:r w:rsidR="00380775" w:rsidRPr="0032048B">
        <w:rPr>
          <w:spacing w:val="-10"/>
          <w:sz w:val="24"/>
          <w:szCs w:val="24"/>
          <w:lang w:val="sq-AL"/>
        </w:rPr>
        <w:t>-</w:t>
      </w:r>
    </w:p>
    <w:p w14:paraId="42BC230A" w14:textId="695B408F" w:rsidR="00380775" w:rsidRPr="0032048B" w:rsidRDefault="00EE18DF" w:rsidP="00380775">
      <w:pPr>
        <w:ind w:left="806" w:right="714"/>
        <w:jc w:val="center"/>
        <w:rPr>
          <w:sz w:val="24"/>
          <w:szCs w:val="24"/>
          <w:lang w:val="sq-AL"/>
        </w:rPr>
      </w:pPr>
      <w:r w:rsidRPr="0032048B">
        <w:rPr>
          <w:sz w:val="24"/>
          <w:szCs w:val="24"/>
          <w:lang w:val="sq-AL"/>
        </w:rPr>
        <w:t>{SW</w:t>
      </w:r>
      <w:r w:rsidR="00380775" w:rsidRPr="0032048B">
        <w:rPr>
          <w:sz w:val="24"/>
          <w:szCs w:val="24"/>
          <w:lang w:val="sq-AL"/>
        </w:rPr>
        <w:t>D(2023)</w:t>
      </w:r>
      <w:r w:rsidR="00380775" w:rsidRPr="0032048B">
        <w:rPr>
          <w:spacing w:val="-2"/>
          <w:sz w:val="24"/>
          <w:szCs w:val="24"/>
          <w:lang w:val="sq-AL"/>
        </w:rPr>
        <w:t xml:space="preserve"> </w:t>
      </w:r>
      <w:r w:rsidR="00380775" w:rsidRPr="0032048B">
        <w:rPr>
          <w:sz w:val="24"/>
          <w:szCs w:val="24"/>
          <w:lang w:val="sq-AL"/>
        </w:rPr>
        <w:t>699</w:t>
      </w:r>
      <w:r w:rsidR="00380775" w:rsidRPr="0032048B">
        <w:rPr>
          <w:spacing w:val="-1"/>
          <w:sz w:val="24"/>
          <w:szCs w:val="24"/>
          <w:lang w:val="sq-AL"/>
        </w:rPr>
        <w:t xml:space="preserve"> </w:t>
      </w:r>
      <w:r w:rsidR="00380775" w:rsidRPr="0032048B">
        <w:rPr>
          <w:spacing w:val="-2"/>
          <w:sz w:val="24"/>
          <w:szCs w:val="24"/>
          <w:lang w:val="sq-AL"/>
        </w:rPr>
        <w:t>final}</w:t>
      </w:r>
    </w:p>
    <w:p w14:paraId="4698FBCB" w14:textId="77777777" w:rsidR="00380775" w:rsidRPr="0032048B" w:rsidRDefault="00380775" w:rsidP="00380775">
      <w:pPr>
        <w:rPr>
          <w:sz w:val="24"/>
          <w:szCs w:val="24"/>
          <w:lang w:val="sq-AL"/>
        </w:rPr>
      </w:pPr>
    </w:p>
    <w:p w14:paraId="76006752" w14:textId="77777777" w:rsidR="00380775" w:rsidRPr="0032048B" w:rsidRDefault="00380775" w:rsidP="00380775">
      <w:pPr>
        <w:rPr>
          <w:sz w:val="48"/>
          <w:szCs w:val="24"/>
          <w:lang w:val="sq-AL"/>
        </w:rPr>
      </w:pPr>
    </w:p>
    <w:p w14:paraId="0888A70F" w14:textId="77777777" w:rsidR="00380775" w:rsidRPr="0032048B" w:rsidRDefault="00380775" w:rsidP="00380775">
      <w:pPr>
        <w:rPr>
          <w:sz w:val="48"/>
          <w:szCs w:val="24"/>
          <w:lang w:val="sq-AL"/>
        </w:rPr>
      </w:pPr>
    </w:p>
    <w:p w14:paraId="7D7D9E12" w14:textId="77777777" w:rsidR="00380775" w:rsidRPr="0032048B" w:rsidRDefault="00380775" w:rsidP="00380775">
      <w:pPr>
        <w:rPr>
          <w:sz w:val="48"/>
          <w:szCs w:val="24"/>
          <w:lang w:val="sq-AL"/>
        </w:rPr>
      </w:pPr>
    </w:p>
    <w:p w14:paraId="57261E82" w14:textId="77777777" w:rsidR="00380775" w:rsidRPr="0032048B" w:rsidRDefault="00380775" w:rsidP="00380775">
      <w:pPr>
        <w:rPr>
          <w:sz w:val="48"/>
          <w:szCs w:val="24"/>
          <w:lang w:val="sq-AL"/>
        </w:rPr>
      </w:pPr>
    </w:p>
    <w:p w14:paraId="6C6D58BC" w14:textId="77777777" w:rsidR="00380775" w:rsidRPr="0032048B" w:rsidRDefault="00380775" w:rsidP="00380775">
      <w:pPr>
        <w:rPr>
          <w:sz w:val="48"/>
          <w:szCs w:val="24"/>
          <w:lang w:val="sq-AL"/>
        </w:rPr>
      </w:pPr>
    </w:p>
    <w:p w14:paraId="39F219A3" w14:textId="77777777" w:rsidR="00380775" w:rsidRPr="0032048B" w:rsidRDefault="00380775" w:rsidP="00380775">
      <w:pPr>
        <w:rPr>
          <w:sz w:val="48"/>
          <w:szCs w:val="24"/>
          <w:lang w:val="sq-AL"/>
        </w:rPr>
      </w:pPr>
    </w:p>
    <w:p w14:paraId="17CE4714" w14:textId="77777777" w:rsidR="00380775" w:rsidRPr="0032048B" w:rsidRDefault="00380775" w:rsidP="00380775">
      <w:pPr>
        <w:spacing w:before="519"/>
        <w:rPr>
          <w:sz w:val="48"/>
          <w:szCs w:val="24"/>
          <w:lang w:val="sq-AL"/>
        </w:rPr>
      </w:pPr>
    </w:p>
    <w:p w14:paraId="5F897AF8" w14:textId="56870C41" w:rsidR="00380775" w:rsidRPr="0032048B" w:rsidRDefault="00816B9E" w:rsidP="00380775">
      <w:pPr>
        <w:tabs>
          <w:tab w:val="left" w:pos="10211"/>
        </w:tabs>
        <w:ind w:left="107"/>
        <w:rPr>
          <w:rFonts w:ascii="Arial" w:eastAsia="Arial" w:hAnsi="Arial" w:cs="Arial"/>
          <w:b/>
          <w:bCs/>
          <w:sz w:val="48"/>
          <w:szCs w:val="48"/>
          <w:lang w:val="sq-AL"/>
        </w:rPr>
      </w:pPr>
      <w:r>
        <w:rPr>
          <w:rFonts w:ascii="Arial" w:eastAsia="Arial" w:hAnsi="Arial" w:cs="Arial"/>
          <w:b/>
          <w:bCs/>
          <w:spacing w:val="-5"/>
          <w:sz w:val="48"/>
          <w:szCs w:val="48"/>
          <w:lang w:val="sq-AL"/>
        </w:rPr>
        <w:t>SHQIP</w:t>
      </w:r>
      <w:r w:rsidR="004D53EC">
        <w:rPr>
          <w:rFonts w:ascii="Arial" w:eastAsia="Arial" w:hAnsi="Arial" w:cs="Arial"/>
          <w:b/>
          <w:bCs/>
          <w:sz w:val="48"/>
          <w:szCs w:val="48"/>
          <w:lang w:val="sq-AL"/>
        </w:rPr>
        <w:t xml:space="preserve">                                </w:t>
      </w:r>
      <w:r w:rsidR="00380775" w:rsidRPr="0032048B">
        <w:rPr>
          <w:rFonts w:ascii="Arial" w:eastAsia="Arial" w:hAnsi="Arial" w:cs="Arial"/>
          <w:b/>
          <w:bCs/>
          <w:sz w:val="48"/>
          <w:szCs w:val="48"/>
          <w:lang w:val="sq-AL"/>
        </w:rPr>
        <w:t xml:space="preserve"> </w:t>
      </w:r>
    </w:p>
    <w:p w14:paraId="383F587B" w14:textId="77777777" w:rsidR="00380775" w:rsidRPr="0032048B" w:rsidRDefault="00380775" w:rsidP="00380775">
      <w:pPr>
        <w:rPr>
          <w:lang w:val="sq-AL"/>
        </w:rPr>
        <w:sectPr w:rsidR="00380775" w:rsidRPr="0032048B">
          <w:type w:val="continuous"/>
          <w:pgSz w:w="11910" w:h="16840"/>
          <w:pgMar w:top="1460" w:right="460" w:bottom="280" w:left="460" w:header="720" w:footer="720" w:gutter="0"/>
          <w:cols w:space="720"/>
        </w:sectPr>
      </w:pPr>
    </w:p>
    <w:p w14:paraId="4FE7A64E" w14:textId="0BE220DD" w:rsidR="00380775" w:rsidRPr="00892C0E" w:rsidRDefault="00380775" w:rsidP="00892C0E">
      <w:pPr>
        <w:tabs>
          <w:tab w:val="left" w:pos="1134"/>
          <w:tab w:val="left" w:pos="1219"/>
        </w:tabs>
        <w:ind w:left="993" w:right="1067"/>
        <w:jc w:val="both"/>
        <w:outlineLvl w:val="0"/>
        <w:rPr>
          <w:b/>
          <w:bCs/>
          <w:sz w:val="24"/>
          <w:szCs w:val="24"/>
          <w:lang w:val="sq-AL"/>
        </w:rPr>
      </w:pPr>
      <w:r w:rsidRPr="0032048B">
        <w:rPr>
          <w:rFonts w:ascii="Calibri Light"/>
          <w:smallCaps/>
          <w:color w:val="2D74B5"/>
          <w:sz w:val="32"/>
          <w:lang w:val="sq-AL"/>
        </w:rPr>
        <w:lastRenderedPageBreak/>
        <w:t>Tabela e L</w:t>
      </w:r>
      <w:r w:rsidRPr="0032048B">
        <w:rPr>
          <w:rFonts w:ascii="Calibri Light"/>
          <w:smallCaps/>
          <w:color w:val="2D74B5"/>
          <w:sz w:val="32"/>
          <w:lang w:val="sq-AL"/>
        </w:rPr>
        <w:t>ë</w:t>
      </w:r>
      <w:r w:rsidRPr="0032048B">
        <w:rPr>
          <w:rFonts w:ascii="Calibri Light"/>
          <w:smallCaps/>
          <w:color w:val="2D74B5"/>
          <w:sz w:val="32"/>
          <w:lang w:val="sq-AL"/>
        </w:rPr>
        <w:t>nd</w:t>
      </w:r>
      <w:r w:rsidRPr="0032048B">
        <w:rPr>
          <w:rFonts w:ascii="Calibri Light"/>
          <w:smallCaps/>
          <w:color w:val="2D74B5"/>
          <w:sz w:val="32"/>
          <w:lang w:val="sq-AL"/>
        </w:rPr>
        <w:t>ë</w:t>
      </w:r>
      <w:r w:rsidRPr="0032048B">
        <w:rPr>
          <w:rFonts w:ascii="Calibri Light"/>
          <w:smallCaps/>
          <w:color w:val="2D74B5"/>
          <w:sz w:val="32"/>
          <w:lang w:val="sq-AL"/>
        </w:rPr>
        <w:t>s</w:t>
      </w:r>
      <w:r w:rsidR="0088112C" w:rsidRPr="0032048B">
        <w:rPr>
          <w:b/>
          <w:bCs/>
          <w:sz w:val="24"/>
          <w:szCs w:val="24"/>
          <w:lang w:val="sq-AL"/>
        </w:rPr>
        <w:t xml:space="preserve"> </w:t>
      </w:r>
    </w:p>
    <w:sdt>
      <w:sdtPr>
        <w:rPr>
          <w:b w:val="0"/>
          <w:bCs w:val="0"/>
          <w:lang w:val="sq-AL"/>
        </w:rPr>
        <w:id w:val="-1861424978"/>
        <w:docPartObj>
          <w:docPartGallery w:val="Table of Contents"/>
          <w:docPartUnique/>
        </w:docPartObj>
      </w:sdtPr>
      <w:sdtContent>
        <w:p w14:paraId="222425BE" w14:textId="77777777" w:rsidR="00892C0E" w:rsidRPr="0075127F" w:rsidRDefault="00892C0E" w:rsidP="00892C0E">
          <w:pPr>
            <w:pStyle w:val="TOC1"/>
            <w:numPr>
              <w:ilvl w:val="0"/>
              <w:numId w:val="11"/>
            </w:numPr>
            <w:tabs>
              <w:tab w:val="left" w:pos="1420"/>
              <w:tab w:val="right" w:leader="dot" w:pos="10043"/>
            </w:tabs>
            <w:spacing w:before="151"/>
            <w:ind w:hanging="440"/>
            <w:rPr>
              <w:lang w:val="sq-AL"/>
            </w:rPr>
          </w:pPr>
          <w:hyperlink w:anchor="_bookmark0" w:history="1">
            <w:r w:rsidRPr="0075127F">
              <w:rPr>
                <w:spacing w:val="-2"/>
                <w:lang w:val="sq-AL"/>
              </w:rPr>
              <w:t>Hyrje</w:t>
            </w:r>
            <w:r w:rsidRPr="0075127F">
              <w:rPr>
                <w:lang w:val="sq-AL"/>
              </w:rPr>
              <w:tab/>
            </w:r>
            <w:r w:rsidRPr="0075127F">
              <w:rPr>
                <w:spacing w:val="-10"/>
                <w:lang w:val="sq-AL"/>
              </w:rPr>
              <w:t>3</w:t>
            </w:r>
          </w:hyperlink>
        </w:p>
        <w:p w14:paraId="5FC8BE9E" w14:textId="77777777" w:rsidR="00892C0E" w:rsidRPr="0075127F" w:rsidRDefault="00892C0E" w:rsidP="00892C0E">
          <w:pPr>
            <w:pStyle w:val="TOC2"/>
            <w:numPr>
              <w:ilvl w:val="1"/>
              <w:numId w:val="11"/>
            </w:numPr>
            <w:tabs>
              <w:tab w:val="left" w:pos="1859"/>
              <w:tab w:val="right" w:leader="dot" w:pos="10331"/>
            </w:tabs>
            <w:spacing w:before="140"/>
            <w:rPr>
              <w:lang w:val="sq-AL"/>
            </w:rPr>
          </w:pPr>
          <w:hyperlink w:anchor="_bookmark1" w:history="1">
            <w:r w:rsidRPr="0075127F">
              <w:rPr>
                <w:smallCaps/>
                <w:spacing w:val="-2"/>
                <w:lang w:val="sq-AL"/>
              </w:rPr>
              <w:t>KONTEKSTI</w:t>
            </w:r>
            <w:r w:rsidRPr="0075127F">
              <w:rPr>
                <w:smallCaps/>
                <w:lang w:val="sq-AL"/>
              </w:rPr>
              <w:tab/>
            </w:r>
            <w:r w:rsidRPr="0075127F">
              <w:rPr>
                <w:smallCaps/>
                <w:spacing w:val="-10"/>
                <w:lang w:val="sq-AL"/>
              </w:rPr>
              <w:t>3</w:t>
            </w:r>
          </w:hyperlink>
        </w:p>
        <w:p w14:paraId="33459003" w14:textId="77777777" w:rsidR="00892C0E" w:rsidRPr="0075127F" w:rsidRDefault="00892C0E" w:rsidP="00892C0E">
          <w:pPr>
            <w:pStyle w:val="TOC2"/>
            <w:numPr>
              <w:ilvl w:val="1"/>
              <w:numId w:val="11"/>
            </w:numPr>
            <w:tabs>
              <w:tab w:val="left" w:pos="1859"/>
              <w:tab w:val="right" w:leader="dot" w:pos="10331"/>
            </w:tabs>
            <w:rPr>
              <w:lang w:val="sq-AL"/>
            </w:rPr>
          </w:pPr>
          <w:r w:rsidRPr="0075127F">
            <w:rPr>
              <w:lang w:val="sq-AL"/>
            </w:rPr>
            <w:t>P</w:t>
          </w:r>
          <w:hyperlink w:anchor="_bookmark2" w:history="1">
            <w:r w:rsidRPr="0075127F">
              <w:rPr>
                <w:smallCaps/>
                <w:lang w:val="sq-AL"/>
              </w:rPr>
              <w:t>ËRMBLEDHJE DHE RAPORTI</w:t>
            </w:r>
            <w:r w:rsidRPr="0075127F">
              <w:rPr>
                <w:smallCaps/>
                <w:lang w:val="sq-AL"/>
              </w:rPr>
              <w:tab/>
            </w:r>
            <w:r w:rsidRPr="0075127F">
              <w:rPr>
                <w:smallCaps/>
                <w:spacing w:val="-12"/>
                <w:lang w:val="sq-AL"/>
              </w:rPr>
              <w:t>3</w:t>
            </w:r>
          </w:hyperlink>
        </w:p>
        <w:p w14:paraId="0EB28A0D" w14:textId="77777777" w:rsidR="00892C0E" w:rsidRPr="0075127F" w:rsidRDefault="00892C0E" w:rsidP="00892C0E">
          <w:pPr>
            <w:pStyle w:val="TOC2"/>
            <w:numPr>
              <w:ilvl w:val="1"/>
              <w:numId w:val="11"/>
            </w:numPr>
            <w:tabs>
              <w:tab w:val="left" w:pos="1895"/>
              <w:tab w:val="right" w:leader="dot" w:pos="10331"/>
            </w:tabs>
            <w:spacing w:before="20"/>
            <w:ind w:left="1895" w:hanging="696"/>
            <w:rPr>
              <w:lang w:val="sq-AL"/>
            </w:rPr>
          </w:pPr>
          <w:hyperlink w:anchor="_bookmark4" w:history="1">
            <w:r w:rsidRPr="0075127F">
              <w:rPr>
                <w:smallCaps/>
                <w:lang w:val="sq-AL"/>
              </w:rPr>
              <w:t>STATUSI I NEGOCIATAVE TË ANËTARËSIMIT</w:t>
            </w:r>
            <w:r w:rsidRPr="0075127F">
              <w:rPr>
                <w:smallCaps/>
                <w:lang w:val="sq-AL"/>
              </w:rPr>
              <w:tab/>
            </w:r>
            <w:r w:rsidRPr="0075127F">
              <w:rPr>
                <w:smallCaps/>
                <w:spacing w:val="-10"/>
                <w:lang w:val="sq-AL"/>
              </w:rPr>
              <w:t>7</w:t>
            </w:r>
          </w:hyperlink>
        </w:p>
        <w:p w14:paraId="7266C8B8" w14:textId="77777777" w:rsidR="00892C0E" w:rsidRPr="0075127F" w:rsidRDefault="00892C0E" w:rsidP="00892C0E">
          <w:pPr>
            <w:pStyle w:val="TOC1"/>
            <w:numPr>
              <w:ilvl w:val="0"/>
              <w:numId w:val="11"/>
            </w:numPr>
            <w:tabs>
              <w:tab w:val="left" w:pos="1180"/>
              <w:tab w:val="right" w:leader="dot" w:pos="10042"/>
            </w:tabs>
            <w:ind w:left="1180" w:hanging="200"/>
            <w:rPr>
              <w:lang w:val="sq-AL"/>
            </w:rPr>
          </w:pPr>
          <w:hyperlink w:anchor="_bookmark5" w:history="1">
            <w:r w:rsidRPr="0075127F">
              <w:rPr>
                <w:lang w:val="sq-AL"/>
              </w:rPr>
              <w:t>GRUPI 1: BAZAT E PROCESIT TË ANËTARËSIMIT</w:t>
            </w:r>
            <w:r w:rsidRPr="0075127F">
              <w:rPr>
                <w:lang w:val="sq-AL"/>
              </w:rPr>
              <w:tab/>
            </w:r>
            <w:r>
              <w:rPr>
                <w:lang w:val="sq-AL"/>
              </w:rPr>
              <w:t>........</w:t>
            </w:r>
            <w:r w:rsidRPr="0075127F">
              <w:rPr>
                <w:spacing w:val="-10"/>
                <w:lang w:val="sq-AL"/>
              </w:rPr>
              <w:t>7</w:t>
            </w:r>
          </w:hyperlink>
        </w:p>
        <w:p w14:paraId="6C2F3D4B" w14:textId="77777777" w:rsidR="00892C0E" w:rsidRPr="0075127F" w:rsidRDefault="00892C0E" w:rsidP="00892C0E">
          <w:pPr>
            <w:pStyle w:val="ListParagraph"/>
            <w:numPr>
              <w:ilvl w:val="1"/>
              <w:numId w:val="11"/>
            </w:numPr>
            <w:rPr>
              <w:rFonts w:ascii="Calibri" w:eastAsia="Calibri" w:hAnsi="Calibri" w:cs="Calibri"/>
              <w:smallCaps/>
              <w:sz w:val="20"/>
              <w:szCs w:val="20"/>
              <w:lang w:val="sq-AL"/>
            </w:rPr>
          </w:pPr>
          <w:hyperlink w:anchor="_bookmark6" w:history="1">
            <w:r w:rsidRPr="0075127F">
              <w:rPr>
                <w:rFonts w:ascii="Calibri" w:eastAsia="Calibri" w:hAnsi="Calibri" w:cs="Calibri"/>
                <w:smallCaps/>
                <w:sz w:val="20"/>
                <w:szCs w:val="20"/>
                <w:lang w:val="sq-AL"/>
              </w:rPr>
              <w:t>FUNKSIONIMI I INSTITUCIONEVE DEMOKRATIKE DHE REFORMA E ADMINISTRATËS PUBLIKE.....................</w:t>
            </w:r>
            <w:r w:rsidRPr="0075127F">
              <w:rPr>
                <w:smallCaps/>
                <w:spacing w:val="-10"/>
                <w:lang w:val="sq-AL"/>
              </w:rPr>
              <w:t>7</w:t>
            </w:r>
          </w:hyperlink>
        </w:p>
        <w:p w14:paraId="6B4F4939" w14:textId="77777777" w:rsidR="00892C0E" w:rsidRPr="0075127F" w:rsidRDefault="00892C0E" w:rsidP="00892C0E">
          <w:pPr>
            <w:pStyle w:val="ListParagraph"/>
            <w:numPr>
              <w:ilvl w:val="2"/>
              <w:numId w:val="11"/>
            </w:numPr>
            <w:rPr>
              <w:rFonts w:ascii="Calibri" w:eastAsia="Calibri" w:hAnsi="Calibri" w:cs="Calibri"/>
              <w:i/>
              <w:iCs/>
              <w:spacing w:val="-2"/>
              <w:sz w:val="20"/>
              <w:szCs w:val="20"/>
              <w:lang w:val="sq-AL"/>
            </w:rPr>
          </w:pPr>
          <w:hyperlink w:anchor="_bookmark7" w:history="1">
            <w:r w:rsidRPr="0075127F">
              <w:rPr>
                <w:rFonts w:ascii="Calibri" w:eastAsia="Calibri" w:hAnsi="Calibri" w:cs="Calibri"/>
                <w:i/>
                <w:iCs/>
                <w:spacing w:val="-2"/>
                <w:sz w:val="20"/>
                <w:szCs w:val="20"/>
                <w:lang w:val="sq-AL"/>
              </w:rPr>
              <w:t>Demokracia.....................................................................................................................................................</w:t>
            </w:r>
            <w:r w:rsidRPr="0075127F">
              <w:rPr>
                <w:lang w:val="sq-AL"/>
              </w:rPr>
              <w:tab/>
            </w:r>
            <w:r w:rsidRPr="0075127F">
              <w:rPr>
                <w:spacing w:val="-10"/>
                <w:lang w:val="sq-AL"/>
              </w:rPr>
              <w:t>7</w:t>
            </w:r>
          </w:hyperlink>
        </w:p>
        <w:p w14:paraId="5BB90DF6" w14:textId="77777777" w:rsidR="00892C0E" w:rsidRPr="0075127F" w:rsidRDefault="00892C0E" w:rsidP="00892C0E">
          <w:pPr>
            <w:pStyle w:val="TOC3"/>
            <w:numPr>
              <w:ilvl w:val="2"/>
              <w:numId w:val="10"/>
            </w:numPr>
            <w:tabs>
              <w:tab w:val="left" w:pos="1918"/>
              <w:tab w:val="right" w:leader="dot" w:pos="10331"/>
            </w:tabs>
            <w:spacing w:before="19"/>
            <w:ind w:left="1918" w:hanging="498"/>
            <w:rPr>
              <w:lang w:val="sq-AL"/>
            </w:rPr>
          </w:pPr>
          <w:hyperlink w:anchor="_bookmark8" w:history="1">
            <w:r w:rsidRPr="00046902">
              <w:rPr>
                <w:lang w:val="sq-AL"/>
              </w:rPr>
              <w:t>Reforma e administratës publike</w:t>
            </w:r>
            <w:r w:rsidRPr="0075127F">
              <w:rPr>
                <w:lang w:val="sq-AL"/>
              </w:rPr>
              <w:tab/>
            </w:r>
            <w:r w:rsidRPr="0075127F">
              <w:rPr>
                <w:spacing w:val="-5"/>
                <w:lang w:val="sq-AL"/>
              </w:rPr>
              <w:t>13</w:t>
            </w:r>
          </w:hyperlink>
        </w:p>
        <w:p w14:paraId="655972C0" w14:textId="77777777" w:rsidR="00892C0E" w:rsidRPr="0075127F" w:rsidRDefault="00892C0E" w:rsidP="00892C0E">
          <w:pPr>
            <w:pStyle w:val="TOC2"/>
            <w:numPr>
              <w:ilvl w:val="1"/>
              <w:numId w:val="11"/>
            </w:numPr>
            <w:tabs>
              <w:tab w:val="left" w:pos="1528"/>
              <w:tab w:val="right" w:leader="dot" w:pos="10331"/>
            </w:tabs>
            <w:spacing w:before="20"/>
            <w:ind w:left="1528" w:hanging="329"/>
            <w:rPr>
              <w:lang w:val="sq-AL"/>
            </w:rPr>
          </w:pPr>
          <w:hyperlink w:anchor="_bookmark9" w:history="1">
            <w:r w:rsidRPr="0075127F">
              <w:rPr>
                <w:smallCaps/>
                <w:lang w:val="sq-AL"/>
              </w:rPr>
              <w:t>Sundimi i Ligjit dhe të drejtat themelore</w:t>
            </w:r>
            <w:r w:rsidRPr="0075127F">
              <w:rPr>
                <w:smallCaps/>
                <w:lang w:val="sq-AL"/>
              </w:rPr>
              <w:tab/>
            </w:r>
            <w:r w:rsidRPr="0075127F">
              <w:rPr>
                <w:smallCaps/>
                <w:spacing w:val="-5"/>
                <w:lang w:val="sq-AL"/>
              </w:rPr>
              <w:t>18</w:t>
            </w:r>
          </w:hyperlink>
        </w:p>
        <w:p w14:paraId="33942E88" w14:textId="77777777" w:rsidR="00892C0E" w:rsidRPr="0075127F" w:rsidRDefault="00892C0E" w:rsidP="00892C0E">
          <w:pPr>
            <w:pStyle w:val="TOC3"/>
            <w:numPr>
              <w:ilvl w:val="2"/>
              <w:numId w:val="9"/>
            </w:numPr>
            <w:tabs>
              <w:tab w:val="left" w:pos="2299"/>
              <w:tab w:val="right" w:leader="dot" w:pos="10331"/>
            </w:tabs>
            <w:spacing w:before="18"/>
            <w:ind w:left="2299" w:hanging="879"/>
            <w:rPr>
              <w:lang w:val="sq-AL"/>
            </w:rPr>
          </w:pPr>
          <w:hyperlink w:anchor="_bookmark10" w:history="1">
            <w:r w:rsidRPr="0075127F">
              <w:rPr>
                <w:lang w:val="sq-AL"/>
              </w:rPr>
              <w:t>Kapitulli</w:t>
            </w:r>
            <w:r w:rsidRPr="0075127F">
              <w:rPr>
                <w:spacing w:val="-5"/>
                <w:lang w:val="sq-AL"/>
              </w:rPr>
              <w:t xml:space="preserve"> </w:t>
            </w:r>
            <w:r w:rsidRPr="0075127F">
              <w:rPr>
                <w:lang w:val="sq-AL"/>
              </w:rPr>
              <w:t>23:</w:t>
            </w:r>
            <w:r w:rsidRPr="0075127F">
              <w:rPr>
                <w:spacing w:val="-3"/>
                <w:lang w:val="sq-AL"/>
              </w:rPr>
              <w:t xml:space="preserve"> </w:t>
            </w:r>
            <w:r w:rsidRPr="0075127F">
              <w:rPr>
                <w:lang w:val="sq-AL"/>
              </w:rPr>
              <w:t>Gjyqësori dhe të drejtat themelore</w:t>
            </w:r>
            <w:r w:rsidRPr="0075127F">
              <w:rPr>
                <w:lang w:val="sq-AL"/>
              </w:rPr>
              <w:tab/>
            </w:r>
            <w:r w:rsidRPr="0075127F">
              <w:rPr>
                <w:spacing w:val="-5"/>
                <w:lang w:val="sq-AL"/>
              </w:rPr>
              <w:t>18</w:t>
            </w:r>
          </w:hyperlink>
        </w:p>
        <w:p w14:paraId="56C9D7C5" w14:textId="77777777" w:rsidR="00892C0E" w:rsidRPr="0075127F" w:rsidRDefault="00892C0E" w:rsidP="00892C0E">
          <w:pPr>
            <w:pStyle w:val="TOC3"/>
            <w:numPr>
              <w:ilvl w:val="2"/>
              <w:numId w:val="9"/>
            </w:numPr>
            <w:tabs>
              <w:tab w:val="left" w:pos="2299"/>
              <w:tab w:val="right" w:leader="dot" w:pos="10331"/>
            </w:tabs>
            <w:ind w:left="2299" w:hanging="879"/>
            <w:rPr>
              <w:lang w:val="sq-AL"/>
            </w:rPr>
          </w:pPr>
          <w:hyperlink w:anchor="_bookmark11" w:history="1">
            <w:r w:rsidRPr="0075127F">
              <w:rPr>
                <w:spacing w:val="-2"/>
                <w:lang w:val="sq-AL"/>
              </w:rPr>
              <w:t>Kapitulli 24: Drejtësia, liria dhe siguria</w:t>
            </w:r>
            <w:r w:rsidRPr="0075127F">
              <w:rPr>
                <w:lang w:val="sq-AL"/>
              </w:rPr>
              <w:tab/>
            </w:r>
            <w:r w:rsidRPr="0075127F">
              <w:rPr>
                <w:spacing w:val="-5"/>
                <w:lang w:val="sq-AL"/>
              </w:rPr>
              <w:t>40</w:t>
            </w:r>
          </w:hyperlink>
        </w:p>
        <w:p w14:paraId="18677B88" w14:textId="77777777" w:rsidR="00892C0E" w:rsidRPr="0075127F" w:rsidRDefault="00892C0E" w:rsidP="00892C0E">
          <w:pPr>
            <w:pStyle w:val="TOC2"/>
            <w:numPr>
              <w:ilvl w:val="1"/>
              <w:numId w:val="11"/>
            </w:numPr>
            <w:tabs>
              <w:tab w:val="left" w:pos="1528"/>
              <w:tab w:val="right" w:leader="dot" w:pos="10331"/>
            </w:tabs>
            <w:ind w:left="1528" w:hanging="329"/>
            <w:rPr>
              <w:lang w:val="sq-AL"/>
            </w:rPr>
          </w:pPr>
          <w:hyperlink w:anchor="_bookmark15" w:history="1">
            <w:r w:rsidRPr="0075127F">
              <w:rPr>
                <w:smallCaps/>
                <w:spacing w:val="-2"/>
                <w:lang w:val="sq-AL"/>
              </w:rPr>
              <w:t xml:space="preserve"> Kriteret ekonomike</w:t>
            </w:r>
            <w:r w:rsidRPr="0075127F">
              <w:rPr>
                <w:smallCaps/>
                <w:lang w:val="sq-AL"/>
              </w:rPr>
              <w:tab/>
            </w:r>
            <w:r w:rsidRPr="0075127F">
              <w:rPr>
                <w:smallCaps/>
                <w:spacing w:val="-5"/>
                <w:lang w:val="sq-AL"/>
              </w:rPr>
              <w:t>56</w:t>
            </w:r>
          </w:hyperlink>
        </w:p>
        <w:p w14:paraId="54FAD783" w14:textId="77777777" w:rsidR="00892C0E" w:rsidRPr="0075127F" w:rsidRDefault="00892C0E" w:rsidP="00892C0E">
          <w:pPr>
            <w:pStyle w:val="TOC3"/>
            <w:numPr>
              <w:ilvl w:val="2"/>
              <w:numId w:val="8"/>
            </w:numPr>
            <w:tabs>
              <w:tab w:val="left" w:pos="1918"/>
              <w:tab w:val="right" w:leader="dot" w:pos="10331"/>
            </w:tabs>
            <w:ind w:left="1918" w:hanging="498"/>
            <w:rPr>
              <w:lang w:val="sq-AL"/>
            </w:rPr>
          </w:pPr>
          <w:hyperlink w:anchor="_bookmark16" w:history="1">
            <w:r w:rsidRPr="0075127F">
              <w:rPr>
                <w:spacing w:val="-2"/>
                <w:lang w:val="sq-AL"/>
              </w:rPr>
              <w:t>Ekzistenca e një ekonomie tregu funksionale</w:t>
            </w:r>
            <w:r w:rsidRPr="0075127F">
              <w:rPr>
                <w:lang w:val="sq-AL"/>
              </w:rPr>
              <w:tab/>
            </w:r>
            <w:r w:rsidRPr="0075127F">
              <w:rPr>
                <w:spacing w:val="-5"/>
                <w:lang w:val="sq-AL"/>
              </w:rPr>
              <w:t>56</w:t>
            </w:r>
          </w:hyperlink>
        </w:p>
        <w:p w14:paraId="362AA4E4" w14:textId="77777777" w:rsidR="00892C0E" w:rsidRPr="0075127F" w:rsidRDefault="00892C0E" w:rsidP="00892C0E">
          <w:pPr>
            <w:pStyle w:val="TOC3"/>
            <w:numPr>
              <w:ilvl w:val="2"/>
              <w:numId w:val="8"/>
            </w:numPr>
            <w:tabs>
              <w:tab w:val="left" w:pos="1917"/>
            </w:tabs>
            <w:spacing w:before="19"/>
            <w:ind w:left="1917" w:right="640" w:hanging="497"/>
            <w:rPr>
              <w:lang w:val="sq-AL"/>
            </w:rPr>
          </w:pPr>
          <w:hyperlink w:anchor="_bookmark23" w:history="1">
            <w:r w:rsidRPr="0075127F">
              <w:rPr>
                <w:spacing w:val="-2"/>
                <w:lang w:val="sq-AL"/>
              </w:rPr>
              <w:t>Kapaciteti për të përballuar presionin e konkurrencës dhe forcat e tregut të Bashkimit........................</w:t>
            </w:r>
            <w:r w:rsidRPr="0075127F">
              <w:rPr>
                <w:lang w:val="sq-AL"/>
              </w:rPr>
              <w:tab/>
            </w:r>
            <w:r w:rsidRPr="0075127F">
              <w:rPr>
                <w:spacing w:val="-5"/>
                <w:lang w:val="sq-AL"/>
              </w:rPr>
              <w:t>64</w:t>
            </w:r>
          </w:hyperlink>
        </w:p>
        <w:p w14:paraId="1D0492AD" w14:textId="77777777" w:rsidR="00892C0E" w:rsidRPr="0075127F" w:rsidRDefault="00892C0E" w:rsidP="00892C0E">
          <w:pPr>
            <w:pStyle w:val="TOC2"/>
            <w:numPr>
              <w:ilvl w:val="1"/>
              <w:numId w:val="7"/>
            </w:numPr>
            <w:tabs>
              <w:tab w:val="left" w:pos="1478"/>
              <w:tab w:val="right" w:leader="dot" w:pos="10331"/>
            </w:tabs>
            <w:ind w:left="1478" w:hanging="279"/>
            <w:rPr>
              <w:lang w:val="sq-AL"/>
            </w:rPr>
          </w:pPr>
          <w:hyperlink w:anchor="_bookmark28" w:history="1">
            <w:r w:rsidRPr="0075127F">
              <w:t xml:space="preserve">PROKURIMI FINANCIAR, STATISTIKAT DHE KONTROLLI FINANCIAR </w:t>
            </w:r>
            <w:r w:rsidRPr="0075127F">
              <w:rPr>
                <w:smallCaps/>
                <w:lang w:val="sq-AL"/>
              </w:rPr>
              <w:tab/>
            </w:r>
            <w:r w:rsidRPr="0075127F">
              <w:rPr>
                <w:smallCaps/>
                <w:spacing w:val="-5"/>
                <w:lang w:val="sq-AL"/>
              </w:rPr>
              <w:t>67</w:t>
            </w:r>
          </w:hyperlink>
        </w:p>
        <w:p w14:paraId="537BB423" w14:textId="77777777" w:rsidR="00892C0E" w:rsidRPr="0075127F" w:rsidRDefault="00892C0E" w:rsidP="00892C0E">
          <w:pPr>
            <w:pStyle w:val="TOC3"/>
            <w:tabs>
              <w:tab w:val="right" w:leader="dot" w:pos="10331"/>
            </w:tabs>
            <w:rPr>
              <w:lang w:val="sq-AL"/>
            </w:rPr>
          </w:pPr>
          <w:hyperlink w:anchor="_bookmark29" w:history="1">
            <w:r w:rsidRPr="0075127F">
              <w:rPr>
                <w:lang w:val="sq-AL"/>
              </w:rPr>
              <w:t>Kapitulli</w:t>
            </w:r>
            <w:r w:rsidRPr="0075127F">
              <w:rPr>
                <w:spacing w:val="-5"/>
                <w:lang w:val="sq-AL"/>
              </w:rPr>
              <w:t xml:space="preserve"> </w:t>
            </w:r>
            <w:r w:rsidRPr="0075127F">
              <w:rPr>
                <w:lang w:val="sq-AL"/>
              </w:rPr>
              <w:t>5:</w:t>
            </w:r>
            <w:r w:rsidRPr="0075127F">
              <w:rPr>
                <w:spacing w:val="-2"/>
                <w:lang w:val="sq-AL"/>
              </w:rPr>
              <w:t xml:space="preserve"> Prokurimi publik</w:t>
            </w:r>
            <w:r w:rsidRPr="0075127F">
              <w:rPr>
                <w:lang w:val="sq-AL"/>
              </w:rPr>
              <w:tab/>
            </w:r>
            <w:r w:rsidRPr="0075127F">
              <w:rPr>
                <w:spacing w:val="-5"/>
                <w:lang w:val="sq-AL"/>
              </w:rPr>
              <w:t>67</w:t>
            </w:r>
          </w:hyperlink>
        </w:p>
        <w:p w14:paraId="4BBA92E2" w14:textId="77777777" w:rsidR="00892C0E" w:rsidRPr="0075127F" w:rsidRDefault="00892C0E" w:rsidP="00892C0E">
          <w:pPr>
            <w:pStyle w:val="TOC3"/>
            <w:tabs>
              <w:tab w:val="right" w:leader="dot" w:pos="10331"/>
            </w:tabs>
            <w:spacing w:before="19"/>
            <w:rPr>
              <w:lang w:val="sq-AL"/>
            </w:rPr>
          </w:pPr>
          <w:hyperlink w:anchor="_bookmark30" w:history="1">
            <w:r w:rsidRPr="0075127F">
              <w:t xml:space="preserve"> </w:t>
            </w:r>
            <w:r w:rsidRPr="0075127F">
              <w:rPr>
                <w:lang w:val="sq-AL"/>
              </w:rPr>
              <w:t>Kapitulli 18:</w:t>
            </w:r>
            <w:r w:rsidRPr="0075127F">
              <w:rPr>
                <w:spacing w:val="-2"/>
                <w:lang w:val="sq-AL"/>
              </w:rPr>
              <w:t xml:space="preserve"> Statistikat</w:t>
            </w:r>
            <w:r w:rsidRPr="0075127F">
              <w:rPr>
                <w:lang w:val="sq-AL"/>
              </w:rPr>
              <w:tab/>
            </w:r>
            <w:r w:rsidRPr="0075127F">
              <w:rPr>
                <w:spacing w:val="-5"/>
                <w:lang w:val="sq-AL"/>
              </w:rPr>
              <w:t>70</w:t>
            </w:r>
          </w:hyperlink>
        </w:p>
        <w:p w14:paraId="4FA1BEB8" w14:textId="77777777" w:rsidR="00892C0E" w:rsidRPr="0075127F" w:rsidRDefault="00892C0E" w:rsidP="00892C0E">
          <w:pPr>
            <w:pStyle w:val="TOC3"/>
            <w:tabs>
              <w:tab w:val="right" w:leader="dot" w:pos="10331"/>
            </w:tabs>
            <w:spacing w:before="19"/>
            <w:rPr>
              <w:lang w:val="sq-AL"/>
            </w:rPr>
          </w:pPr>
          <w:hyperlink w:anchor="_bookmark31" w:history="1">
            <w:r w:rsidRPr="0075127F">
              <w:t xml:space="preserve"> </w:t>
            </w:r>
            <w:r w:rsidRPr="0075127F">
              <w:rPr>
                <w:lang w:val="sq-AL"/>
              </w:rPr>
              <w:t>Kapitulli 32:</w:t>
            </w:r>
            <w:r w:rsidRPr="0075127F">
              <w:rPr>
                <w:spacing w:val="-3"/>
                <w:lang w:val="sq-AL"/>
              </w:rPr>
              <w:t xml:space="preserve"> </w:t>
            </w:r>
            <w:proofErr w:type="spellStart"/>
            <w:r w:rsidRPr="0075127F">
              <w:rPr>
                <w:lang w:bidi="sq-AL"/>
              </w:rPr>
              <w:t>Kontrolli</w:t>
            </w:r>
            <w:proofErr w:type="spellEnd"/>
            <w:r w:rsidRPr="0075127F">
              <w:rPr>
                <w:lang w:bidi="sq-AL"/>
              </w:rPr>
              <w:t xml:space="preserve"> </w:t>
            </w:r>
            <w:proofErr w:type="spellStart"/>
            <w:r w:rsidRPr="0075127F">
              <w:rPr>
                <w:lang w:bidi="sq-AL"/>
              </w:rPr>
              <w:t>financiar</w:t>
            </w:r>
            <w:proofErr w:type="spellEnd"/>
            <w:r w:rsidRPr="0075127F">
              <w:rPr>
                <w:lang w:val="sq-AL"/>
              </w:rPr>
              <w:tab/>
            </w:r>
            <w:r w:rsidRPr="0075127F">
              <w:rPr>
                <w:spacing w:val="-5"/>
                <w:lang w:val="sq-AL"/>
              </w:rPr>
              <w:t>72</w:t>
            </w:r>
          </w:hyperlink>
        </w:p>
        <w:p w14:paraId="0B1E71CA" w14:textId="77777777" w:rsidR="00892C0E" w:rsidRPr="0075127F" w:rsidRDefault="00892C0E" w:rsidP="00892C0E">
          <w:pPr>
            <w:pStyle w:val="TOC1"/>
            <w:numPr>
              <w:ilvl w:val="0"/>
              <w:numId w:val="11"/>
            </w:numPr>
            <w:tabs>
              <w:tab w:val="left" w:pos="1180"/>
              <w:tab w:val="right" w:leader="dot" w:pos="10043"/>
            </w:tabs>
            <w:ind w:left="1180" w:hanging="200"/>
            <w:rPr>
              <w:lang w:val="sq-AL"/>
            </w:rPr>
          </w:pPr>
          <w:hyperlink w:anchor="_bookmark32" w:history="1">
            <w:r w:rsidRPr="0075127F">
              <w:rPr>
                <w:lang w:bidi="sq-AL"/>
              </w:rPr>
              <w:t>MARRËDHËNIET E FQINJËSISË SË MIRË DHE BASHKËPUNIMI RAJONAL</w:t>
            </w:r>
            <w:r w:rsidRPr="0075127F">
              <w:rPr>
                <w:lang w:val="sq-AL"/>
              </w:rPr>
              <w:tab/>
            </w:r>
            <w:r w:rsidRPr="0075127F">
              <w:rPr>
                <w:spacing w:val="-5"/>
                <w:lang w:val="sq-AL"/>
              </w:rPr>
              <w:t>75</w:t>
            </w:r>
          </w:hyperlink>
        </w:p>
        <w:p w14:paraId="29FFF6CD" w14:textId="77777777" w:rsidR="00892C0E" w:rsidRPr="0075127F" w:rsidRDefault="00892C0E" w:rsidP="00892C0E">
          <w:pPr>
            <w:pStyle w:val="TOC1"/>
            <w:numPr>
              <w:ilvl w:val="0"/>
              <w:numId w:val="11"/>
            </w:numPr>
            <w:tabs>
              <w:tab w:val="left" w:pos="1180"/>
              <w:tab w:val="right" w:leader="dot" w:pos="10043"/>
            </w:tabs>
            <w:spacing w:before="140"/>
            <w:ind w:left="1180" w:hanging="200"/>
            <w:rPr>
              <w:lang w:val="sq-AL"/>
            </w:rPr>
          </w:pPr>
          <w:hyperlink w:anchor="_bookmark33" w:history="1">
            <w:r w:rsidRPr="0075127F">
              <w:rPr>
                <w:lang w:bidi="sq-AL"/>
              </w:rPr>
              <w:t>AFTËSIA PËR NDËRMARRJEN E DETYRIMEVE TË ANËTARËSISË</w:t>
            </w:r>
            <w:r w:rsidRPr="0075127F">
              <w:rPr>
                <w:lang w:val="sq-AL"/>
              </w:rPr>
              <w:tab/>
            </w:r>
            <w:r w:rsidRPr="0075127F">
              <w:rPr>
                <w:spacing w:val="-5"/>
                <w:lang w:val="sq-AL"/>
              </w:rPr>
              <w:t>77</w:t>
            </w:r>
          </w:hyperlink>
        </w:p>
        <w:p w14:paraId="5BABD496" w14:textId="77777777" w:rsidR="00892C0E" w:rsidRPr="0075127F" w:rsidRDefault="00892C0E" w:rsidP="00892C0E">
          <w:pPr>
            <w:pStyle w:val="TOC2"/>
            <w:tabs>
              <w:tab w:val="right" w:leader="dot" w:pos="10331"/>
            </w:tabs>
            <w:spacing w:before="139"/>
            <w:rPr>
              <w:lang w:val="sq-AL"/>
            </w:rPr>
          </w:pPr>
          <w:hyperlink w:anchor="_bookmark34" w:history="1">
            <w:r w:rsidRPr="0075127F">
              <w:rPr>
                <w:b/>
                <w:sz w:val="24"/>
                <w:lang w:bidi="sq-AL"/>
              </w:rPr>
              <w:t xml:space="preserve"> </w:t>
            </w:r>
            <w:r w:rsidRPr="0075127F">
              <w:rPr>
                <w:sz w:val="22"/>
                <w:lang w:bidi="sq-AL"/>
              </w:rPr>
              <w:t>G</w:t>
            </w:r>
            <w:r w:rsidRPr="0075127F">
              <w:rPr>
                <w:sz w:val="18"/>
                <w:lang w:bidi="sq-AL"/>
              </w:rPr>
              <w:t>RUP</w:t>
            </w:r>
            <w:r w:rsidRPr="0075127F">
              <w:rPr>
                <w:b/>
                <w:sz w:val="18"/>
                <w:lang w:bidi="sq-AL"/>
              </w:rPr>
              <w:t xml:space="preserve"> </w:t>
            </w:r>
            <w:r w:rsidRPr="0075127F">
              <w:rPr>
                <w:smallCaps/>
                <w:lang w:val="sq-AL"/>
              </w:rPr>
              <w:t>2:</w:t>
            </w:r>
            <w:r w:rsidRPr="0075127F">
              <w:rPr>
                <w:i/>
                <w:iCs/>
                <w:spacing w:val="-2"/>
                <w:lang w:val="sq-AL"/>
              </w:rPr>
              <w:t xml:space="preserve"> </w:t>
            </w:r>
            <w:r w:rsidRPr="0075127F">
              <w:rPr>
                <w:i/>
                <w:iCs/>
                <w:spacing w:val="-2"/>
                <w:sz w:val="18"/>
                <w:lang w:val="sq-AL"/>
              </w:rPr>
              <w:t>TREGU I BRENDSHËM</w:t>
            </w:r>
            <w:r w:rsidRPr="0075127F">
              <w:rPr>
                <w:smallCaps/>
                <w:lang w:val="sq-AL"/>
              </w:rPr>
              <w:tab/>
            </w:r>
            <w:r w:rsidRPr="0075127F">
              <w:rPr>
                <w:smallCaps/>
                <w:spacing w:val="-5"/>
                <w:lang w:val="sq-AL"/>
              </w:rPr>
              <w:t>77</w:t>
            </w:r>
          </w:hyperlink>
        </w:p>
        <w:p w14:paraId="6A076E95" w14:textId="77777777" w:rsidR="00892C0E" w:rsidRPr="0075127F" w:rsidRDefault="00892C0E" w:rsidP="00892C0E">
          <w:pPr>
            <w:pStyle w:val="TOC3"/>
            <w:tabs>
              <w:tab w:val="right" w:leader="dot" w:pos="10331"/>
            </w:tabs>
            <w:spacing w:before="19"/>
            <w:rPr>
              <w:lang w:val="sq-AL"/>
            </w:rPr>
          </w:pPr>
          <w:hyperlink w:anchor="_bookmark35" w:history="1">
            <w:r w:rsidRPr="0075127F">
              <w:rPr>
                <w:lang w:val="sq-AL"/>
              </w:rPr>
              <w:t xml:space="preserve"> Kapitulli 1:</w:t>
            </w:r>
            <w:r w:rsidRPr="0075127F">
              <w:rPr>
                <w:spacing w:val="-2"/>
                <w:lang w:val="sq-AL"/>
              </w:rPr>
              <w:t xml:space="preserve"> </w:t>
            </w:r>
            <w:proofErr w:type="spellStart"/>
            <w:r w:rsidRPr="0075127F">
              <w:rPr>
                <w:lang w:bidi="sq-AL"/>
              </w:rPr>
              <w:t>Lëvizja</w:t>
            </w:r>
            <w:proofErr w:type="spellEnd"/>
            <w:r w:rsidRPr="0075127F">
              <w:rPr>
                <w:lang w:bidi="sq-AL"/>
              </w:rPr>
              <w:t xml:space="preserve"> e </w:t>
            </w:r>
            <w:proofErr w:type="spellStart"/>
            <w:r w:rsidRPr="0075127F">
              <w:rPr>
                <w:lang w:bidi="sq-AL"/>
              </w:rPr>
              <w:t>lirë</w:t>
            </w:r>
            <w:proofErr w:type="spellEnd"/>
            <w:r w:rsidRPr="0075127F">
              <w:rPr>
                <w:lang w:bidi="sq-AL"/>
              </w:rPr>
              <w:t xml:space="preserve"> e </w:t>
            </w:r>
            <w:proofErr w:type="spellStart"/>
            <w:r w:rsidRPr="0075127F">
              <w:rPr>
                <w:lang w:bidi="sq-AL"/>
              </w:rPr>
              <w:t>mallrave</w:t>
            </w:r>
            <w:proofErr w:type="spellEnd"/>
            <w:r w:rsidRPr="0075127F">
              <w:rPr>
                <w:lang w:val="sq-AL"/>
              </w:rPr>
              <w:tab/>
            </w:r>
            <w:r w:rsidRPr="0075127F">
              <w:rPr>
                <w:spacing w:val="-5"/>
                <w:lang w:val="sq-AL"/>
              </w:rPr>
              <w:t>77</w:t>
            </w:r>
          </w:hyperlink>
        </w:p>
        <w:p w14:paraId="3A2A4024" w14:textId="77777777" w:rsidR="00892C0E" w:rsidRPr="0075127F" w:rsidRDefault="00892C0E" w:rsidP="00892C0E">
          <w:pPr>
            <w:pStyle w:val="TOC3"/>
            <w:tabs>
              <w:tab w:val="right" w:leader="dot" w:pos="10331"/>
            </w:tabs>
            <w:rPr>
              <w:lang w:val="sq-AL"/>
            </w:rPr>
          </w:pPr>
          <w:hyperlink w:anchor="_bookmark36" w:history="1">
            <w:r w:rsidRPr="0075127F">
              <w:rPr>
                <w:lang w:val="sq-AL"/>
              </w:rPr>
              <w:t xml:space="preserve"> Kapitulli 2:</w:t>
            </w:r>
            <w:r w:rsidRPr="0075127F">
              <w:rPr>
                <w:spacing w:val="-1"/>
                <w:lang w:val="sq-AL"/>
              </w:rPr>
              <w:t xml:space="preserve"> </w:t>
            </w:r>
            <w:r w:rsidRPr="0075127F">
              <w:rPr>
                <w:lang w:bidi="sq-AL"/>
              </w:rPr>
              <w:t xml:space="preserve">Liria e </w:t>
            </w:r>
            <w:proofErr w:type="spellStart"/>
            <w:r w:rsidRPr="0075127F">
              <w:rPr>
                <w:lang w:bidi="sq-AL"/>
              </w:rPr>
              <w:t>lëvizjes</w:t>
            </w:r>
            <w:proofErr w:type="spellEnd"/>
            <w:r w:rsidRPr="0075127F">
              <w:rPr>
                <w:lang w:bidi="sq-AL"/>
              </w:rPr>
              <w:t xml:space="preserve"> </w:t>
            </w:r>
            <w:proofErr w:type="spellStart"/>
            <w:r w:rsidRPr="0075127F">
              <w:rPr>
                <w:lang w:bidi="sq-AL"/>
              </w:rPr>
              <w:t>së</w:t>
            </w:r>
            <w:proofErr w:type="spellEnd"/>
            <w:r w:rsidRPr="0075127F">
              <w:rPr>
                <w:lang w:bidi="sq-AL"/>
              </w:rPr>
              <w:t xml:space="preserve"> </w:t>
            </w:r>
            <w:proofErr w:type="spellStart"/>
            <w:r w:rsidRPr="0075127F">
              <w:rPr>
                <w:lang w:bidi="sq-AL"/>
              </w:rPr>
              <w:t>punëtorëve</w:t>
            </w:r>
            <w:proofErr w:type="spellEnd"/>
            <w:r w:rsidRPr="0075127F">
              <w:rPr>
                <w:lang w:val="sq-AL"/>
              </w:rPr>
              <w:tab/>
            </w:r>
            <w:r w:rsidRPr="0075127F">
              <w:rPr>
                <w:spacing w:val="-5"/>
                <w:lang w:val="sq-AL"/>
              </w:rPr>
              <w:t>80</w:t>
            </w:r>
          </w:hyperlink>
        </w:p>
        <w:p w14:paraId="01EB8225" w14:textId="77777777" w:rsidR="00892C0E" w:rsidRPr="0075127F" w:rsidRDefault="00892C0E" w:rsidP="00892C0E">
          <w:pPr>
            <w:pStyle w:val="TOC3"/>
            <w:tabs>
              <w:tab w:val="right" w:leader="dot" w:pos="10331"/>
            </w:tabs>
            <w:spacing w:before="19"/>
            <w:rPr>
              <w:lang w:val="sq-AL"/>
            </w:rPr>
          </w:pPr>
          <w:hyperlink w:anchor="_bookmark37" w:history="1">
            <w:r w:rsidRPr="0075127F">
              <w:rPr>
                <w:lang w:val="sq-AL"/>
              </w:rPr>
              <w:t xml:space="preserve"> Kapitulli 3:</w:t>
            </w:r>
            <w:r w:rsidRPr="0075127F">
              <w:rPr>
                <w:spacing w:val="-2"/>
                <w:lang w:val="sq-AL"/>
              </w:rPr>
              <w:t xml:space="preserve"> </w:t>
            </w:r>
            <w:r w:rsidRPr="0075127F">
              <w:rPr>
                <w:lang w:bidi="sq-AL"/>
              </w:rPr>
              <w:t xml:space="preserve">E </w:t>
            </w:r>
            <w:proofErr w:type="spellStart"/>
            <w:r w:rsidRPr="0075127F">
              <w:rPr>
                <w:lang w:bidi="sq-AL"/>
              </w:rPr>
              <w:t>drejta</w:t>
            </w:r>
            <w:proofErr w:type="spellEnd"/>
            <w:r w:rsidRPr="0075127F">
              <w:rPr>
                <w:lang w:bidi="sq-AL"/>
              </w:rPr>
              <w:t xml:space="preserve"> e </w:t>
            </w:r>
            <w:proofErr w:type="spellStart"/>
            <w:r w:rsidRPr="0075127F">
              <w:rPr>
                <w:lang w:bidi="sq-AL"/>
              </w:rPr>
              <w:t>themelimit</w:t>
            </w:r>
            <w:proofErr w:type="spellEnd"/>
            <w:r w:rsidRPr="0075127F">
              <w:rPr>
                <w:lang w:bidi="sq-AL"/>
              </w:rPr>
              <w:t xml:space="preserve"> </w:t>
            </w:r>
            <w:proofErr w:type="spellStart"/>
            <w:r w:rsidRPr="0075127F">
              <w:rPr>
                <w:lang w:bidi="sq-AL"/>
              </w:rPr>
              <w:t>dhe</w:t>
            </w:r>
            <w:proofErr w:type="spellEnd"/>
            <w:r w:rsidRPr="0075127F">
              <w:rPr>
                <w:lang w:bidi="sq-AL"/>
              </w:rPr>
              <w:t xml:space="preserve"> </w:t>
            </w:r>
            <w:proofErr w:type="spellStart"/>
            <w:r w:rsidRPr="0075127F">
              <w:rPr>
                <w:lang w:bidi="sq-AL"/>
              </w:rPr>
              <w:t>liria</w:t>
            </w:r>
            <w:proofErr w:type="spellEnd"/>
            <w:r w:rsidRPr="0075127F">
              <w:rPr>
                <w:lang w:bidi="sq-AL"/>
              </w:rPr>
              <w:t xml:space="preserve"> e </w:t>
            </w:r>
            <w:proofErr w:type="spellStart"/>
            <w:r w:rsidRPr="0075127F">
              <w:rPr>
                <w:lang w:bidi="sq-AL"/>
              </w:rPr>
              <w:t>ofrimit</w:t>
            </w:r>
            <w:proofErr w:type="spellEnd"/>
            <w:r w:rsidRPr="0075127F">
              <w:rPr>
                <w:lang w:bidi="sq-AL"/>
              </w:rPr>
              <w:t xml:space="preserve"> </w:t>
            </w:r>
            <w:proofErr w:type="spellStart"/>
            <w:r w:rsidRPr="0075127F">
              <w:rPr>
                <w:lang w:bidi="sq-AL"/>
              </w:rPr>
              <w:t>të</w:t>
            </w:r>
            <w:proofErr w:type="spellEnd"/>
            <w:r w:rsidRPr="0075127F">
              <w:rPr>
                <w:lang w:bidi="sq-AL"/>
              </w:rPr>
              <w:t xml:space="preserve"> </w:t>
            </w:r>
            <w:proofErr w:type="spellStart"/>
            <w:r w:rsidRPr="0075127F">
              <w:rPr>
                <w:lang w:bidi="sq-AL"/>
              </w:rPr>
              <w:t>shërbimeve</w:t>
            </w:r>
            <w:proofErr w:type="spellEnd"/>
            <w:r w:rsidRPr="0075127F">
              <w:rPr>
                <w:lang w:val="sq-AL"/>
              </w:rPr>
              <w:tab/>
            </w:r>
            <w:r w:rsidRPr="0075127F">
              <w:rPr>
                <w:spacing w:val="-5"/>
                <w:lang w:val="sq-AL"/>
              </w:rPr>
              <w:t>81</w:t>
            </w:r>
          </w:hyperlink>
        </w:p>
        <w:p w14:paraId="42EC697B" w14:textId="77777777" w:rsidR="00892C0E" w:rsidRPr="0075127F" w:rsidRDefault="00892C0E" w:rsidP="00892C0E">
          <w:pPr>
            <w:pStyle w:val="TOC3"/>
            <w:tabs>
              <w:tab w:val="right" w:leader="dot" w:pos="10331"/>
            </w:tabs>
            <w:rPr>
              <w:lang w:val="sq-AL"/>
            </w:rPr>
          </w:pPr>
          <w:hyperlink w:anchor="_bookmark38" w:history="1">
            <w:r w:rsidRPr="0075127F">
              <w:rPr>
                <w:lang w:val="sq-AL"/>
              </w:rPr>
              <w:t xml:space="preserve"> Kapitulli 4:</w:t>
            </w:r>
            <w:r w:rsidRPr="0075127F">
              <w:rPr>
                <w:spacing w:val="-2"/>
                <w:lang w:val="sq-AL"/>
              </w:rPr>
              <w:t xml:space="preserve"> </w:t>
            </w:r>
            <w:proofErr w:type="spellStart"/>
            <w:r w:rsidRPr="0075127F">
              <w:rPr>
                <w:lang w:bidi="sq-AL"/>
              </w:rPr>
              <w:t>Lëvizja</w:t>
            </w:r>
            <w:proofErr w:type="spellEnd"/>
            <w:r w:rsidRPr="0075127F">
              <w:rPr>
                <w:lang w:bidi="sq-AL"/>
              </w:rPr>
              <w:t xml:space="preserve"> e </w:t>
            </w:r>
            <w:proofErr w:type="spellStart"/>
            <w:r w:rsidRPr="0075127F">
              <w:rPr>
                <w:lang w:bidi="sq-AL"/>
              </w:rPr>
              <w:t>lirë</w:t>
            </w:r>
            <w:proofErr w:type="spellEnd"/>
            <w:r w:rsidRPr="0075127F">
              <w:rPr>
                <w:lang w:bidi="sq-AL"/>
              </w:rPr>
              <w:t xml:space="preserve"> e </w:t>
            </w:r>
            <w:proofErr w:type="spellStart"/>
            <w:r w:rsidRPr="0075127F">
              <w:rPr>
                <w:lang w:bidi="sq-AL"/>
              </w:rPr>
              <w:t>kapitalit</w:t>
            </w:r>
            <w:proofErr w:type="spellEnd"/>
            <w:r w:rsidRPr="0075127F">
              <w:rPr>
                <w:lang w:val="sq-AL"/>
              </w:rPr>
              <w:tab/>
            </w:r>
            <w:r w:rsidRPr="0075127F">
              <w:rPr>
                <w:spacing w:val="-5"/>
                <w:lang w:val="sq-AL"/>
              </w:rPr>
              <w:t>82</w:t>
            </w:r>
          </w:hyperlink>
        </w:p>
        <w:p w14:paraId="02977BB1" w14:textId="77777777" w:rsidR="00892C0E" w:rsidRPr="0075127F" w:rsidRDefault="00892C0E" w:rsidP="00892C0E">
          <w:pPr>
            <w:pStyle w:val="TOC3"/>
            <w:tabs>
              <w:tab w:val="right" w:leader="dot" w:pos="10331"/>
            </w:tabs>
            <w:spacing w:before="19"/>
            <w:rPr>
              <w:lang w:val="sq-AL"/>
            </w:rPr>
          </w:pPr>
          <w:hyperlink w:anchor="_bookmark39" w:history="1">
            <w:r w:rsidRPr="0075127F">
              <w:rPr>
                <w:lang w:val="sq-AL"/>
              </w:rPr>
              <w:t xml:space="preserve"> Kapitulli 6:</w:t>
            </w:r>
            <w:r w:rsidRPr="0075127F">
              <w:rPr>
                <w:spacing w:val="-2"/>
                <w:lang w:val="sq-AL"/>
              </w:rPr>
              <w:t xml:space="preserve"> </w:t>
            </w:r>
            <w:proofErr w:type="spellStart"/>
            <w:r w:rsidRPr="0075127F">
              <w:rPr>
                <w:lang w:bidi="sq-AL"/>
              </w:rPr>
              <w:t>Legjislacioni</w:t>
            </w:r>
            <w:proofErr w:type="spellEnd"/>
            <w:r w:rsidRPr="0075127F">
              <w:rPr>
                <w:lang w:bidi="sq-AL"/>
              </w:rPr>
              <w:t xml:space="preserve"> </w:t>
            </w:r>
            <w:proofErr w:type="spellStart"/>
            <w:r w:rsidRPr="0075127F">
              <w:rPr>
                <w:lang w:bidi="sq-AL"/>
              </w:rPr>
              <w:t>për</w:t>
            </w:r>
            <w:proofErr w:type="spellEnd"/>
            <w:r w:rsidRPr="0075127F">
              <w:rPr>
                <w:lang w:bidi="sq-AL"/>
              </w:rPr>
              <w:t xml:space="preserve"> </w:t>
            </w:r>
            <w:proofErr w:type="spellStart"/>
            <w:r w:rsidRPr="0075127F">
              <w:rPr>
                <w:lang w:bidi="sq-AL"/>
              </w:rPr>
              <w:t>shoqëritë</w:t>
            </w:r>
            <w:proofErr w:type="spellEnd"/>
            <w:r w:rsidRPr="0075127F">
              <w:rPr>
                <w:lang w:bidi="sq-AL"/>
              </w:rPr>
              <w:t xml:space="preserve"> </w:t>
            </w:r>
            <w:proofErr w:type="spellStart"/>
            <w:r w:rsidRPr="0075127F">
              <w:rPr>
                <w:lang w:bidi="sq-AL"/>
              </w:rPr>
              <w:t>tregtare</w:t>
            </w:r>
            <w:proofErr w:type="spellEnd"/>
            <w:r w:rsidRPr="0075127F">
              <w:rPr>
                <w:lang w:val="sq-AL"/>
              </w:rPr>
              <w:tab/>
            </w:r>
            <w:r w:rsidRPr="0075127F">
              <w:rPr>
                <w:spacing w:val="-5"/>
                <w:lang w:val="sq-AL"/>
              </w:rPr>
              <w:t>84</w:t>
            </w:r>
          </w:hyperlink>
        </w:p>
        <w:p w14:paraId="0870DDEA" w14:textId="77777777" w:rsidR="00892C0E" w:rsidRPr="0075127F" w:rsidRDefault="00892C0E" w:rsidP="00892C0E">
          <w:pPr>
            <w:pStyle w:val="TOC3"/>
            <w:tabs>
              <w:tab w:val="right" w:leader="dot" w:pos="10331"/>
            </w:tabs>
            <w:spacing w:before="19"/>
            <w:rPr>
              <w:lang w:val="sq-AL"/>
            </w:rPr>
          </w:pPr>
          <w:hyperlink w:anchor="_bookmark40" w:history="1">
            <w:r w:rsidRPr="0075127F">
              <w:rPr>
                <w:lang w:val="sq-AL"/>
              </w:rPr>
              <w:t xml:space="preserve"> Kapitulli 7:</w:t>
            </w:r>
            <w:r w:rsidRPr="0075127F">
              <w:rPr>
                <w:spacing w:val="-3"/>
                <w:lang w:val="sq-AL"/>
              </w:rPr>
              <w:t xml:space="preserve"> </w:t>
            </w:r>
            <w:proofErr w:type="spellStart"/>
            <w:r w:rsidRPr="0075127F">
              <w:rPr>
                <w:lang w:bidi="sq-AL"/>
              </w:rPr>
              <w:t>Legjislacioni</w:t>
            </w:r>
            <w:proofErr w:type="spellEnd"/>
            <w:r w:rsidRPr="0075127F">
              <w:rPr>
                <w:lang w:bidi="sq-AL"/>
              </w:rPr>
              <w:t xml:space="preserve"> </w:t>
            </w:r>
            <w:proofErr w:type="spellStart"/>
            <w:r w:rsidRPr="0075127F">
              <w:rPr>
                <w:lang w:bidi="sq-AL"/>
              </w:rPr>
              <w:t>i</w:t>
            </w:r>
            <w:proofErr w:type="spellEnd"/>
            <w:r w:rsidRPr="0075127F">
              <w:rPr>
                <w:lang w:bidi="sq-AL"/>
              </w:rPr>
              <w:t xml:space="preserve"> </w:t>
            </w:r>
            <w:proofErr w:type="spellStart"/>
            <w:r w:rsidRPr="0075127F">
              <w:rPr>
                <w:lang w:bidi="sq-AL"/>
              </w:rPr>
              <w:t>pronësisë</w:t>
            </w:r>
            <w:proofErr w:type="spellEnd"/>
            <w:r w:rsidRPr="0075127F">
              <w:rPr>
                <w:lang w:bidi="sq-AL"/>
              </w:rPr>
              <w:t xml:space="preserve"> </w:t>
            </w:r>
            <w:proofErr w:type="spellStart"/>
            <w:r w:rsidRPr="0075127F">
              <w:rPr>
                <w:lang w:bidi="sq-AL"/>
              </w:rPr>
              <w:t>intelektuale</w:t>
            </w:r>
            <w:proofErr w:type="spellEnd"/>
            <w:r w:rsidRPr="0075127F">
              <w:rPr>
                <w:lang w:val="sq-AL"/>
              </w:rPr>
              <w:tab/>
            </w:r>
            <w:r w:rsidRPr="0075127F">
              <w:rPr>
                <w:spacing w:val="-5"/>
                <w:lang w:val="sq-AL"/>
              </w:rPr>
              <w:t>84</w:t>
            </w:r>
          </w:hyperlink>
        </w:p>
        <w:p w14:paraId="6CFE1EB8" w14:textId="77777777" w:rsidR="00892C0E" w:rsidRPr="0075127F" w:rsidRDefault="00892C0E" w:rsidP="00892C0E">
          <w:pPr>
            <w:pStyle w:val="TOC3"/>
            <w:tabs>
              <w:tab w:val="right" w:leader="dot" w:pos="10331"/>
            </w:tabs>
            <w:spacing w:before="19"/>
            <w:rPr>
              <w:lang w:val="sq-AL"/>
            </w:rPr>
          </w:pPr>
          <w:hyperlink w:anchor="_bookmark41" w:history="1">
            <w:r w:rsidRPr="0075127F">
              <w:rPr>
                <w:lang w:val="sq-AL"/>
              </w:rPr>
              <w:t xml:space="preserve"> Kapitulli 8:</w:t>
            </w:r>
            <w:r w:rsidRPr="0075127F">
              <w:rPr>
                <w:spacing w:val="-3"/>
                <w:lang w:val="sq-AL"/>
              </w:rPr>
              <w:t xml:space="preserve"> </w:t>
            </w:r>
            <w:proofErr w:type="spellStart"/>
            <w:r w:rsidRPr="0075127F">
              <w:rPr>
                <w:lang w:bidi="sq-AL"/>
              </w:rPr>
              <w:t>Politika</w:t>
            </w:r>
            <w:proofErr w:type="spellEnd"/>
            <w:r w:rsidRPr="0075127F">
              <w:rPr>
                <w:lang w:bidi="sq-AL"/>
              </w:rPr>
              <w:t xml:space="preserve"> e </w:t>
            </w:r>
            <w:proofErr w:type="spellStart"/>
            <w:r w:rsidRPr="0075127F">
              <w:rPr>
                <w:lang w:bidi="sq-AL"/>
              </w:rPr>
              <w:t>konkurrencës</w:t>
            </w:r>
            <w:proofErr w:type="spellEnd"/>
            <w:r w:rsidRPr="0075127F">
              <w:rPr>
                <w:lang w:val="sq-AL"/>
              </w:rPr>
              <w:tab/>
            </w:r>
            <w:r w:rsidRPr="0075127F">
              <w:rPr>
                <w:spacing w:val="-5"/>
                <w:lang w:val="sq-AL"/>
              </w:rPr>
              <w:t>86</w:t>
            </w:r>
          </w:hyperlink>
        </w:p>
        <w:p w14:paraId="6BED58F7" w14:textId="77777777" w:rsidR="00892C0E" w:rsidRPr="0075127F" w:rsidRDefault="00892C0E" w:rsidP="00892C0E">
          <w:pPr>
            <w:pStyle w:val="TOC3"/>
            <w:tabs>
              <w:tab w:val="right" w:leader="dot" w:pos="10331"/>
            </w:tabs>
            <w:rPr>
              <w:lang w:val="sq-AL"/>
            </w:rPr>
          </w:pPr>
          <w:hyperlink w:anchor="_bookmark42" w:history="1">
            <w:r w:rsidRPr="0075127F">
              <w:rPr>
                <w:lang w:val="sq-AL"/>
              </w:rPr>
              <w:t xml:space="preserve"> Kapitulli 9:</w:t>
            </w:r>
            <w:r w:rsidRPr="0075127F">
              <w:rPr>
                <w:spacing w:val="-3"/>
                <w:lang w:val="sq-AL"/>
              </w:rPr>
              <w:t xml:space="preserve"> </w:t>
            </w:r>
            <w:r w:rsidRPr="0075127F">
              <w:rPr>
                <w:spacing w:val="-2"/>
                <w:lang w:val="sq-AL"/>
              </w:rPr>
              <w:t>Shërbimet financiare</w:t>
            </w:r>
            <w:r w:rsidRPr="0075127F">
              <w:rPr>
                <w:lang w:val="sq-AL"/>
              </w:rPr>
              <w:tab/>
            </w:r>
            <w:r w:rsidRPr="0075127F">
              <w:rPr>
                <w:spacing w:val="-5"/>
                <w:lang w:val="sq-AL"/>
              </w:rPr>
              <w:t>87</w:t>
            </w:r>
          </w:hyperlink>
        </w:p>
        <w:p w14:paraId="0B7AEE73" w14:textId="77777777" w:rsidR="00892C0E" w:rsidRPr="0075127F" w:rsidRDefault="00892C0E" w:rsidP="00892C0E">
          <w:pPr>
            <w:pStyle w:val="TOC3"/>
            <w:tabs>
              <w:tab w:val="right" w:leader="dot" w:pos="10331"/>
            </w:tabs>
            <w:spacing w:before="19"/>
            <w:rPr>
              <w:lang w:val="sq-AL"/>
            </w:rPr>
          </w:pPr>
          <w:hyperlink w:anchor="_bookmark43" w:history="1">
            <w:r w:rsidRPr="0075127F">
              <w:rPr>
                <w:lang w:val="sq-AL"/>
              </w:rPr>
              <w:t xml:space="preserve"> Kapitulli 28:</w:t>
            </w:r>
            <w:r w:rsidRPr="0075127F">
              <w:rPr>
                <w:spacing w:val="-2"/>
                <w:lang w:val="sq-AL"/>
              </w:rPr>
              <w:t xml:space="preserve"> Mbrojtja e konsumatorit dhe e shëndetit</w:t>
            </w:r>
            <w:r w:rsidRPr="0075127F">
              <w:rPr>
                <w:lang w:val="sq-AL"/>
              </w:rPr>
              <w:tab/>
            </w:r>
            <w:r w:rsidRPr="0075127F">
              <w:rPr>
                <w:spacing w:val="-5"/>
                <w:lang w:val="sq-AL"/>
              </w:rPr>
              <w:t>90</w:t>
            </w:r>
          </w:hyperlink>
        </w:p>
        <w:p w14:paraId="061A68DA" w14:textId="77777777" w:rsidR="00892C0E" w:rsidRPr="0075127F" w:rsidRDefault="00892C0E" w:rsidP="00892C0E">
          <w:pPr>
            <w:pStyle w:val="TOC2"/>
            <w:tabs>
              <w:tab w:val="right" w:leader="dot" w:pos="10331"/>
            </w:tabs>
            <w:rPr>
              <w:lang w:val="sq-AL"/>
            </w:rPr>
          </w:pPr>
          <w:hyperlink w:anchor="_bookmark44" w:history="1">
            <w:r w:rsidRPr="0075127F">
              <w:rPr>
                <w:lang w:val="sq-AL"/>
              </w:rPr>
              <w:t xml:space="preserve"> </w:t>
            </w:r>
            <w:r w:rsidRPr="0075127F">
              <w:rPr>
                <w:smallCaps/>
                <w:lang w:val="sq-AL"/>
              </w:rPr>
              <w:t>GRUP 3:</w:t>
            </w:r>
            <w:r w:rsidRPr="0075127F">
              <w:rPr>
                <w:smallCaps/>
                <w:spacing w:val="-9"/>
                <w:lang w:val="sq-AL"/>
              </w:rPr>
              <w:t xml:space="preserve"> </w:t>
            </w:r>
            <w:proofErr w:type="spellStart"/>
            <w:r w:rsidRPr="0075127F">
              <w:rPr>
                <w:i/>
                <w:iCs/>
                <w:spacing w:val="-2"/>
                <w:lang w:val="sq-AL"/>
              </w:rPr>
              <w:t>Konkurrueshmëria</w:t>
            </w:r>
            <w:proofErr w:type="spellEnd"/>
            <w:r w:rsidRPr="0075127F">
              <w:rPr>
                <w:i/>
                <w:iCs/>
                <w:spacing w:val="-2"/>
                <w:lang w:val="sq-AL"/>
              </w:rPr>
              <w:t xml:space="preserve"> dhe Rritja Gjithëpërfshirëse</w:t>
            </w:r>
            <w:r w:rsidRPr="0075127F">
              <w:rPr>
                <w:smallCaps/>
                <w:lang w:val="sq-AL"/>
              </w:rPr>
              <w:tab/>
            </w:r>
            <w:r w:rsidRPr="0075127F">
              <w:rPr>
                <w:smallCaps/>
                <w:spacing w:val="-7"/>
                <w:lang w:val="sq-AL"/>
              </w:rPr>
              <w:t>93</w:t>
            </w:r>
          </w:hyperlink>
        </w:p>
        <w:p w14:paraId="3E353A14" w14:textId="77777777" w:rsidR="00892C0E" w:rsidRPr="0075127F" w:rsidRDefault="00892C0E" w:rsidP="00892C0E">
          <w:pPr>
            <w:pStyle w:val="TOC3"/>
            <w:tabs>
              <w:tab w:val="right" w:leader="dot" w:pos="10331"/>
            </w:tabs>
            <w:rPr>
              <w:lang w:val="sq-AL"/>
            </w:rPr>
          </w:pPr>
          <w:hyperlink w:anchor="_bookmark45" w:history="1">
            <w:r w:rsidRPr="0075127F">
              <w:rPr>
                <w:lang w:val="sq-AL"/>
              </w:rPr>
              <w:t xml:space="preserve"> Kapitulli 10:</w:t>
            </w:r>
            <w:r w:rsidRPr="0075127F">
              <w:rPr>
                <w:spacing w:val="-3"/>
                <w:lang w:val="sq-AL"/>
              </w:rPr>
              <w:t xml:space="preserve"> </w:t>
            </w:r>
            <w:r w:rsidRPr="0075127F">
              <w:rPr>
                <w:lang w:val="sq-AL"/>
              </w:rPr>
              <w:t>Transformimi digjital dhe media</w:t>
            </w:r>
            <w:r w:rsidRPr="0075127F">
              <w:rPr>
                <w:lang w:val="sq-AL"/>
              </w:rPr>
              <w:tab/>
            </w:r>
            <w:r w:rsidRPr="0075127F">
              <w:rPr>
                <w:spacing w:val="-5"/>
                <w:lang w:val="sq-AL"/>
              </w:rPr>
              <w:t>93</w:t>
            </w:r>
          </w:hyperlink>
        </w:p>
        <w:p w14:paraId="1B01E4AA" w14:textId="77777777" w:rsidR="00892C0E" w:rsidRPr="0075127F" w:rsidRDefault="00892C0E" w:rsidP="00892C0E">
          <w:pPr>
            <w:pStyle w:val="TOC3"/>
            <w:tabs>
              <w:tab w:val="right" w:leader="dot" w:pos="10331"/>
            </w:tabs>
            <w:spacing w:before="19"/>
            <w:rPr>
              <w:lang w:val="sq-AL"/>
            </w:rPr>
          </w:pPr>
          <w:hyperlink w:anchor="_bookmark46" w:history="1">
            <w:r w:rsidRPr="0075127F">
              <w:rPr>
                <w:lang w:val="sq-AL"/>
              </w:rPr>
              <w:t xml:space="preserve"> Kapitulli 16:</w:t>
            </w:r>
            <w:r w:rsidRPr="0075127F">
              <w:rPr>
                <w:spacing w:val="-1"/>
                <w:lang w:val="sq-AL"/>
              </w:rPr>
              <w:t xml:space="preserve"> </w:t>
            </w:r>
            <w:r w:rsidRPr="0075127F">
              <w:rPr>
                <w:spacing w:val="-2"/>
                <w:lang w:val="sq-AL"/>
              </w:rPr>
              <w:t>Tatimi</w:t>
            </w:r>
            <w:r w:rsidRPr="0075127F">
              <w:rPr>
                <w:lang w:val="sq-AL"/>
              </w:rPr>
              <w:tab/>
            </w:r>
            <w:r w:rsidRPr="0075127F">
              <w:rPr>
                <w:spacing w:val="-5"/>
                <w:lang w:val="sq-AL"/>
              </w:rPr>
              <w:t>95</w:t>
            </w:r>
          </w:hyperlink>
        </w:p>
        <w:p w14:paraId="32AE079B" w14:textId="77777777" w:rsidR="00892C0E" w:rsidRPr="002C6BF3" w:rsidRDefault="00892C0E" w:rsidP="00892C0E">
          <w:pPr>
            <w:pStyle w:val="TOC3"/>
            <w:tabs>
              <w:tab w:val="right" w:leader="dot" w:pos="10331"/>
            </w:tabs>
            <w:rPr>
              <w:lang w:val="sq-AL"/>
            </w:rPr>
          </w:pPr>
          <w:hyperlink w:anchor="_bookmark47" w:history="1">
            <w:r w:rsidRPr="002C6BF3">
              <w:rPr>
                <w:lang w:val="sq-AL"/>
              </w:rPr>
              <w:t xml:space="preserve"> Kapitulli 17:</w:t>
            </w:r>
            <w:r w:rsidRPr="002C6BF3">
              <w:rPr>
                <w:spacing w:val="-4"/>
                <w:lang w:val="sq-AL"/>
              </w:rPr>
              <w:t xml:space="preserve"> </w:t>
            </w:r>
            <w:r w:rsidRPr="002C6BF3">
              <w:rPr>
                <w:lang w:val="sq-AL"/>
              </w:rPr>
              <w:t>Politika ekonomike dhe monetare</w:t>
            </w:r>
            <w:r w:rsidRPr="002C6BF3">
              <w:rPr>
                <w:lang w:val="sq-AL"/>
              </w:rPr>
              <w:tab/>
            </w:r>
            <w:r w:rsidRPr="002C6BF3">
              <w:rPr>
                <w:spacing w:val="-5"/>
                <w:lang w:val="sq-AL"/>
              </w:rPr>
              <w:t>97</w:t>
            </w:r>
          </w:hyperlink>
        </w:p>
        <w:p w14:paraId="5966817A" w14:textId="77777777" w:rsidR="00892C0E" w:rsidRPr="002C6BF3" w:rsidRDefault="00892C0E" w:rsidP="00892C0E">
          <w:pPr>
            <w:pStyle w:val="TOC3"/>
            <w:tabs>
              <w:tab w:val="right" w:leader="dot" w:pos="10331"/>
            </w:tabs>
            <w:spacing w:before="18"/>
            <w:rPr>
              <w:lang w:val="sq-AL"/>
            </w:rPr>
          </w:pPr>
          <w:hyperlink w:anchor="_bookmark48" w:history="1">
            <w:r w:rsidRPr="002C6BF3">
              <w:rPr>
                <w:lang w:val="sq-AL"/>
              </w:rPr>
              <w:t xml:space="preserve"> Kapitulli 19:</w:t>
            </w:r>
            <w:r w:rsidRPr="002C6BF3">
              <w:rPr>
                <w:spacing w:val="-3"/>
                <w:lang w:val="sq-AL"/>
              </w:rPr>
              <w:t xml:space="preserve"> </w:t>
            </w:r>
            <w:r w:rsidRPr="002C6BF3">
              <w:rPr>
                <w:lang w:val="sq-AL"/>
              </w:rPr>
              <w:t>Politika sociale dhe punësimi</w:t>
            </w:r>
            <w:r w:rsidRPr="002C6BF3">
              <w:rPr>
                <w:lang w:val="sq-AL"/>
              </w:rPr>
              <w:tab/>
            </w:r>
            <w:r w:rsidRPr="002C6BF3">
              <w:rPr>
                <w:spacing w:val="-5"/>
                <w:lang w:val="sq-AL"/>
              </w:rPr>
              <w:t>99</w:t>
            </w:r>
          </w:hyperlink>
        </w:p>
        <w:p w14:paraId="4C81F9B0" w14:textId="77777777" w:rsidR="00892C0E" w:rsidRPr="002C6BF3" w:rsidRDefault="00892C0E" w:rsidP="00892C0E">
          <w:pPr>
            <w:pStyle w:val="TOC3"/>
            <w:tabs>
              <w:tab w:val="right" w:leader="dot" w:pos="10330"/>
            </w:tabs>
            <w:rPr>
              <w:lang w:val="sq-AL"/>
            </w:rPr>
          </w:pPr>
          <w:hyperlink w:anchor="_bookmark49" w:history="1">
            <w:r w:rsidRPr="002C6BF3">
              <w:rPr>
                <w:lang w:val="sq-AL"/>
              </w:rPr>
              <w:t xml:space="preserve"> Kapitulli 20:</w:t>
            </w:r>
            <w:r w:rsidRPr="002C6BF3">
              <w:rPr>
                <w:spacing w:val="-3"/>
                <w:lang w:val="sq-AL"/>
              </w:rPr>
              <w:t xml:space="preserve"> </w:t>
            </w:r>
            <w:r w:rsidRPr="002C6BF3">
              <w:rPr>
                <w:lang w:val="sq-AL"/>
              </w:rPr>
              <w:t>Sipërmarrja dhe politika industriale</w:t>
            </w:r>
            <w:r w:rsidRPr="002C6BF3">
              <w:rPr>
                <w:lang w:val="sq-AL"/>
              </w:rPr>
              <w:tab/>
            </w:r>
            <w:r w:rsidRPr="002C6BF3">
              <w:rPr>
                <w:spacing w:val="-5"/>
                <w:lang w:val="sq-AL"/>
              </w:rPr>
              <w:t>102</w:t>
            </w:r>
          </w:hyperlink>
        </w:p>
        <w:p w14:paraId="3154C302" w14:textId="77777777" w:rsidR="00892C0E" w:rsidRPr="002C6BF3" w:rsidRDefault="00892C0E" w:rsidP="00892C0E">
          <w:pPr>
            <w:pStyle w:val="TOC3"/>
            <w:tabs>
              <w:tab w:val="right" w:leader="dot" w:pos="10330"/>
            </w:tabs>
            <w:spacing w:before="19"/>
            <w:rPr>
              <w:lang w:val="sq-AL"/>
            </w:rPr>
          </w:pPr>
          <w:hyperlink w:anchor="_bookmark50" w:history="1">
            <w:r w:rsidRPr="002C6BF3">
              <w:rPr>
                <w:lang w:val="sq-AL"/>
              </w:rPr>
              <w:t xml:space="preserve"> Kapitulli 25:</w:t>
            </w:r>
            <w:r w:rsidRPr="002C6BF3">
              <w:rPr>
                <w:spacing w:val="-3"/>
                <w:lang w:val="sq-AL"/>
              </w:rPr>
              <w:t xml:space="preserve"> </w:t>
            </w:r>
            <w:r w:rsidRPr="002C6BF3">
              <w:rPr>
                <w:lang w:val="sq-AL"/>
              </w:rPr>
              <w:t>Shkenca dhe kërkimi</w:t>
            </w:r>
            <w:r w:rsidRPr="002C6BF3">
              <w:rPr>
                <w:lang w:val="sq-AL"/>
              </w:rPr>
              <w:tab/>
            </w:r>
            <w:r w:rsidRPr="002C6BF3">
              <w:rPr>
                <w:spacing w:val="-5"/>
                <w:lang w:val="sq-AL"/>
              </w:rPr>
              <w:t>104</w:t>
            </w:r>
          </w:hyperlink>
        </w:p>
        <w:p w14:paraId="1BC9F70D" w14:textId="77777777" w:rsidR="00892C0E" w:rsidRPr="0075127F" w:rsidRDefault="00892C0E" w:rsidP="00892C0E">
          <w:pPr>
            <w:pStyle w:val="TOC3"/>
            <w:tabs>
              <w:tab w:val="right" w:leader="dot" w:pos="10330"/>
            </w:tabs>
            <w:rPr>
              <w:lang w:val="sq-AL"/>
            </w:rPr>
          </w:pPr>
          <w:hyperlink w:anchor="_bookmark51" w:history="1">
            <w:r w:rsidRPr="002C6BF3">
              <w:rPr>
                <w:lang w:val="sq-AL"/>
              </w:rPr>
              <w:t xml:space="preserve"> Kapitulli 26: Arsimi dhe kultura</w:t>
            </w:r>
            <w:r w:rsidRPr="002C6BF3">
              <w:rPr>
                <w:lang w:val="sq-AL"/>
              </w:rPr>
              <w:tab/>
            </w:r>
            <w:r w:rsidRPr="002C6BF3">
              <w:rPr>
                <w:spacing w:val="-5"/>
                <w:lang w:val="sq-AL"/>
              </w:rPr>
              <w:t>106</w:t>
            </w:r>
          </w:hyperlink>
        </w:p>
        <w:p w14:paraId="2E17609A" w14:textId="77777777" w:rsidR="00892C0E" w:rsidRPr="0075127F" w:rsidRDefault="00892C0E" w:rsidP="00892C0E">
          <w:pPr>
            <w:pStyle w:val="TOC3"/>
            <w:tabs>
              <w:tab w:val="right" w:leader="dot" w:pos="10330"/>
            </w:tabs>
            <w:spacing w:before="19"/>
            <w:rPr>
              <w:lang w:val="sq-AL"/>
            </w:rPr>
          </w:pPr>
          <w:hyperlink w:anchor="_bookmark52" w:history="1">
            <w:r w:rsidRPr="0075127F">
              <w:rPr>
                <w:lang w:val="sq-AL"/>
              </w:rPr>
              <w:t xml:space="preserve"> Kapitulli 29:</w:t>
            </w:r>
            <w:r w:rsidRPr="0075127F">
              <w:rPr>
                <w:spacing w:val="-2"/>
                <w:lang w:val="sq-AL"/>
              </w:rPr>
              <w:t xml:space="preserve"> </w:t>
            </w:r>
            <w:r w:rsidRPr="0075127F">
              <w:rPr>
                <w:lang w:val="sq-AL"/>
              </w:rPr>
              <w:t>Bashkimi doganor</w:t>
            </w:r>
            <w:r w:rsidRPr="0075127F">
              <w:rPr>
                <w:lang w:val="sq-AL"/>
              </w:rPr>
              <w:tab/>
            </w:r>
            <w:r w:rsidRPr="0075127F">
              <w:rPr>
                <w:spacing w:val="-5"/>
                <w:lang w:val="sq-AL"/>
              </w:rPr>
              <w:t>108</w:t>
            </w:r>
          </w:hyperlink>
        </w:p>
        <w:p w14:paraId="51E1B43C" w14:textId="77777777" w:rsidR="00892C0E" w:rsidRPr="0075127F" w:rsidRDefault="00892C0E" w:rsidP="00892C0E">
          <w:pPr>
            <w:pStyle w:val="TOC3"/>
            <w:tabs>
              <w:tab w:val="right" w:leader="dot" w:pos="10330"/>
            </w:tabs>
            <w:spacing w:before="19"/>
            <w:rPr>
              <w:lang w:val="sq-AL"/>
            </w:rPr>
          </w:pPr>
          <w:hyperlink w:anchor="_bookmark53" w:history="1">
            <w:r w:rsidRPr="0075127F">
              <w:rPr>
                <w:b/>
                <w:sz w:val="19"/>
                <w:lang w:val="sq-AL"/>
              </w:rPr>
              <w:t xml:space="preserve"> </w:t>
            </w:r>
            <w:r w:rsidRPr="0075127F">
              <w:rPr>
                <w:i w:val="0"/>
                <w:lang w:val="sq-AL"/>
              </w:rPr>
              <w:t>GRUP</w:t>
            </w:r>
            <w:r w:rsidRPr="0075127F">
              <w:rPr>
                <w:b/>
                <w:sz w:val="19"/>
                <w:lang w:val="sq-AL"/>
              </w:rPr>
              <w:t xml:space="preserve"> </w:t>
            </w:r>
            <w:r w:rsidRPr="0075127F">
              <w:rPr>
                <w:smallCaps/>
                <w:lang w:val="sq-AL"/>
              </w:rPr>
              <w:t>4:</w:t>
            </w:r>
            <w:r w:rsidRPr="0075127F">
              <w:rPr>
                <w:smallCaps/>
                <w:spacing w:val="-9"/>
                <w:lang w:val="sq-AL"/>
              </w:rPr>
              <w:t xml:space="preserve"> </w:t>
            </w:r>
            <w:r w:rsidRPr="0065578F">
              <w:rPr>
                <w:sz w:val="18"/>
                <w:lang w:val="sq-AL"/>
              </w:rPr>
              <w:t>AGJENDA E GJELBËR DHE KONEKTIVITETI I QËNDRUESHËM</w:t>
            </w:r>
            <w:r w:rsidRPr="0075127F">
              <w:rPr>
                <w:smallCaps/>
                <w:lang w:val="sq-AL"/>
              </w:rPr>
              <w:tab/>
            </w:r>
            <w:r w:rsidRPr="0075127F">
              <w:rPr>
                <w:smallCaps/>
                <w:spacing w:val="-5"/>
                <w:lang w:val="sq-AL"/>
              </w:rPr>
              <w:t>110</w:t>
            </w:r>
          </w:hyperlink>
        </w:p>
        <w:p w14:paraId="5ACC35CA" w14:textId="77777777" w:rsidR="00892C0E" w:rsidRPr="0075127F" w:rsidRDefault="00892C0E" w:rsidP="00892C0E">
          <w:pPr>
            <w:pStyle w:val="TOC3"/>
            <w:tabs>
              <w:tab w:val="right" w:leader="dot" w:pos="10330"/>
            </w:tabs>
            <w:rPr>
              <w:lang w:val="sq-AL"/>
            </w:rPr>
          </w:pPr>
          <w:hyperlink w:anchor="_bookmark54" w:history="1">
            <w:r w:rsidRPr="0075127F">
              <w:t xml:space="preserve"> </w:t>
            </w:r>
            <w:r w:rsidRPr="0075127F">
              <w:rPr>
                <w:lang w:val="sq-AL"/>
              </w:rPr>
              <w:t>Kapitulli 14:</w:t>
            </w:r>
            <w:r w:rsidRPr="0075127F">
              <w:rPr>
                <w:spacing w:val="-1"/>
                <w:lang w:val="sq-AL"/>
              </w:rPr>
              <w:t xml:space="preserve"> </w:t>
            </w:r>
            <w:r w:rsidRPr="0075127F">
              <w:rPr>
                <w:spacing w:val="-2"/>
                <w:lang w:val="sq-AL"/>
              </w:rPr>
              <w:t>Transport</w:t>
            </w:r>
            <w:r w:rsidRPr="0075127F">
              <w:rPr>
                <w:lang w:val="sq-AL"/>
              </w:rPr>
              <w:tab/>
            </w:r>
            <w:r w:rsidRPr="0075127F">
              <w:rPr>
                <w:spacing w:val="-5"/>
                <w:lang w:val="sq-AL"/>
              </w:rPr>
              <w:t>110</w:t>
            </w:r>
          </w:hyperlink>
        </w:p>
        <w:p w14:paraId="673877F9" w14:textId="77777777" w:rsidR="00892C0E" w:rsidRPr="0075127F" w:rsidRDefault="00892C0E" w:rsidP="00892C0E">
          <w:pPr>
            <w:pStyle w:val="TOC3"/>
            <w:tabs>
              <w:tab w:val="right" w:leader="dot" w:pos="10330"/>
            </w:tabs>
            <w:spacing w:before="19"/>
            <w:rPr>
              <w:lang w:val="sq-AL"/>
            </w:rPr>
          </w:pPr>
          <w:hyperlink w:anchor="_bookmark55" w:history="1">
            <w:r w:rsidRPr="0075127F">
              <w:t xml:space="preserve"> </w:t>
            </w:r>
            <w:r w:rsidRPr="0075127F">
              <w:rPr>
                <w:lang w:val="sq-AL"/>
              </w:rPr>
              <w:t>Kapitulli 15:</w:t>
            </w:r>
            <w:r w:rsidRPr="0075127F">
              <w:rPr>
                <w:spacing w:val="-2"/>
                <w:lang w:val="sq-AL"/>
              </w:rPr>
              <w:t xml:space="preserve"> Energjia</w:t>
            </w:r>
            <w:r w:rsidRPr="0075127F">
              <w:rPr>
                <w:lang w:val="sq-AL"/>
              </w:rPr>
              <w:tab/>
            </w:r>
            <w:r w:rsidRPr="0075127F">
              <w:rPr>
                <w:spacing w:val="-5"/>
                <w:lang w:val="sq-AL"/>
              </w:rPr>
              <w:t>112</w:t>
            </w:r>
          </w:hyperlink>
        </w:p>
        <w:p w14:paraId="7C5F7361" w14:textId="77777777" w:rsidR="00892C0E" w:rsidRPr="0075127F" w:rsidRDefault="00892C0E" w:rsidP="00892C0E">
          <w:pPr>
            <w:pStyle w:val="TOC3"/>
            <w:tabs>
              <w:tab w:val="right" w:leader="dot" w:pos="10330"/>
            </w:tabs>
            <w:rPr>
              <w:lang w:val="sq-AL"/>
            </w:rPr>
          </w:pPr>
          <w:hyperlink w:anchor="_bookmark56" w:history="1">
            <w:r w:rsidRPr="0075127F">
              <w:t xml:space="preserve"> </w:t>
            </w:r>
            <w:r w:rsidRPr="0075127F">
              <w:rPr>
                <w:lang w:val="sq-AL"/>
              </w:rPr>
              <w:t>Kapitulli 21:</w:t>
            </w:r>
            <w:r w:rsidRPr="0075127F">
              <w:rPr>
                <w:spacing w:val="-3"/>
                <w:lang w:val="sq-AL"/>
              </w:rPr>
              <w:t xml:space="preserve"> </w:t>
            </w:r>
            <w:r w:rsidRPr="0075127F">
              <w:rPr>
                <w:lang w:val="sq-AL"/>
              </w:rPr>
              <w:t>Trans-</w:t>
            </w:r>
            <w:proofErr w:type="spellStart"/>
            <w:r w:rsidRPr="0075127F">
              <w:rPr>
                <w:lang w:val="sq-AL"/>
              </w:rPr>
              <w:t>European</w:t>
            </w:r>
            <w:proofErr w:type="spellEnd"/>
            <w:r w:rsidRPr="0075127F">
              <w:rPr>
                <w:spacing w:val="-5"/>
                <w:lang w:val="sq-AL"/>
              </w:rPr>
              <w:t xml:space="preserve"> </w:t>
            </w:r>
            <w:proofErr w:type="spellStart"/>
            <w:r w:rsidRPr="0075127F">
              <w:rPr>
                <w:spacing w:val="-2"/>
                <w:lang w:val="sq-AL"/>
              </w:rPr>
              <w:t>networks</w:t>
            </w:r>
            <w:proofErr w:type="spellEnd"/>
            <w:r w:rsidRPr="0075127F">
              <w:rPr>
                <w:lang w:val="sq-AL"/>
              </w:rPr>
              <w:tab/>
            </w:r>
            <w:r w:rsidRPr="0075127F">
              <w:rPr>
                <w:spacing w:val="-5"/>
                <w:lang w:val="sq-AL"/>
              </w:rPr>
              <w:t>116</w:t>
            </w:r>
          </w:hyperlink>
        </w:p>
        <w:p w14:paraId="74DA4DF7" w14:textId="77777777" w:rsidR="00892C0E" w:rsidRPr="0075127F" w:rsidRDefault="00892C0E" w:rsidP="00892C0E">
          <w:pPr>
            <w:pStyle w:val="TOC3"/>
            <w:tabs>
              <w:tab w:val="right" w:leader="dot" w:pos="10330"/>
            </w:tabs>
            <w:spacing w:before="18"/>
            <w:rPr>
              <w:lang w:val="sq-AL"/>
            </w:rPr>
          </w:pPr>
          <w:hyperlink w:anchor="_bookmark57" w:history="1">
            <w:r w:rsidRPr="0075127F">
              <w:rPr>
                <w:lang w:val="sq-AL"/>
              </w:rPr>
              <w:t xml:space="preserve">Kapitulli 21: Rrjetet </w:t>
            </w:r>
            <w:proofErr w:type="spellStart"/>
            <w:r w:rsidRPr="0075127F">
              <w:rPr>
                <w:lang w:val="sq-AL"/>
              </w:rPr>
              <w:t>transevropiane</w:t>
            </w:r>
            <w:proofErr w:type="spellEnd"/>
            <w:r w:rsidRPr="0075127F">
              <w:rPr>
                <w:lang w:val="sq-AL"/>
              </w:rPr>
              <w:tab/>
            </w:r>
            <w:r w:rsidRPr="0075127F">
              <w:rPr>
                <w:spacing w:val="-5"/>
                <w:lang w:val="sq-AL"/>
              </w:rPr>
              <w:t>118</w:t>
            </w:r>
          </w:hyperlink>
        </w:p>
        <w:p w14:paraId="75EDF523" w14:textId="77777777" w:rsidR="00892C0E" w:rsidRPr="0075127F" w:rsidRDefault="00892C0E" w:rsidP="00892C0E">
          <w:pPr>
            <w:pStyle w:val="TOC3"/>
            <w:tabs>
              <w:tab w:val="right" w:leader="dot" w:pos="10330"/>
            </w:tabs>
            <w:spacing w:before="18"/>
            <w:rPr>
              <w:lang w:val="sq-AL"/>
            </w:rPr>
          </w:pPr>
          <w:hyperlink w:anchor="_bookmark57" w:history="1">
            <w:r w:rsidRPr="0075127F">
              <w:rPr>
                <w:lang w:val="sq-AL"/>
              </w:rPr>
              <w:t>Kapitulli 27: Mjedisi dhe ndryshimet klimatike</w:t>
            </w:r>
            <w:r w:rsidRPr="0075127F">
              <w:rPr>
                <w:lang w:val="sq-AL"/>
              </w:rPr>
              <w:tab/>
            </w:r>
            <w:r w:rsidRPr="0075127F">
              <w:rPr>
                <w:spacing w:val="-5"/>
                <w:lang w:val="sq-AL"/>
              </w:rPr>
              <w:t>118</w:t>
            </w:r>
          </w:hyperlink>
        </w:p>
        <w:p w14:paraId="44E23C05" w14:textId="77777777" w:rsidR="00892C0E" w:rsidRPr="0075127F" w:rsidRDefault="00892C0E" w:rsidP="00892C0E">
          <w:pPr>
            <w:pStyle w:val="TOC2"/>
            <w:tabs>
              <w:tab w:val="right" w:leader="dot" w:pos="10330"/>
            </w:tabs>
            <w:spacing w:before="20"/>
            <w:rPr>
              <w:lang w:val="sq-AL"/>
            </w:rPr>
          </w:pPr>
          <w:hyperlink w:anchor="_bookmark58" w:history="1">
            <w:r w:rsidRPr="0075127F">
              <w:rPr>
                <w:smallCaps/>
                <w:spacing w:val="-2"/>
                <w:lang w:val="sq-AL"/>
              </w:rPr>
              <w:t>GRUP 5: BURIMET, BUJQËSIA DHE KOHEZIONI</w:t>
            </w:r>
            <w:r w:rsidRPr="0075127F">
              <w:rPr>
                <w:smallCaps/>
                <w:lang w:val="sq-AL"/>
              </w:rPr>
              <w:tab/>
            </w:r>
            <w:r w:rsidRPr="0075127F">
              <w:rPr>
                <w:smallCaps/>
                <w:spacing w:val="-5"/>
                <w:lang w:val="sq-AL"/>
              </w:rPr>
              <w:t>123</w:t>
            </w:r>
          </w:hyperlink>
        </w:p>
        <w:p w14:paraId="362572D8" w14:textId="77777777" w:rsidR="00892C0E" w:rsidRPr="0075127F" w:rsidRDefault="00892C0E" w:rsidP="00892C0E">
          <w:pPr>
            <w:pStyle w:val="TOC3"/>
            <w:tabs>
              <w:tab w:val="right" w:leader="dot" w:pos="10330"/>
            </w:tabs>
            <w:spacing w:before="19"/>
            <w:rPr>
              <w:lang w:val="sq-AL"/>
            </w:rPr>
          </w:pPr>
          <w:hyperlink w:anchor="_bookmark59" w:history="1">
            <w:r w:rsidRPr="0075127F">
              <w:rPr>
                <w:lang w:val="sq-AL"/>
              </w:rPr>
              <w:t>Kapitulli 11: Bujqësia dhe zhvillimi rural</w:t>
            </w:r>
            <w:r w:rsidRPr="0075127F">
              <w:rPr>
                <w:lang w:val="sq-AL"/>
              </w:rPr>
              <w:tab/>
            </w:r>
            <w:r w:rsidRPr="0075127F">
              <w:rPr>
                <w:spacing w:val="-5"/>
                <w:lang w:val="sq-AL"/>
              </w:rPr>
              <w:t>123</w:t>
            </w:r>
          </w:hyperlink>
        </w:p>
        <w:p w14:paraId="55B398F1" w14:textId="77777777" w:rsidR="00892C0E" w:rsidRPr="0075127F" w:rsidRDefault="00892C0E" w:rsidP="00892C0E">
          <w:pPr>
            <w:pStyle w:val="TOC3"/>
            <w:tabs>
              <w:tab w:val="right" w:leader="dot" w:pos="10330"/>
            </w:tabs>
            <w:spacing w:after="20"/>
            <w:rPr>
              <w:lang w:val="sq-AL"/>
            </w:rPr>
          </w:pPr>
          <w:hyperlink w:anchor="_bookmark60" w:history="1">
            <w:r w:rsidRPr="0075127F">
              <w:rPr>
                <w:lang w:val="sq-AL"/>
              </w:rPr>
              <w:t xml:space="preserve">Kapitulli 12: Siguria ushqimore, politika veterinare dhe </w:t>
            </w:r>
            <w:proofErr w:type="spellStart"/>
            <w:r w:rsidRPr="0075127F">
              <w:rPr>
                <w:lang w:val="sq-AL"/>
              </w:rPr>
              <w:t>fitosanitare</w:t>
            </w:r>
            <w:proofErr w:type="spellEnd"/>
            <w:r w:rsidRPr="0075127F">
              <w:rPr>
                <w:lang w:val="sq-AL"/>
              </w:rPr>
              <w:tab/>
            </w:r>
            <w:r w:rsidRPr="0075127F">
              <w:rPr>
                <w:spacing w:val="-5"/>
                <w:lang w:val="sq-AL"/>
              </w:rPr>
              <w:t>124</w:t>
            </w:r>
          </w:hyperlink>
        </w:p>
        <w:p w14:paraId="65FF3289" w14:textId="77777777" w:rsidR="00892C0E" w:rsidRPr="0075127F" w:rsidRDefault="00892C0E" w:rsidP="00892C0E">
          <w:pPr>
            <w:pStyle w:val="TOC3"/>
            <w:tabs>
              <w:tab w:val="right" w:leader="dot" w:pos="10330"/>
            </w:tabs>
            <w:spacing w:before="42"/>
            <w:rPr>
              <w:lang w:val="sq-AL"/>
            </w:rPr>
          </w:pPr>
          <w:hyperlink w:anchor="_bookmark61" w:history="1">
            <w:r w:rsidRPr="0075127F">
              <w:rPr>
                <w:lang w:val="sq-AL"/>
              </w:rPr>
              <w:t xml:space="preserve">Kapitulli 13: Peshkimi dhe </w:t>
            </w:r>
            <w:proofErr w:type="spellStart"/>
            <w:r w:rsidRPr="0075127F">
              <w:rPr>
                <w:lang w:val="sq-AL"/>
              </w:rPr>
              <w:t>akuakultura</w:t>
            </w:r>
            <w:proofErr w:type="spellEnd"/>
            <w:r w:rsidRPr="0075127F">
              <w:rPr>
                <w:lang w:val="sq-AL"/>
              </w:rPr>
              <w:tab/>
            </w:r>
            <w:r w:rsidRPr="0075127F">
              <w:rPr>
                <w:spacing w:val="-5"/>
                <w:lang w:val="sq-AL"/>
              </w:rPr>
              <w:t>126</w:t>
            </w:r>
          </w:hyperlink>
        </w:p>
        <w:p w14:paraId="0A429B92" w14:textId="77777777" w:rsidR="00892C0E" w:rsidRPr="0075127F" w:rsidRDefault="00892C0E" w:rsidP="00892C0E">
          <w:pPr>
            <w:pStyle w:val="TOC3"/>
            <w:tabs>
              <w:tab w:val="right" w:leader="dot" w:pos="10330"/>
            </w:tabs>
            <w:rPr>
              <w:lang w:val="sq-AL"/>
            </w:rPr>
          </w:pPr>
          <w:hyperlink w:anchor="_bookmark62" w:history="1">
            <w:r w:rsidRPr="0075127F">
              <w:t xml:space="preserve"> </w:t>
            </w:r>
            <w:r w:rsidRPr="0075127F">
              <w:rPr>
                <w:lang w:val="sq-AL"/>
              </w:rPr>
              <w:t xml:space="preserve">Kapitulli 22: </w:t>
            </w:r>
            <w:r>
              <w:rPr>
                <w:lang w:val="sq-AL"/>
              </w:rPr>
              <w:t xml:space="preserve">Politika rajonale dhe </w:t>
            </w:r>
            <w:proofErr w:type="spellStart"/>
            <w:r>
              <w:rPr>
                <w:lang w:val="sq-AL"/>
              </w:rPr>
              <w:t>kordinimi</w:t>
            </w:r>
            <w:proofErr w:type="spellEnd"/>
            <w:r>
              <w:rPr>
                <w:lang w:val="sq-AL"/>
              </w:rPr>
              <w:t xml:space="preserve"> i instrumenteve strukturore</w:t>
            </w:r>
            <w:r w:rsidRPr="0075127F">
              <w:rPr>
                <w:lang w:val="sq-AL"/>
              </w:rPr>
              <w:tab/>
            </w:r>
            <w:r w:rsidRPr="0075127F">
              <w:rPr>
                <w:spacing w:val="-5"/>
                <w:lang w:val="sq-AL"/>
              </w:rPr>
              <w:t>127</w:t>
            </w:r>
          </w:hyperlink>
        </w:p>
        <w:p w14:paraId="3856F5CC" w14:textId="77777777" w:rsidR="00892C0E" w:rsidRPr="0075127F" w:rsidRDefault="00892C0E" w:rsidP="00892C0E">
          <w:pPr>
            <w:pStyle w:val="TOC3"/>
            <w:tabs>
              <w:tab w:val="right" w:leader="dot" w:pos="10330"/>
            </w:tabs>
            <w:spacing w:before="18"/>
            <w:rPr>
              <w:lang w:val="sq-AL"/>
            </w:rPr>
          </w:pPr>
          <w:hyperlink w:anchor="_bookmark63" w:history="1">
            <w:r w:rsidRPr="0075127F">
              <w:rPr>
                <w:lang w:val="sq-AL"/>
              </w:rPr>
              <w:t>Kapitulli 33: Dispozitat financiare dhe buxhetore</w:t>
            </w:r>
            <w:r w:rsidRPr="0075127F">
              <w:rPr>
                <w:lang w:val="sq-AL"/>
              </w:rPr>
              <w:tab/>
            </w:r>
            <w:r w:rsidRPr="0075127F">
              <w:rPr>
                <w:spacing w:val="-5"/>
                <w:lang w:val="sq-AL"/>
              </w:rPr>
              <w:t>129</w:t>
            </w:r>
          </w:hyperlink>
        </w:p>
        <w:p w14:paraId="7B207111" w14:textId="77777777" w:rsidR="00892C0E" w:rsidRPr="0075127F" w:rsidRDefault="00892C0E" w:rsidP="00892C0E">
          <w:pPr>
            <w:pStyle w:val="TOC2"/>
            <w:tabs>
              <w:tab w:val="right" w:leader="dot" w:pos="10330"/>
            </w:tabs>
            <w:spacing w:before="20"/>
            <w:rPr>
              <w:lang w:val="sq-AL"/>
            </w:rPr>
          </w:pPr>
          <w:hyperlink w:anchor="_bookmark64" w:history="1">
            <w:r w:rsidRPr="0075127F">
              <w:rPr>
                <w:smallCaps/>
                <w:lang w:val="sq-AL"/>
              </w:rPr>
              <w:t>GRUP</w:t>
            </w:r>
            <w:r w:rsidRPr="0075127F">
              <w:rPr>
                <w:smallCaps/>
                <w:spacing w:val="-10"/>
                <w:lang w:val="sq-AL"/>
              </w:rPr>
              <w:t xml:space="preserve"> </w:t>
            </w:r>
            <w:r w:rsidRPr="0075127F">
              <w:rPr>
                <w:smallCaps/>
                <w:lang w:val="sq-AL"/>
              </w:rPr>
              <w:t>6:</w:t>
            </w:r>
            <w:r w:rsidRPr="0075127F">
              <w:rPr>
                <w:b/>
                <w:sz w:val="19"/>
              </w:rPr>
              <w:t xml:space="preserve"> </w:t>
            </w:r>
            <w:r w:rsidRPr="0075127F">
              <w:rPr>
                <w:i/>
                <w:iCs/>
                <w:sz w:val="18"/>
                <w:lang w:val="sq-AL"/>
              </w:rPr>
              <w:t>MARRËDHËNIET E JASHTM</w:t>
            </w:r>
            <w:r w:rsidRPr="0075127F">
              <w:rPr>
                <w:i/>
                <w:iCs/>
                <w:lang w:val="sq-AL"/>
              </w:rPr>
              <w:t>E</w:t>
            </w:r>
            <w:r w:rsidRPr="0075127F">
              <w:rPr>
                <w:smallCaps/>
                <w:lang w:val="sq-AL"/>
              </w:rPr>
              <w:tab/>
            </w:r>
            <w:r w:rsidRPr="0075127F">
              <w:rPr>
                <w:smallCaps/>
                <w:spacing w:val="-5"/>
                <w:lang w:val="sq-AL"/>
              </w:rPr>
              <w:t>131</w:t>
            </w:r>
          </w:hyperlink>
        </w:p>
        <w:p w14:paraId="269E90D7" w14:textId="77777777" w:rsidR="00892C0E" w:rsidRPr="0075127F" w:rsidRDefault="00892C0E" w:rsidP="00892C0E">
          <w:pPr>
            <w:pStyle w:val="TOC3"/>
            <w:tabs>
              <w:tab w:val="right" w:leader="dot" w:pos="10330"/>
            </w:tabs>
            <w:spacing w:before="19"/>
            <w:rPr>
              <w:lang w:val="sq-AL"/>
            </w:rPr>
          </w:pPr>
          <w:hyperlink w:anchor="_bookmark65" w:history="1">
            <w:r w:rsidRPr="0075127F">
              <w:rPr>
                <w:lang w:val="sq-AL"/>
              </w:rPr>
              <w:t>Kapitulli 30: Marrëdhëniet me jashtë</w:t>
            </w:r>
            <w:r w:rsidRPr="0075127F">
              <w:rPr>
                <w:lang w:val="sq-AL"/>
              </w:rPr>
              <w:tab/>
            </w:r>
            <w:r w:rsidRPr="0075127F">
              <w:rPr>
                <w:spacing w:val="-5"/>
                <w:lang w:val="sq-AL"/>
              </w:rPr>
              <w:t>131</w:t>
            </w:r>
          </w:hyperlink>
        </w:p>
        <w:p w14:paraId="2C273EBB" w14:textId="77777777" w:rsidR="00892C0E" w:rsidRPr="0075127F" w:rsidRDefault="00892C0E" w:rsidP="00892C0E">
          <w:pPr>
            <w:pStyle w:val="TOC3"/>
            <w:tabs>
              <w:tab w:val="right" w:leader="dot" w:pos="10330"/>
            </w:tabs>
            <w:rPr>
              <w:lang w:val="sq-AL"/>
            </w:rPr>
          </w:pPr>
          <w:hyperlink w:anchor="_bookmark66" w:history="1">
            <w:r w:rsidRPr="0075127F">
              <w:rPr>
                <w:lang w:val="sq-AL"/>
              </w:rPr>
              <w:t>Kapitulli 31: Politika e jashtme, e sigurisë dhe e mbrojtjes</w:t>
            </w:r>
            <w:r w:rsidRPr="0075127F">
              <w:rPr>
                <w:lang w:val="sq-AL"/>
              </w:rPr>
              <w:tab/>
            </w:r>
            <w:r w:rsidRPr="0075127F">
              <w:rPr>
                <w:spacing w:val="-5"/>
                <w:lang w:val="sq-AL"/>
              </w:rPr>
              <w:t>132</w:t>
            </w:r>
          </w:hyperlink>
        </w:p>
        <w:p w14:paraId="789E4F5E" w14:textId="77777777" w:rsidR="00892C0E" w:rsidRPr="0088112C" w:rsidRDefault="00892C0E" w:rsidP="00892C0E">
          <w:pPr>
            <w:pStyle w:val="TOC2"/>
            <w:tabs>
              <w:tab w:val="right" w:leader="dot" w:pos="10330"/>
            </w:tabs>
            <w:spacing w:before="18"/>
            <w:rPr>
              <w:rFonts w:ascii="Times New Roman" w:eastAsia="Times New Roman" w:hAnsi="Times New Roman" w:cs="Times New Roman"/>
              <w:b/>
              <w:bCs/>
              <w:sz w:val="22"/>
              <w:szCs w:val="22"/>
              <w:lang w:val="sq-AL"/>
            </w:rPr>
          </w:pPr>
          <w:hyperlink w:anchor="_bookmark67" w:history="1">
            <w:r w:rsidRPr="0075127F">
              <w:rPr>
                <w:smallCaps/>
                <w:lang w:val="sq-AL"/>
              </w:rPr>
              <w:t>ANEKSI I – MARRËDHËNIET MIDIS BE-SË DHE SHQIPËRISË</w:t>
            </w:r>
            <w:r w:rsidRPr="0075127F">
              <w:rPr>
                <w:smallCaps/>
                <w:lang w:val="sq-AL"/>
              </w:rPr>
              <w:tab/>
            </w:r>
            <w:r w:rsidRPr="0075127F">
              <w:rPr>
                <w:smallCaps/>
                <w:spacing w:val="-5"/>
                <w:lang w:val="sq-AL"/>
              </w:rPr>
              <w:t>135</w:t>
            </w:r>
          </w:hyperlink>
        </w:p>
      </w:sdtContent>
    </w:sdt>
    <w:p w14:paraId="6C57B545" w14:textId="77777777" w:rsidR="00892C0E" w:rsidRPr="0088112C" w:rsidRDefault="00892C0E" w:rsidP="00892C0E">
      <w:pPr>
        <w:rPr>
          <w:rFonts w:ascii="Calibri Light"/>
          <w:sz w:val="32"/>
          <w:lang w:val="sq-AL"/>
        </w:rPr>
        <w:sectPr w:rsidR="00892C0E" w:rsidRPr="0088112C">
          <w:footerReference w:type="default" r:id="rId9"/>
          <w:pgSz w:w="11910" w:h="16840"/>
          <w:pgMar w:top="1520" w:right="460" w:bottom="1632" w:left="460" w:header="0" w:footer="1248" w:gutter="0"/>
          <w:pgNumType w:start="1"/>
          <w:cols w:space="720"/>
        </w:sectPr>
      </w:pPr>
    </w:p>
    <w:p w14:paraId="0A3961D9" w14:textId="77777777" w:rsidR="00380775" w:rsidRPr="0032048B" w:rsidRDefault="00380775" w:rsidP="00380775">
      <w:pPr>
        <w:rPr>
          <w:lang w:val="sq-AL"/>
        </w:rPr>
        <w:sectPr w:rsidR="00380775" w:rsidRPr="0032048B">
          <w:footerReference w:type="default" r:id="rId10"/>
          <w:type w:val="continuous"/>
          <w:pgSz w:w="11910" w:h="16840"/>
          <w:pgMar w:top="1399" w:right="460" w:bottom="1632" w:left="460" w:header="0" w:footer="1248" w:gutter="0"/>
          <w:cols w:space="720"/>
        </w:sectPr>
      </w:pPr>
    </w:p>
    <w:p w14:paraId="566B6A5E" w14:textId="6C082CEE" w:rsidR="00380775" w:rsidRPr="0032048B" w:rsidRDefault="00380775" w:rsidP="0088112C">
      <w:pPr>
        <w:pStyle w:val="ListParagraph"/>
        <w:numPr>
          <w:ilvl w:val="0"/>
          <w:numId w:val="6"/>
        </w:numPr>
        <w:tabs>
          <w:tab w:val="left" w:pos="1134"/>
        </w:tabs>
        <w:spacing w:before="62"/>
        <w:ind w:right="1067"/>
        <w:jc w:val="both"/>
        <w:outlineLvl w:val="0"/>
        <w:rPr>
          <w:b/>
          <w:bCs/>
          <w:sz w:val="24"/>
          <w:szCs w:val="24"/>
          <w:lang w:val="sq-AL"/>
        </w:rPr>
      </w:pPr>
      <w:bookmarkStart w:id="1" w:name="1.__Introduction"/>
      <w:bookmarkStart w:id="2" w:name="_bookmark0"/>
      <w:bookmarkEnd w:id="1"/>
      <w:bookmarkEnd w:id="2"/>
      <w:r w:rsidRPr="0032048B">
        <w:rPr>
          <w:b/>
          <w:bCs/>
          <w:spacing w:val="-2"/>
          <w:sz w:val="24"/>
          <w:szCs w:val="24"/>
          <w:lang w:val="sq-AL"/>
        </w:rPr>
        <w:lastRenderedPageBreak/>
        <w:t>HYRJE</w:t>
      </w:r>
    </w:p>
    <w:p w14:paraId="71DC7C40" w14:textId="77777777" w:rsidR="00380775" w:rsidRPr="0032048B" w:rsidRDefault="00380775" w:rsidP="00361D5A">
      <w:pPr>
        <w:numPr>
          <w:ilvl w:val="1"/>
          <w:numId w:val="6"/>
        </w:numPr>
        <w:tabs>
          <w:tab w:val="left" w:pos="1134"/>
        </w:tabs>
        <w:spacing w:before="120"/>
        <w:ind w:left="993" w:right="1067" w:firstLine="0"/>
        <w:rPr>
          <w:b/>
          <w:sz w:val="19"/>
          <w:lang w:val="sq-AL"/>
        </w:rPr>
      </w:pPr>
      <w:bookmarkStart w:id="3" w:name="1.1.__Context"/>
      <w:bookmarkStart w:id="4" w:name="_bookmark1"/>
      <w:bookmarkEnd w:id="3"/>
      <w:bookmarkEnd w:id="4"/>
      <w:r w:rsidRPr="0032048B">
        <w:rPr>
          <w:b/>
          <w:spacing w:val="-2"/>
          <w:sz w:val="24"/>
          <w:lang w:val="sq-AL"/>
        </w:rPr>
        <w:t>KONTEKSTI</w:t>
      </w:r>
    </w:p>
    <w:p w14:paraId="329796DE" w14:textId="4F834966" w:rsidR="00380775" w:rsidRPr="0032048B" w:rsidRDefault="00CC6F56" w:rsidP="00361D5A">
      <w:pPr>
        <w:tabs>
          <w:tab w:val="left" w:pos="1134"/>
        </w:tabs>
        <w:spacing w:before="104"/>
        <w:ind w:left="993" w:right="1067"/>
        <w:jc w:val="both"/>
        <w:rPr>
          <w:sz w:val="24"/>
          <w:szCs w:val="24"/>
          <w:lang w:val="sq-AL"/>
        </w:rPr>
      </w:pPr>
      <w:bookmarkStart w:id="5" w:name="1.2._Summary_of_the_report0F"/>
      <w:bookmarkStart w:id="6" w:name="_bookmark2"/>
      <w:bookmarkEnd w:id="5"/>
      <w:bookmarkEnd w:id="6"/>
      <w:r w:rsidRPr="0032048B">
        <w:rPr>
          <w:sz w:val="24"/>
          <w:szCs w:val="24"/>
          <w:lang w:val="sq-AL"/>
        </w:rPr>
        <w:t>Konferenca e P</w:t>
      </w:r>
      <w:r w:rsidR="00380775" w:rsidRPr="0032048B">
        <w:rPr>
          <w:sz w:val="24"/>
          <w:szCs w:val="24"/>
          <w:lang w:val="sq-AL"/>
        </w:rPr>
        <w:t xml:space="preserve">arë Ndërqeveritare për negociatat e anëtarësimit me Shqipërinë u zhvillua më 19 korrik 2022. Hapi i parë në procesin e negociatave të anëtarësimit, shqyrtimi analitik i </w:t>
      </w:r>
      <w:proofErr w:type="spellStart"/>
      <w:r w:rsidR="00380775" w:rsidRPr="0032048B">
        <w:rPr>
          <w:i/>
          <w:sz w:val="24"/>
          <w:szCs w:val="24"/>
          <w:lang w:val="sq-AL"/>
        </w:rPr>
        <w:t>acquis</w:t>
      </w:r>
      <w:proofErr w:type="spellEnd"/>
      <w:r w:rsidR="00380775" w:rsidRPr="0032048B">
        <w:rPr>
          <w:sz w:val="24"/>
          <w:szCs w:val="24"/>
          <w:lang w:val="sq-AL"/>
        </w:rPr>
        <w:t xml:space="preserve"> të BE-së (</w:t>
      </w:r>
      <w:proofErr w:type="spellStart"/>
      <w:r w:rsidR="00380775" w:rsidRPr="0032048B">
        <w:rPr>
          <w:i/>
          <w:sz w:val="24"/>
          <w:szCs w:val="24"/>
          <w:lang w:val="sq-AL"/>
        </w:rPr>
        <w:t>screening</w:t>
      </w:r>
      <w:proofErr w:type="spellEnd"/>
      <w:r w:rsidR="00380775" w:rsidRPr="0032048B">
        <w:rPr>
          <w:sz w:val="24"/>
          <w:szCs w:val="24"/>
          <w:lang w:val="sq-AL"/>
        </w:rPr>
        <w:t>), filloi në të njëjtën datë dhe ka ecur pa probleme. Shqipëria ka vazhduar zbatimin e Marrëveshjes së Stabilizim-</w:t>
      </w:r>
      <w:proofErr w:type="spellStart"/>
      <w:r w:rsidR="00380775" w:rsidRPr="0032048B">
        <w:rPr>
          <w:sz w:val="24"/>
          <w:szCs w:val="24"/>
          <w:lang w:val="sq-AL"/>
        </w:rPr>
        <w:t>Asociimit</w:t>
      </w:r>
      <w:proofErr w:type="spellEnd"/>
      <w:r w:rsidR="00380775" w:rsidRPr="0032048B">
        <w:rPr>
          <w:sz w:val="24"/>
          <w:szCs w:val="24"/>
          <w:lang w:val="sq-AL"/>
        </w:rPr>
        <w:t xml:space="preserve"> dhe takimet e organeve të përbashkëta të parash</w:t>
      </w:r>
      <w:r w:rsidR="00EE18DF" w:rsidRPr="0032048B">
        <w:rPr>
          <w:sz w:val="24"/>
          <w:szCs w:val="24"/>
          <w:lang w:val="sq-AL"/>
        </w:rPr>
        <w:t>i</w:t>
      </w:r>
      <w:r w:rsidR="00380775" w:rsidRPr="0032048B">
        <w:rPr>
          <w:sz w:val="24"/>
          <w:szCs w:val="24"/>
          <w:lang w:val="sq-AL"/>
        </w:rPr>
        <w:t>kuara në marrëveshje janë zhvilluar në intervale të rregullta.</w:t>
      </w:r>
    </w:p>
    <w:p w14:paraId="7C83809C" w14:textId="4CE3A4A7" w:rsidR="00380775" w:rsidRPr="0032048B" w:rsidRDefault="00380775" w:rsidP="00361D5A">
      <w:pPr>
        <w:tabs>
          <w:tab w:val="left" w:pos="1134"/>
        </w:tabs>
        <w:spacing w:before="104"/>
        <w:ind w:left="993" w:right="1067"/>
        <w:jc w:val="both"/>
        <w:rPr>
          <w:sz w:val="24"/>
          <w:szCs w:val="24"/>
          <w:lang w:val="sq-AL"/>
        </w:rPr>
      </w:pPr>
      <w:r w:rsidRPr="0032048B">
        <w:rPr>
          <w:sz w:val="24"/>
          <w:szCs w:val="24"/>
          <w:lang w:val="sq-AL"/>
        </w:rPr>
        <w:t>Procesi i negociatave të anëtarësimit në BE me Shqipërinë zhvillohet në përputhje me metodologjinë e rishikuar të zgjerimit</w:t>
      </w:r>
      <w:r w:rsidR="00EE18DF" w:rsidRPr="0032048B">
        <w:rPr>
          <w:sz w:val="24"/>
          <w:szCs w:val="24"/>
          <w:lang w:val="sq-AL"/>
        </w:rPr>
        <w:t xml:space="preserve"> dhe kërkesat e përcaktuara në kuadrin e n</w:t>
      </w:r>
      <w:r w:rsidRPr="0032048B">
        <w:rPr>
          <w:sz w:val="24"/>
          <w:szCs w:val="24"/>
          <w:lang w:val="sq-AL"/>
        </w:rPr>
        <w:t>egocimit, i cili vendos një fokus edhe më të fortë në bazat e procesit të anëtarësimit.</w:t>
      </w:r>
    </w:p>
    <w:p w14:paraId="5BE9E931" w14:textId="77777777" w:rsidR="00380775" w:rsidRPr="0032048B" w:rsidRDefault="00380775" w:rsidP="00361D5A">
      <w:pPr>
        <w:tabs>
          <w:tab w:val="left" w:pos="1134"/>
        </w:tabs>
        <w:spacing w:before="104"/>
        <w:ind w:left="993" w:right="1067"/>
        <w:jc w:val="both"/>
        <w:rPr>
          <w:sz w:val="24"/>
          <w:szCs w:val="24"/>
          <w:lang w:val="sq-AL"/>
        </w:rPr>
      </w:pPr>
      <w:r w:rsidRPr="0032048B">
        <w:rPr>
          <w:sz w:val="24"/>
          <w:szCs w:val="24"/>
          <w:lang w:val="sq-AL"/>
        </w:rPr>
        <w:t>Angazhimi politik i autoriteteve shqiptare ndaj objektivit strategjik të integrimit në BE dhe ambicia e tyre për të ecur përpara në negociatat e anëtarësimit bazuar në progresin e vazhdueshëm të reformave janë deklaruar vazhdimisht si prioriteti kryesor i vendit. Ky angazhim është ruajtur pavarësisht sfidës për të adresuar pasojat ekonomike dhe sociale të goditjes së trefishtë të tërmetit të vitit 2019, pandemisë COVID-19 dhe luftës për shkak të agresionit të Rusisë kundër Ukrainës. Procesi i vazhdueshëm i negociatave të pranimit tani duhet të përkthehet në një përshpejtim të reformave të lidhura me BE-në.</w:t>
      </w:r>
    </w:p>
    <w:p w14:paraId="37A3D4D8" w14:textId="3C49E2E0" w:rsidR="00380775" w:rsidRPr="0032048B" w:rsidRDefault="00380775" w:rsidP="00361D5A">
      <w:pPr>
        <w:tabs>
          <w:tab w:val="left" w:pos="1134"/>
        </w:tabs>
        <w:spacing w:before="104"/>
        <w:ind w:left="993" w:right="1067"/>
        <w:jc w:val="both"/>
        <w:rPr>
          <w:sz w:val="16"/>
          <w:lang w:val="sq-AL"/>
        </w:rPr>
      </w:pPr>
      <w:r w:rsidRPr="0032048B">
        <w:rPr>
          <w:sz w:val="24"/>
          <w:szCs w:val="24"/>
          <w:lang w:val="sq-AL"/>
        </w:rPr>
        <w:t xml:space="preserve">Shqipëria ka ruajtur traditën e </w:t>
      </w:r>
      <w:proofErr w:type="spellStart"/>
      <w:r w:rsidRPr="0032048B">
        <w:rPr>
          <w:sz w:val="24"/>
          <w:szCs w:val="24"/>
          <w:lang w:val="sq-AL"/>
        </w:rPr>
        <w:t>linjëzimit</w:t>
      </w:r>
      <w:proofErr w:type="spellEnd"/>
      <w:r w:rsidRPr="0032048B">
        <w:rPr>
          <w:sz w:val="24"/>
          <w:szCs w:val="24"/>
          <w:lang w:val="sq-AL"/>
        </w:rPr>
        <w:t xml:space="preserve"> të plotë me politikën e përbashkët të jashtme dhe të sigurisë të BE-së gjatë periudhës së raportimit. Si anëtare jo e përhershme që nga janari 2022, Shqipëria ka qenë e angazhuar në mënyrë aktive në Këshillin e Sigurimit të OKB-së si </w:t>
      </w:r>
      <w:proofErr w:type="spellStart"/>
      <w:r w:rsidRPr="0032048B">
        <w:rPr>
          <w:sz w:val="24"/>
          <w:szCs w:val="24"/>
          <w:lang w:val="sq-AL"/>
        </w:rPr>
        <w:t>bashkëhartuese</w:t>
      </w:r>
      <w:proofErr w:type="spellEnd"/>
      <w:r w:rsidRPr="0032048B">
        <w:rPr>
          <w:sz w:val="24"/>
          <w:szCs w:val="24"/>
          <w:lang w:val="sq-AL"/>
        </w:rPr>
        <w:t xml:space="preserve"> e rezolutave që dënojnë luftën </w:t>
      </w:r>
      <w:r w:rsidR="00CC6F56" w:rsidRPr="0032048B">
        <w:rPr>
          <w:sz w:val="24"/>
          <w:szCs w:val="24"/>
          <w:lang w:val="sq-AL"/>
        </w:rPr>
        <w:t>e agresionit të</w:t>
      </w:r>
      <w:r w:rsidRPr="0032048B">
        <w:rPr>
          <w:sz w:val="24"/>
          <w:szCs w:val="24"/>
          <w:lang w:val="sq-AL"/>
        </w:rPr>
        <w:t xml:space="preserve"> Rusisë kundër Ukrainës, duke u përafruar me pozicionin e BE-së në bashkë-</w:t>
      </w:r>
      <w:proofErr w:type="spellStart"/>
      <w:r w:rsidRPr="0032048B">
        <w:rPr>
          <w:sz w:val="24"/>
          <w:szCs w:val="24"/>
          <w:lang w:val="sq-AL"/>
        </w:rPr>
        <w:t>sponsorizimin</w:t>
      </w:r>
      <w:proofErr w:type="spellEnd"/>
      <w:r w:rsidRPr="0032048B">
        <w:rPr>
          <w:sz w:val="24"/>
          <w:szCs w:val="24"/>
          <w:lang w:val="sq-AL"/>
        </w:rPr>
        <w:t xml:space="preserve"> dhe votimin e rezolutave të OKB-së mbi Push</w:t>
      </w:r>
      <w:r w:rsidR="00CC6F56" w:rsidRPr="0032048B">
        <w:rPr>
          <w:sz w:val="24"/>
          <w:szCs w:val="24"/>
          <w:lang w:val="sq-AL"/>
        </w:rPr>
        <w:t>timin e Ukrainës nga Rusia dhe Ndikimin Humanitar të këtij P</w:t>
      </w:r>
      <w:r w:rsidRPr="0032048B">
        <w:rPr>
          <w:sz w:val="24"/>
          <w:szCs w:val="24"/>
          <w:lang w:val="sq-AL"/>
        </w:rPr>
        <w:t>ushtimi, si dhe gjatë votimit për pezullimin e Rusisë nga Këshilli i të Drejtave të Njeriut. Qëndrimi i Shqipërisë është një sinjal i fortë i zgjedhjes strategjike të saj për anëtarësimin në BE dhe i rolit të saj si partnere e besueshme.</w:t>
      </w:r>
    </w:p>
    <w:p w14:paraId="2329265B" w14:textId="77777777" w:rsidR="00380775" w:rsidRPr="0032048B" w:rsidRDefault="00380775" w:rsidP="00361D5A">
      <w:pPr>
        <w:numPr>
          <w:ilvl w:val="1"/>
          <w:numId w:val="6"/>
        </w:numPr>
        <w:tabs>
          <w:tab w:val="left" w:pos="1134"/>
        </w:tabs>
        <w:spacing w:before="104"/>
        <w:ind w:left="993" w:right="1067" w:firstLine="0"/>
        <w:rPr>
          <w:sz w:val="16"/>
          <w:lang w:val="sq-AL"/>
        </w:rPr>
      </w:pPr>
      <w:bookmarkStart w:id="7" w:name="_Hlk151130414"/>
      <w:r w:rsidRPr="0032048B">
        <w:rPr>
          <w:b/>
          <w:sz w:val="24"/>
          <w:lang w:val="sq-AL"/>
        </w:rPr>
        <w:t>PËRMBLEDHJE E RAPORTIT</w:t>
      </w:r>
      <w:bookmarkEnd w:id="7"/>
      <w:r w:rsidRPr="0032048B">
        <w:rPr>
          <w:b/>
          <w:sz w:val="24"/>
          <w:vertAlign w:val="superscript"/>
          <w:lang w:val="sq-AL"/>
        </w:rPr>
        <w:footnoteReference w:id="1"/>
      </w:r>
    </w:p>
    <w:p w14:paraId="7CB13A43" w14:textId="31D3C60B"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 xml:space="preserve">Për sa u përket </w:t>
      </w:r>
      <w:r w:rsidRPr="0032048B">
        <w:rPr>
          <w:b/>
          <w:sz w:val="24"/>
          <w:szCs w:val="24"/>
          <w:lang w:val="sq-AL"/>
        </w:rPr>
        <w:t>kritereve politike</w:t>
      </w:r>
      <w:r w:rsidRPr="0032048B">
        <w:rPr>
          <w:sz w:val="24"/>
          <w:szCs w:val="24"/>
          <w:lang w:val="sq-AL"/>
        </w:rPr>
        <w:t xml:space="preserve">, zgjedhjet e rregullta vendore të 14 majit 2023 u zhvilluan në mënyrë përgjithësisht të qetë. Vëzhguesit i vlerësuan ato si të </w:t>
      </w:r>
      <w:proofErr w:type="spellStart"/>
      <w:r w:rsidRPr="0032048B">
        <w:rPr>
          <w:sz w:val="24"/>
          <w:szCs w:val="24"/>
          <w:lang w:val="sq-AL"/>
        </w:rPr>
        <w:t>miradministruara</w:t>
      </w:r>
      <w:proofErr w:type="spellEnd"/>
      <w:r w:rsidRPr="0032048B">
        <w:rPr>
          <w:sz w:val="24"/>
          <w:szCs w:val="24"/>
          <w:lang w:val="sq-AL"/>
        </w:rPr>
        <w:t xml:space="preserve">, konkurruese dhe me pjesëmarrjen e aktorëve kryesorë politikë. Shqetësimet kanë të bëjnë me keqpërdorimin e burimeve shtetërore, pretendimet për presion ndaj punonjësve të sektorit publik dhe votuesve, si dhe pretendimet për blerje votash. U regjistrua një pjesëmarrje e ulët prej vetëm 38.2%. Skena politike vazhdoi të shënjohej nga polarizimi politik, në terrenin e përçarjeve të thella, të vazhdueshme, brenda partisë më të madhe opozitare. Mbikëqyrja parlamentare mbi ekzekutivin mbeti e kufizuar. Në mars 2023, amendamentet që forcojnë rolin konsultativ të Parlamentit në procesin e negociatave të anëtarësimit u miratuan me shumicë të madhe. Vonesat dhe politizimi i emërimeve të Avokatit të Popullit dhe </w:t>
      </w:r>
      <w:proofErr w:type="spellStart"/>
      <w:r w:rsidRPr="0032048B">
        <w:rPr>
          <w:sz w:val="24"/>
          <w:szCs w:val="24"/>
          <w:lang w:val="sq-AL"/>
        </w:rPr>
        <w:t>Komisionerit</w:t>
      </w:r>
      <w:proofErr w:type="spellEnd"/>
      <w:r w:rsidRPr="0032048B">
        <w:rPr>
          <w:sz w:val="24"/>
          <w:szCs w:val="24"/>
          <w:lang w:val="sq-AL"/>
        </w:rPr>
        <w:t xml:space="preserve"> të ri </w:t>
      </w:r>
      <w:r w:rsidR="00CC6F56" w:rsidRPr="0032048B">
        <w:rPr>
          <w:sz w:val="24"/>
          <w:szCs w:val="24"/>
          <w:lang w:val="sq-AL"/>
        </w:rPr>
        <w:t>për Mbrojtjen nga</w:t>
      </w:r>
      <w:r w:rsidR="004D53EC">
        <w:rPr>
          <w:sz w:val="24"/>
          <w:szCs w:val="24"/>
          <w:lang w:val="sq-AL"/>
        </w:rPr>
        <w:t xml:space="preserve"> </w:t>
      </w:r>
      <w:r w:rsidR="00CC6F56" w:rsidRPr="0032048B">
        <w:rPr>
          <w:sz w:val="24"/>
          <w:szCs w:val="24"/>
          <w:lang w:val="sq-AL"/>
        </w:rPr>
        <w:t>Diskriminimi</w:t>
      </w:r>
      <w:r w:rsidRPr="0032048B">
        <w:rPr>
          <w:sz w:val="24"/>
          <w:szCs w:val="24"/>
          <w:lang w:val="sq-AL"/>
        </w:rPr>
        <w:t xml:space="preserve"> i dobësojnë këto institucione të pavarura. </w:t>
      </w:r>
      <w:r w:rsidRPr="0032048B">
        <w:rPr>
          <w:sz w:val="24"/>
          <w:szCs w:val="24"/>
          <w:lang w:val="sq-AL"/>
        </w:rPr>
        <w:lastRenderedPageBreak/>
        <w:t>Në</w:t>
      </w:r>
      <w:r w:rsidR="000C6EFC" w:rsidRPr="0032048B">
        <w:rPr>
          <w:sz w:val="24"/>
          <w:szCs w:val="24"/>
          <w:lang w:val="sq-AL"/>
        </w:rPr>
        <w:t xml:space="preserve">n koordinimin e </w:t>
      </w:r>
      <w:proofErr w:type="spellStart"/>
      <w:r w:rsidR="000C6EFC" w:rsidRPr="0032048B">
        <w:rPr>
          <w:sz w:val="24"/>
          <w:szCs w:val="24"/>
          <w:lang w:val="sq-AL"/>
        </w:rPr>
        <w:t>Kryenegociatores</w:t>
      </w:r>
      <w:proofErr w:type="spellEnd"/>
      <w:r w:rsidRPr="0032048B">
        <w:rPr>
          <w:sz w:val="24"/>
          <w:szCs w:val="24"/>
          <w:lang w:val="sq-AL"/>
        </w:rPr>
        <w:t xml:space="preserve"> dhe strukturave </w:t>
      </w:r>
      <w:proofErr w:type="spellStart"/>
      <w:r w:rsidR="000C6EFC" w:rsidRPr="0032048B">
        <w:rPr>
          <w:sz w:val="24"/>
          <w:szCs w:val="24"/>
          <w:lang w:val="sq-AL"/>
        </w:rPr>
        <w:t>negociuese</w:t>
      </w:r>
      <w:proofErr w:type="spellEnd"/>
      <w:r w:rsidR="000C6EFC" w:rsidRPr="0032048B">
        <w:rPr>
          <w:sz w:val="24"/>
          <w:szCs w:val="24"/>
          <w:lang w:val="sq-AL"/>
        </w:rPr>
        <w:t xml:space="preserve"> me BE-në, </w:t>
      </w:r>
      <w:r w:rsidRPr="0032048B">
        <w:rPr>
          <w:sz w:val="24"/>
          <w:szCs w:val="24"/>
          <w:lang w:val="sq-AL"/>
        </w:rPr>
        <w:t>rishtazi të reformuara, institucionet shqiptare kanë mobilizuar burime të rëndësishme për t’u angazhuar në mënyrë aktive në procesin e shqyrtimit analitik dhe për t’u përgatitur për hapat e ardhshëm të negociatave të anëtarësimit. Ndërkohë që i vendos reformat që kanë lidhje me BE-në në qendër të planifikimit të ligjeve dhe politikave që ndërmerr, qeveria duhet të mos ndërmarrë veprime që nuk janë në përputhje me standardet e BE-së. Qeveria, gjithashtu, duhet të angazhohet në një komunikim më të fortë me publikun për procesin e anëtarësimit në BE. Ndërsa shoqëria civile është përgjithësisht e lirë, mangësitë ndikojnë negativisht në aftësinë e organizatave të shoqërisë civile për të kontribuar në proceset e politikave. Roli i shoqërisë civile, përfshirë në procesin e negociatave për anëtarësim në BE, duhet të forcohet.</w:t>
      </w:r>
    </w:p>
    <w:p w14:paraId="361507F0" w14:textId="0B9E3DBF"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 xml:space="preserve">Shqipëria vazhdon të ketë përgatitje mesatare në fushën e </w:t>
      </w:r>
      <w:r w:rsidRPr="0032048B">
        <w:rPr>
          <w:b/>
          <w:sz w:val="24"/>
          <w:szCs w:val="24"/>
          <w:lang w:val="sq-AL"/>
        </w:rPr>
        <w:t>administratës publike.</w:t>
      </w:r>
      <w:r w:rsidRPr="0032048B">
        <w:rPr>
          <w:sz w:val="24"/>
          <w:szCs w:val="24"/>
          <w:lang w:val="sq-AL"/>
        </w:rPr>
        <w:t xml:space="preserve"> Strategjitë e reja për reformën e administratës publike dhe reforma e menaxhimit të financave publike ende nuk janë përgatitur dhe miratuar. Ende vazhdon riorganizimi i roleve dhe përgjegjësive brenda Zyrës së Kryeministrit. Dispozitat e Ligjit për Shërbimin Civi</w:t>
      </w:r>
      <w:r w:rsidR="002F773F" w:rsidRPr="0032048B">
        <w:rPr>
          <w:sz w:val="24"/>
          <w:szCs w:val="24"/>
          <w:lang w:val="sq-AL"/>
        </w:rPr>
        <w:t>l për punësimin bazuar në meritë</w:t>
      </w:r>
      <w:r w:rsidRPr="0032048B">
        <w:rPr>
          <w:sz w:val="24"/>
          <w:szCs w:val="24"/>
          <w:lang w:val="sq-AL"/>
        </w:rPr>
        <w:t xml:space="preserve"> nuk zbatohen në mënyrë t</w:t>
      </w:r>
      <w:r w:rsidR="005D3CCC" w:rsidRPr="0032048B">
        <w:rPr>
          <w:sz w:val="24"/>
          <w:szCs w:val="24"/>
          <w:lang w:val="sq-AL"/>
        </w:rPr>
        <w:t>ë</w:t>
      </w:r>
      <w:r w:rsidRPr="0032048B">
        <w:rPr>
          <w:sz w:val="24"/>
          <w:szCs w:val="24"/>
          <w:lang w:val="sq-AL"/>
        </w:rPr>
        <w:t xml:space="preserve"> barabart</w:t>
      </w:r>
      <w:r w:rsidR="005D3CCC" w:rsidRPr="0032048B">
        <w:rPr>
          <w:sz w:val="24"/>
          <w:szCs w:val="24"/>
          <w:lang w:val="sq-AL"/>
        </w:rPr>
        <w:t>ë</w:t>
      </w:r>
      <w:r w:rsidRPr="0032048B">
        <w:rPr>
          <w:sz w:val="24"/>
          <w:szCs w:val="24"/>
          <w:lang w:val="sq-AL"/>
        </w:rPr>
        <w:t xml:space="preserve">, veçanërisht në nivelin e drejtuesve të lartë. Janë bërë përpjekje të konsiderueshme për digjitalizimin e shërbimeve publike, por ende mbetet e nevojshme të sigurohet </w:t>
      </w:r>
      <w:proofErr w:type="spellStart"/>
      <w:r w:rsidRPr="0032048B">
        <w:rPr>
          <w:sz w:val="24"/>
          <w:szCs w:val="24"/>
          <w:lang w:val="sq-AL"/>
        </w:rPr>
        <w:t>akses</w:t>
      </w:r>
      <w:proofErr w:type="spellEnd"/>
      <w:r w:rsidRPr="0032048B">
        <w:rPr>
          <w:sz w:val="24"/>
          <w:szCs w:val="24"/>
          <w:lang w:val="sq-AL"/>
        </w:rPr>
        <w:t xml:space="preserve"> i barabartë në shërbime për qytetarët me aftësi të kufizuara digjitale ose me </w:t>
      </w:r>
      <w:proofErr w:type="spellStart"/>
      <w:r w:rsidRPr="0032048B">
        <w:rPr>
          <w:sz w:val="24"/>
          <w:szCs w:val="24"/>
          <w:lang w:val="sq-AL"/>
        </w:rPr>
        <w:t>akses</w:t>
      </w:r>
      <w:proofErr w:type="spellEnd"/>
      <w:r w:rsidRPr="0032048B">
        <w:rPr>
          <w:sz w:val="24"/>
          <w:szCs w:val="24"/>
          <w:lang w:val="sq-AL"/>
        </w:rPr>
        <w:t xml:space="preserve"> të kufizuar në pajisjet e TI-së. Kërkohet, gjithashtu, vëmendje e shtuar ndaj sigurisë digjitale dhe mbrojtjes së të dhënave personale, veçanërisht pas sulmeve kibernetike në vitin 2022 dhe një sërë rrjedhjesh së të dhënave.</w:t>
      </w:r>
    </w:p>
    <w:p w14:paraId="5FDE55BB" w14:textId="699557EB"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 xml:space="preserve">Shqipëria ka përgatitje mesatare në </w:t>
      </w:r>
      <w:r w:rsidRPr="0032048B">
        <w:rPr>
          <w:b/>
          <w:sz w:val="24"/>
          <w:szCs w:val="24"/>
          <w:lang w:val="sq-AL"/>
        </w:rPr>
        <w:t>funksionimin e gjyqësorit</w:t>
      </w:r>
      <w:r w:rsidRPr="0032048B">
        <w:rPr>
          <w:sz w:val="24"/>
          <w:szCs w:val="24"/>
          <w:lang w:val="sq-AL"/>
        </w:rPr>
        <w:t xml:space="preserve">. Zbatimi i reformës në drejtësi ka vazhduar, duke çuar, përgjithësisht, në progres të mirë. Emërimet në Gjykatën Kushtetuese kanë përfunduar dhe të nëntë gjyqtarët janë në detyrë, nga të cilët tetë me mandat të plotë nëntëvjeçar. Struktura e Specializuar kundër Korrupsionit dhe Krimit të Organizuar (SPAK) arriti rezultate të mëtejshme dhe në dhjetor 2022 u zgjodh Kryeprokurori i ri i Posaçëm pas një procesi të shëndoshë. </w:t>
      </w:r>
      <w:proofErr w:type="spellStart"/>
      <w:r w:rsidRPr="0032048B">
        <w:rPr>
          <w:sz w:val="24"/>
          <w:szCs w:val="24"/>
          <w:lang w:val="sq-AL"/>
        </w:rPr>
        <w:t>Efi</w:t>
      </w:r>
      <w:r w:rsidR="00855801" w:rsidRPr="0032048B">
        <w:rPr>
          <w:sz w:val="24"/>
          <w:szCs w:val="24"/>
          <w:lang w:val="sq-AL"/>
        </w:rPr>
        <w:t>c</w:t>
      </w:r>
      <w:r w:rsidR="000C6EFC" w:rsidRPr="0032048B">
        <w:rPr>
          <w:sz w:val="24"/>
          <w:szCs w:val="24"/>
          <w:lang w:val="sq-AL"/>
        </w:rPr>
        <w:t>ensa</w:t>
      </w:r>
      <w:proofErr w:type="spellEnd"/>
      <w:r w:rsidR="000C6EFC" w:rsidRPr="0032048B">
        <w:rPr>
          <w:sz w:val="24"/>
          <w:szCs w:val="24"/>
          <w:lang w:val="sq-AL"/>
        </w:rPr>
        <w:t xml:space="preserve"> e</w:t>
      </w:r>
      <w:r w:rsidRPr="0032048B">
        <w:rPr>
          <w:sz w:val="24"/>
          <w:szCs w:val="24"/>
          <w:lang w:val="sq-AL"/>
        </w:rPr>
        <w:t xml:space="preserve"> sistemit gjyqësor dhe qasja në drejtësi vazhdoi të ndikohet nga afati i gjatë i procedurave, ngarkesa e shtuar e punës dhe numri i madh i çështjeve të pazgjidhura, i cili mbetet veçanërisht i lartë në gjykatat e apelit dhe të shkallës së parë. Është bërë progres në plotësimin e vendeve vakante të gjyqësorit nëpërmjet betimit të 40 magjistratëve të rinj në tetor 2023. Rivlerësimi kalimtar i të gjithë gjyqtarëve dhe prokurorëve ka vazhduar të ecë me ritme të kënaqshme. Deri më 6 tetor, 57% e dosjeve të përpunuara të </w:t>
      </w:r>
      <w:r w:rsidRPr="0032048B">
        <w:rPr>
          <w:bCs/>
          <w:sz w:val="24"/>
          <w:szCs w:val="24"/>
          <w:lang w:val="sq-AL"/>
        </w:rPr>
        <w:t>rivlerësimit kalimtar</w:t>
      </w:r>
      <w:r w:rsidRPr="0032048B">
        <w:rPr>
          <w:sz w:val="24"/>
          <w:szCs w:val="24"/>
          <w:lang w:val="sq-AL"/>
        </w:rPr>
        <w:t xml:space="preserve"> rezultuan në shkarkime, dorëheqje ose përfundime të mandatit. Në qershor 2023, Gjykata e Posaçme e Shkallës së Parë kundër Korrupsionit dhe Krimit të Organizuar dënoi ish-kreun e Gjykatës Kushtetuese me 6 muaj burg për deklarim të rremë dhe fshehje të pasurisë gjatë procesit të rivlerësimit. Shqipëria duhet të marrë masa për fillimin sistematik të procedimeve penale kundër gjyqtarëve dhe prokurorëve, për të cilët u zbuluan elemente penale gjatë procesit të rivlerësimit. Sistemi i menaxhimit të çështjeve dhe sistemi i trajnimit të punonjësve gjyqësorë kanë nevojë të përmirësohen për të rritur më tej </w:t>
      </w:r>
      <w:proofErr w:type="spellStart"/>
      <w:r w:rsidRPr="0032048B">
        <w:rPr>
          <w:sz w:val="24"/>
          <w:szCs w:val="24"/>
          <w:lang w:val="sq-AL"/>
        </w:rPr>
        <w:t>efi</w:t>
      </w:r>
      <w:r w:rsidR="00855801" w:rsidRPr="0032048B">
        <w:rPr>
          <w:sz w:val="24"/>
          <w:szCs w:val="24"/>
          <w:lang w:val="sq-AL"/>
        </w:rPr>
        <w:t>censën</w:t>
      </w:r>
      <w:proofErr w:type="spellEnd"/>
      <w:r w:rsidRPr="0032048B">
        <w:rPr>
          <w:sz w:val="24"/>
          <w:szCs w:val="24"/>
          <w:lang w:val="sq-AL"/>
        </w:rPr>
        <w:t xml:space="preserve"> dhe profesionalizmin, në përgjithësi, në të gjithë sektorin. Në periudhën e raportimit, janë ndërmarrë veprime pozitive që </w:t>
      </w:r>
      <w:r w:rsidR="002F773F" w:rsidRPr="0032048B">
        <w:rPr>
          <w:sz w:val="24"/>
          <w:szCs w:val="24"/>
          <w:lang w:val="sq-AL"/>
        </w:rPr>
        <w:t xml:space="preserve">bëjnë të mundur që </w:t>
      </w:r>
      <w:r w:rsidRPr="0032048B">
        <w:rPr>
          <w:sz w:val="24"/>
          <w:szCs w:val="24"/>
          <w:lang w:val="sq-AL"/>
        </w:rPr>
        <w:t>programi</w:t>
      </w:r>
      <w:r w:rsidR="002F773F" w:rsidRPr="0032048B">
        <w:rPr>
          <w:sz w:val="24"/>
          <w:szCs w:val="24"/>
          <w:lang w:val="sq-AL"/>
        </w:rPr>
        <w:t xml:space="preserve"> i </w:t>
      </w:r>
      <w:r w:rsidRPr="0032048B">
        <w:rPr>
          <w:sz w:val="24"/>
          <w:szCs w:val="24"/>
          <w:lang w:val="sq-AL"/>
        </w:rPr>
        <w:t>trajnimit të vazhdu</w:t>
      </w:r>
      <w:r w:rsidR="002F773F" w:rsidRPr="0032048B">
        <w:rPr>
          <w:sz w:val="24"/>
          <w:szCs w:val="24"/>
          <w:lang w:val="sq-AL"/>
        </w:rPr>
        <w:t>ar të jetë më domethënës</w:t>
      </w:r>
      <w:r w:rsidRPr="0032048B">
        <w:rPr>
          <w:sz w:val="24"/>
          <w:szCs w:val="24"/>
          <w:lang w:val="sq-AL"/>
        </w:rPr>
        <w:t>. Është bërë progres</w:t>
      </w:r>
      <w:r w:rsidR="002F773F" w:rsidRPr="0032048B">
        <w:rPr>
          <w:sz w:val="24"/>
          <w:szCs w:val="24"/>
          <w:lang w:val="sq-AL"/>
        </w:rPr>
        <w:t xml:space="preserve"> </w:t>
      </w:r>
      <w:r w:rsidRPr="0032048B">
        <w:rPr>
          <w:sz w:val="24"/>
          <w:szCs w:val="24"/>
          <w:lang w:val="sq-AL"/>
        </w:rPr>
        <w:t>i</w:t>
      </w:r>
      <w:r w:rsidR="002F773F" w:rsidRPr="0032048B">
        <w:rPr>
          <w:sz w:val="24"/>
          <w:szCs w:val="24"/>
          <w:lang w:val="sq-AL"/>
        </w:rPr>
        <w:t xml:space="preserve"> mirë</w:t>
      </w:r>
      <w:r w:rsidRPr="0032048B">
        <w:rPr>
          <w:sz w:val="24"/>
          <w:szCs w:val="24"/>
          <w:lang w:val="sq-AL"/>
        </w:rPr>
        <w:t xml:space="preserve"> në sistemin e menaxhimit të rasteve, veçanërisht me ngritjen e grupit të punës për ndërve</w:t>
      </w:r>
      <w:r w:rsidR="000C6EFC" w:rsidRPr="0032048B">
        <w:rPr>
          <w:sz w:val="24"/>
          <w:szCs w:val="24"/>
          <w:lang w:val="sq-AL"/>
        </w:rPr>
        <w:t>primin dhe miratimin e kuadrit t</w:t>
      </w:r>
      <w:r w:rsidRPr="0032048B">
        <w:rPr>
          <w:sz w:val="24"/>
          <w:szCs w:val="24"/>
          <w:lang w:val="sq-AL"/>
        </w:rPr>
        <w:t xml:space="preserve">ë </w:t>
      </w:r>
      <w:proofErr w:type="spellStart"/>
      <w:r w:rsidRPr="0032048B">
        <w:rPr>
          <w:sz w:val="24"/>
          <w:szCs w:val="24"/>
          <w:lang w:val="sq-AL"/>
        </w:rPr>
        <w:t>ndërveprueshmërisë</w:t>
      </w:r>
      <w:proofErr w:type="spellEnd"/>
      <w:r w:rsidRPr="0032048B">
        <w:rPr>
          <w:sz w:val="24"/>
          <w:szCs w:val="24"/>
          <w:lang w:val="sq-AL"/>
        </w:rPr>
        <w:t xml:space="preserve"> që krijon bazën për funksionimin e sistemit.</w:t>
      </w:r>
    </w:p>
    <w:p w14:paraId="6F8BD513" w14:textId="73483A11"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 xml:space="preserve">Shqipëria ka </w:t>
      </w:r>
      <w:r w:rsidR="00B31C99" w:rsidRPr="0032048B">
        <w:rPr>
          <w:sz w:val="24"/>
          <w:szCs w:val="24"/>
          <w:lang w:val="sq-AL"/>
        </w:rPr>
        <w:t>përgatitje të mjaftueshme</w:t>
      </w:r>
      <w:r w:rsidRPr="0032048B">
        <w:rPr>
          <w:sz w:val="24"/>
          <w:szCs w:val="24"/>
          <w:lang w:val="sq-AL"/>
        </w:rPr>
        <w:t xml:space="preserve"> në </w:t>
      </w:r>
      <w:r w:rsidRPr="0032048B">
        <w:rPr>
          <w:b/>
          <w:sz w:val="24"/>
          <w:szCs w:val="24"/>
          <w:lang w:val="sq-AL"/>
        </w:rPr>
        <w:t>luftën kundër korrupsionit</w:t>
      </w:r>
      <w:r w:rsidR="00B31C99" w:rsidRPr="0032048B">
        <w:rPr>
          <w:sz w:val="24"/>
          <w:szCs w:val="24"/>
          <w:lang w:val="sq-AL"/>
        </w:rPr>
        <w:t>. Pavarësisht</w:t>
      </w:r>
      <w:r w:rsidRPr="0032048B">
        <w:rPr>
          <w:sz w:val="24"/>
          <w:szCs w:val="24"/>
          <w:lang w:val="sq-AL"/>
        </w:rPr>
        <w:t xml:space="preserve"> progresi</w:t>
      </w:r>
      <w:r w:rsidR="00B31C99" w:rsidRPr="0032048B">
        <w:rPr>
          <w:sz w:val="24"/>
          <w:szCs w:val="24"/>
          <w:lang w:val="sq-AL"/>
        </w:rPr>
        <w:t xml:space="preserve">t të </w:t>
      </w:r>
      <w:r w:rsidR="000C6EFC" w:rsidRPr="0032048B">
        <w:rPr>
          <w:sz w:val="24"/>
          <w:szCs w:val="24"/>
          <w:lang w:val="sq-AL"/>
        </w:rPr>
        <w:t>mirë</w:t>
      </w:r>
      <w:r w:rsidRPr="0032048B">
        <w:rPr>
          <w:sz w:val="24"/>
          <w:szCs w:val="24"/>
          <w:lang w:val="sq-AL"/>
        </w:rPr>
        <w:t xml:space="preserve"> dhe përpjekjeve të vazhdueshme në luftën kundër korrupsionit, ky i fundit mbetet një fushë me shqetësim</w:t>
      </w:r>
      <w:r w:rsidR="002F773F" w:rsidRPr="0032048B">
        <w:rPr>
          <w:sz w:val="24"/>
          <w:szCs w:val="24"/>
          <w:lang w:val="sq-AL"/>
        </w:rPr>
        <w:t>e</w:t>
      </w:r>
      <w:r w:rsidRPr="0032048B">
        <w:rPr>
          <w:sz w:val="24"/>
          <w:szCs w:val="24"/>
          <w:lang w:val="sq-AL"/>
        </w:rPr>
        <w:t xml:space="preserve"> serioz</w:t>
      </w:r>
      <w:r w:rsidR="002F773F" w:rsidRPr="0032048B">
        <w:rPr>
          <w:sz w:val="24"/>
          <w:szCs w:val="24"/>
          <w:lang w:val="sq-AL"/>
        </w:rPr>
        <w:t>e</w:t>
      </w:r>
      <w:r w:rsidRPr="0032048B">
        <w:rPr>
          <w:sz w:val="24"/>
          <w:szCs w:val="24"/>
          <w:lang w:val="sq-AL"/>
        </w:rPr>
        <w:t xml:space="preserve">. Organet e SPAK-ut kanë kryer hetime për një sërë çështjesh të nivelit të lartë, duke urdhëruar disa arrestime dhe dënime për një numër syresh. Në përgjithësi, korrupsioni është i përhapur në shumë fusha të jetës publike dhe të biznesit dhe masat parandaluese vazhdojnë të kenë një ndikim të kufizuar, veçanërisht në sektorët </w:t>
      </w:r>
      <w:proofErr w:type="spellStart"/>
      <w:r w:rsidRPr="0032048B">
        <w:rPr>
          <w:sz w:val="24"/>
          <w:szCs w:val="24"/>
          <w:lang w:val="sq-AL"/>
        </w:rPr>
        <w:t>vulnerabël</w:t>
      </w:r>
      <w:proofErr w:type="spellEnd"/>
      <w:r w:rsidRPr="0032048B">
        <w:rPr>
          <w:sz w:val="24"/>
          <w:szCs w:val="24"/>
          <w:lang w:val="sq-AL"/>
        </w:rPr>
        <w:t xml:space="preserve">. </w:t>
      </w:r>
      <w:r w:rsidRPr="0032048B">
        <w:rPr>
          <w:sz w:val="24"/>
          <w:szCs w:val="24"/>
          <w:lang w:val="sq-AL"/>
        </w:rPr>
        <w:lastRenderedPageBreak/>
        <w:t xml:space="preserve">Rritja e numrit të dënimeve përfundimtare për nivelin e lartë mbetet një prioritet i rëndësishëm për të luftuar më tej kulturën e mosndëshkimit. Nevojiten përpjekje të mëtejshme për të siguruar ndjekjen e duhur gjyqësore për rastet e rivlerësimit kalimtar kur ka sinjale për vepra penale. Kapaciteti institucional i Drejtorisë së Përgjithshme të </w:t>
      </w:r>
      <w:proofErr w:type="spellStart"/>
      <w:r w:rsidRPr="0032048B">
        <w:rPr>
          <w:sz w:val="24"/>
          <w:szCs w:val="24"/>
          <w:lang w:val="sq-AL"/>
        </w:rPr>
        <w:t>Antikorrupsionit</w:t>
      </w:r>
      <w:proofErr w:type="spellEnd"/>
      <w:r w:rsidRPr="0032048B">
        <w:rPr>
          <w:sz w:val="24"/>
          <w:szCs w:val="24"/>
          <w:lang w:val="sq-AL"/>
        </w:rPr>
        <w:t xml:space="preserve"> në Ministrinë e Drejtësisë duhet të forcohet më tej dhe përbërja e Komisionit të Etikës duhet të rishikohet. Sektorët më të cenueshëm ndaj korrupsionit kërkojnë vlerësime që </w:t>
      </w:r>
      <w:proofErr w:type="spellStart"/>
      <w:r w:rsidRPr="0032048B">
        <w:rPr>
          <w:sz w:val="24"/>
          <w:szCs w:val="24"/>
          <w:lang w:val="sq-AL"/>
        </w:rPr>
        <w:t>shënjestrojnë</w:t>
      </w:r>
      <w:proofErr w:type="spellEnd"/>
      <w:r w:rsidRPr="0032048B">
        <w:rPr>
          <w:sz w:val="24"/>
          <w:szCs w:val="24"/>
          <w:lang w:val="sq-AL"/>
        </w:rPr>
        <w:t xml:space="preserve"> rrezikun </w:t>
      </w:r>
      <w:r w:rsidR="002F773F" w:rsidRPr="0032048B">
        <w:rPr>
          <w:sz w:val="24"/>
          <w:szCs w:val="24"/>
          <w:lang w:val="sq-AL"/>
        </w:rPr>
        <w:t xml:space="preserve">si </w:t>
      </w:r>
      <w:r w:rsidRPr="0032048B">
        <w:rPr>
          <w:sz w:val="24"/>
          <w:szCs w:val="24"/>
          <w:lang w:val="sq-AL"/>
        </w:rPr>
        <w:t>dhe veprime të posaçme.</w:t>
      </w:r>
    </w:p>
    <w:p w14:paraId="627A3A8D" w14:textId="73C478E4" w:rsidR="00380775" w:rsidRPr="0032048B" w:rsidRDefault="00B31C99" w:rsidP="00361D5A">
      <w:pPr>
        <w:tabs>
          <w:tab w:val="left" w:pos="1134"/>
        </w:tabs>
        <w:spacing w:before="120"/>
        <w:ind w:left="993" w:right="1067"/>
        <w:jc w:val="both"/>
        <w:rPr>
          <w:sz w:val="24"/>
          <w:szCs w:val="24"/>
          <w:lang w:val="sq-AL"/>
        </w:rPr>
      </w:pPr>
      <w:r w:rsidRPr="0032048B">
        <w:rPr>
          <w:sz w:val="24"/>
          <w:szCs w:val="24"/>
          <w:lang w:val="sq-AL"/>
        </w:rPr>
        <w:t xml:space="preserve">Shqipëria ka </w:t>
      </w:r>
      <w:r w:rsidR="00380775" w:rsidRPr="0032048B">
        <w:rPr>
          <w:sz w:val="24"/>
          <w:szCs w:val="24"/>
          <w:lang w:val="sq-AL"/>
        </w:rPr>
        <w:t>përgatitje</w:t>
      </w:r>
      <w:r w:rsidRPr="0032048B">
        <w:rPr>
          <w:sz w:val="24"/>
          <w:szCs w:val="24"/>
          <w:lang w:val="sq-AL"/>
        </w:rPr>
        <w:t xml:space="preserve"> </w:t>
      </w:r>
      <w:r w:rsidR="000C6EFC" w:rsidRPr="0032048B">
        <w:rPr>
          <w:sz w:val="24"/>
          <w:szCs w:val="24"/>
          <w:lang w:val="sq-AL"/>
        </w:rPr>
        <w:t>të</w:t>
      </w:r>
      <w:r w:rsidRPr="0032048B">
        <w:rPr>
          <w:sz w:val="24"/>
          <w:szCs w:val="24"/>
          <w:lang w:val="sq-AL"/>
        </w:rPr>
        <w:t xml:space="preserve"> mjaftueshme </w:t>
      </w:r>
      <w:r w:rsidR="00380775" w:rsidRPr="0032048B">
        <w:rPr>
          <w:sz w:val="24"/>
          <w:szCs w:val="24"/>
          <w:lang w:val="sq-AL"/>
        </w:rPr>
        <w:t xml:space="preserve">në </w:t>
      </w:r>
      <w:r w:rsidR="00380775" w:rsidRPr="0032048B">
        <w:rPr>
          <w:b/>
          <w:sz w:val="24"/>
          <w:szCs w:val="24"/>
          <w:lang w:val="sq-AL"/>
        </w:rPr>
        <w:t>luftën kundër krimit të organizuar</w:t>
      </w:r>
      <w:r w:rsidR="00380775" w:rsidRPr="0032048B">
        <w:rPr>
          <w:sz w:val="24"/>
          <w:szCs w:val="24"/>
          <w:lang w:val="sq-AL"/>
        </w:rPr>
        <w:t>, me një nivel të mirë bashkëpunimi të vazhdueshëm me shtetet anëtare të BE-së dhe agjencitë e BE-së. Duhet të bëhen më shumë përpjekje në luftën kundër drogave të paligjshme, duke përfshirë rritjen e kapaciteteve të autoriteteve të zbatimit të ligjit. Pas miratimit të ligjit për prodhimin e kanabisit për qëllime mjekësore dhe industriale, Shqipëria duhet të sigurojë mekanizmat për të parandaluar në mënyrë efektive devijimin e kanabisit për qëllime të tjera. Progresi që është arritur me sekuestrimin dhe konfiskimin e pasurive të lidhura me krimin e organizuar duhet të vazhdojë. Gjithashtu, duhet të vazhdojnë përpjekjet për shtimin e numrit të ndjekjeve penale dhe dënimeve të formës së prerë, veçanërisht në rastet e nivelit të lartë, dhe për të krijuar z</w:t>
      </w:r>
      <w:r w:rsidR="002F773F" w:rsidRPr="0032048B">
        <w:rPr>
          <w:sz w:val="24"/>
          <w:szCs w:val="24"/>
          <w:lang w:val="sq-AL"/>
        </w:rPr>
        <w:t xml:space="preserve">yrën e rikuperimit të pasurive. </w:t>
      </w:r>
      <w:r w:rsidR="00380775" w:rsidRPr="0032048B">
        <w:rPr>
          <w:sz w:val="24"/>
          <w:szCs w:val="24"/>
          <w:lang w:val="sq-AL"/>
        </w:rPr>
        <w:t xml:space="preserve">Lufta kundër krimit </w:t>
      </w:r>
      <w:proofErr w:type="spellStart"/>
      <w:r w:rsidR="00380775" w:rsidRPr="0032048B">
        <w:rPr>
          <w:sz w:val="24"/>
          <w:szCs w:val="24"/>
          <w:lang w:val="sq-AL"/>
        </w:rPr>
        <w:t>kibernetik</w:t>
      </w:r>
      <w:proofErr w:type="spellEnd"/>
      <w:r w:rsidR="00380775" w:rsidRPr="0032048B">
        <w:rPr>
          <w:sz w:val="24"/>
          <w:szCs w:val="24"/>
          <w:lang w:val="sq-AL"/>
        </w:rPr>
        <w:t xml:space="preserve">, pastrimit të parave si dhe parandalimi dhe luftimi i trafikimit të qenieve njerëzore mbeten fusha në të cilat nevojiten më shumë rezultate. Të gjitha format e abuzimit seksual të fëmijëve në internet duhet të parashikohen si vepra penale dhe të ndiqen penalisht. Është arritur progres në zbatimin e rekomandimeve të </w:t>
      </w:r>
      <w:proofErr w:type="spellStart"/>
      <w:r w:rsidR="00380775" w:rsidRPr="0032048B">
        <w:rPr>
          <w:sz w:val="24"/>
          <w:szCs w:val="24"/>
          <w:lang w:val="sq-AL"/>
        </w:rPr>
        <w:t>Moneyval</w:t>
      </w:r>
      <w:proofErr w:type="spellEnd"/>
      <w:r w:rsidR="00380775" w:rsidRPr="0032048B">
        <w:rPr>
          <w:sz w:val="24"/>
          <w:szCs w:val="24"/>
          <w:lang w:val="sq-AL"/>
        </w:rPr>
        <w:t xml:space="preserve"> dhe Planit të Veprimit të </w:t>
      </w:r>
      <w:proofErr w:type="spellStart"/>
      <w:r w:rsidR="00380775" w:rsidRPr="0032048B">
        <w:rPr>
          <w:sz w:val="24"/>
          <w:szCs w:val="24"/>
          <w:lang w:val="sq-AL"/>
        </w:rPr>
        <w:t>Task</w:t>
      </w:r>
      <w:proofErr w:type="spellEnd"/>
      <w:r w:rsidR="00380775" w:rsidRPr="0032048B">
        <w:rPr>
          <w:sz w:val="24"/>
          <w:szCs w:val="24"/>
          <w:lang w:val="sq-AL"/>
        </w:rPr>
        <w:t xml:space="preserve"> Forcës për Veprim Financiar (FATF). FATF-ja e la Shqipërinë në listën e vendeve nën monitorim të shtuar për shkak të projektligjit për Pagesën Vullnetare të Taksave, (përfshirë amnistinë penale). Pas tërheqjes së projektligjit, në qershor 2023, FATF</w:t>
      </w:r>
      <w:r w:rsidR="002F773F" w:rsidRPr="0032048B">
        <w:rPr>
          <w:sz w:val="24"/>
          <w:szCs w:val="24"/>
          <w:lang w:val="sq-AL"/>
        </w:rPr>
        <w:t>-ja</w:t>
      </w:r>
      <w:r w:rsidR="00380775" w:rsidRPr="0032048B">
        <w:rPr>
          <w:sz w:val="24"/>
          <w:szCs w:val="24"/>
          <w:lang w:val="sq-AL"/>
        </w:rPr>
        <w:t xml:space="preserve"> vendosi të propozojë një vizitë në vend, e cila u zhvillua në gusht dhe çoi në heqjen e Shqipërisë nga lista në tetor 2023. Megjithatë, Shqipëria duhet të garantojë që çdo ligj i ardhshëm për pagesën vullnetar</w:t>
      </w:r>
      <w:r w:rsidR="002F773F" w:rsidRPr="0032048B">
        <w:rPr>
          <w:sz w:val="24"/>
          <w:szCs w:val="24"/>
          <w:lang w:val="sq-AL"/>
        </w:rPr>
        <w:t>e të taksave (përfshirë amnistin</w:t>
      </w:r>
      <w:r w:rsidR="00380775" w:rsidRPr="0032048B">
        <w:rPr>
          <w:sz w:val="24"/>
          <w:szCs w:val="24"/>
          <w:lang w:val="sq-AL"/>
        </w:rPr>
        <w:t xml:space="preserve">ë e mundshme penale) të jetë në përputhje me </w:t>
      </w:r>
      <w:proofErr w:type="spellStart"/>
      <w:r w:rsidR="00380775" w:rsidRPr="0032048B">
        <w:rPr>
          <w:i/>
          <w:iCs/>
          <w:sz w:val="24"/>
          <w:szCs w:val="24"/>
          <w:lang w:val="sq-AL"/>
        </w:rPr>
        <w:t>acquis</w:t>
      </w:r>
      <w:proofErr w:type="spellEnd"/>
      <w:r w:rsidR="00380775" w:rsidRPr="0032048B">
        <w:rPr>
          <w:sz w:val="24"/>
          <w:szCs w:val="24"/>
          <w:lang w:val="sq-AL"/>
        </w:rPr>
        <w:t xml:space="preserve"> të BE-së dhe standardet ndërkombëtare. Numri i </w:t>
      </w:r>
      <w:r w:rsidR="002F773F" w:rsidRPr="0032048B">
        <w:rPr>
          <w:sz w:val="24"/>
          <w:szCs w:val="24"/>
          <w:lang w:val="sq-AL"/>
        </w:rPr>
        <w:t xml:space="preserve">dënimeve për </w:t>
      </w:r>
      <w:r w:rsidR="00380775" w:rsidRPr="0032048B">
        <w:rPr>
          <w:sz w:val="24"/>
          <w:szCs w:val="24"/>
          <w:lang w:val="sq-AL"/>
        </w:rPr>
        <w:t>raste</w:t>
      </w:r>
      <w:r w:rsidR="002F773F" w:rsidRPr="0032048B">
        <w:rPr>
          <w:sz w:val="24"/>
          <w:szCs w:val="24"/>
          <w:lang w:val="sq-AL"/>
        </w:rPr>
        <w:t>t e</w:t>
      </w:r>
      <w:r w:rsidR="00380775" w:rsidRPr="0032048B">
        <w:rPr>
          <w:sz w:val="24"/>
          <w:szCs w:val="24"/>
          <w:lang w:val="sq-AL"/>
        </w:rPr>
        <w:t xml:space="preserve"> pastrimit të parave dhe korrupsionit të nivelit të lartë mbetet i pamjaftueshëm, ndërsa hetimet financiare duhet të zhvillohen më tej.</w:t>
      </w:r>
    </w:p>
    <w:p w14:paraId="06252EC9" w14:textId="3D8C3ACF"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 xml:space="preserve">Lidhur me të </w:t>
      </w:r>
      <w:r w:rsidRPr="0032048B">
        <w:rPr>
          <w:b/>
          <w:sz w:val="24"/>
          <w:szCs w:val="24"/>
          <w:lang w:val="sq-AL"/>
        </w:rPr>
        <w:t>drejtat themelore</w:t>
      </w:r>
      <w:r w:rsidRPr="0032048B">
        <w:rPr>
          <w:sz w:val="24"/>
          <w:szCs w:val="24"/>
          <w:lang w:val="sq-AL"/>
        </w:rPr>
        <w:t>, përpjekjet për zbatimin e kuadrit së ligjeve dhe politikave duhet të intensifikohen. Është bërë progres në përdorimin e dënimeve alte</w:t>
      </w:r>
      <w:r w:rsidR="00B31C99" w:rsidRPr="0032048B">
        <w:rPr>
          <w:sz w:val="24"/>
          <w:szCs w:val="24"/>
          <w:lang w:val="sq-AL"/>
        </w:rPr>
        <w:t xml:space="preserve">rnativave. Ka pasur progres </w:t>
      </w:r>
      <w:r w:rsidR="000C6EFC" w:rsidRPr="0032048B">
        <w:rPr>
          <w:sz w:val="24"/>
          <w:szCs w:val="24"/>
          <w:lang w:val="sq-AL"/>
        </w:rPr>
        <w:t>të</w:t>
      </w:r>
      <w:r w:rsidR="00B31C99" w:rsidRPr="0032048B">
        <w:rPr>
          <w:sz w:val="24"/>
          <w:szCs w:val="24"/>
          <w:lang w:val="sq-AL"/>
        </w:rPr>
        <w:t xml:space="preserve"> </w:t>
      </w:r>
      <w:r w:rsidR="000C6EFC" w:rsidRPr="0032048B">
        <w:rPr>
          <w:sz w:val="24"/>
          <w:szCs w:val="24"/>
          <w:lang w:val="sq-AL"/>
        </w:rPr>
        <w:t>mirë</w:t>
      </w:r>
      <w:r w:rsidRPr="0032048B">
        <w:rPr>
          <w:sz w:val="24"/>
          <w:szCs w:val="24"/>
          <w:lang w:val="sq-AL"/>
        </w:rPr>
        <w:t xml:space="preserve"> në të drejtat e personave me aftësi të kufizuara, sa i përket vlerësimit </w:t>
      </w:r>
      <w:proofErr w:type="spellStart"/>
      <w:r w:rsidRPr="0032048B">
        <w:rPr>
          <w:sz w:val="24"/>
          <w:szCs w:val="24"/>
          <w:lang w:val="sq-AL"/>
        </w:rPr>
        <w:t>biopsikosocial</w:t>
      </w:r>
      <w:proofErr w:type="spellEnd"/>
      <w:r w:rsidRPr="0032048B">
        <w:rPr>
          <w:sz w:val="24"/>
          <w:szCs w:val="24"/>
          <w:lang w:val="sq-AL"/>
        </w:rPr>
        <w:t>. Procesi i regjistrimit fillestar të pronave dhe proceset e tjera kalimtare duhet të avancojnë me transparencë të plotë, përfshirë edhe luftimin e korrupsionit. Për mbrojtjen e pakicave kombëtare, miratimi i akteve të mbetura nënligjore nuk ka avancuar. Për më tepër, Shqipëria duhet të krijojë garanci të forta ligjore dhe institucionale për të parandaluar shkeljet e mëtejshme me të dhënat personale.</w:t>
      </w:r>
    </w:p>
    <w:p w14:paraId="5B807649" w14:textId="4E5BBA88" w:rsidR="00380775" w:rsidRPr="0032048B" w:rsidRDefault="00B31C99" w:rsidP="00361D5A">
      <w:pPr>
        <w:tabs>
          <w:tab w:val="left" w:pos="1134"/>
        </w:tabs>
        <w:spacing w:before="120"/>
        <w:ind w:left="993" w:right="1067"/>
        <w:jc w:val="both"/>
        <w:rPr>
          <w:sz w:val="24"/>
          <w:szCs w:val="24"/>
          <w:lang w:val="sq-AL"/>
        </w:rPr>
      </w:pPr>
      <w:r w:rsidRPr="0032048B">
        <w:rPr>
          <w:sz w:val="24"/>
          <w:szCs w:val="24"/>
          <w:lang w:val="sq-AL"/>
        </w:rPr>
        <w:t>Shqipëria është midis</w:t>
      </w:r>
      <w:r w:rsidR="00380775" w:rsidRPr="0032048B">
        <w:rPr>
          <w:sz w:val="24"/>
          <w:szCs w:val="24"/>
          <w:lang w:val="sq-AL"/>
        </w:rPr>
        <w:t xml:space="preserve"> përgatitje</w:t>
      </w:r>
      <w:r w:rsidRPr="0032048B">
        <w:rPr>
          <w:sz w:val="24"/>
          <w:szCs w:val="24"/>
          <w:lang w:val="sq-AL"/>
        </w:rPr>
        <w:t xml:space="preserve">s </w:t>
      </w:r>
      <w:r w:rsidR="000C6EFC" w:rsidRPr="0032048B">
        <w:rPr>
          <w:sz w:val="24"/>
          <w:szCs w:val="24"/>
          <w:lang w:val="sq-AL"/>
        </w:rPr>
        <w:t>së</w:t>
      </w:r>
      <w:r w:rsidRPr="0032048B">
        <w:rPr>
          <w:sz w:val="24"/>
          <w:szCs w:val="24"/>
          <w:lang w:val="sq-AL"/>
        </w:rPr>
        <w:t xml:space="preserve"> mjaftueshme</w:t>
      </w:r>
      <w:r w:rsidR="00380775" w:rsidRPr="0032048B">
        <w:rPr>
          <w:sz w:val="24"/>
          <w:szCs w:val="24"/>
          <w:lang w:val="sq-AL"/>
        </w:rPr>
        <w:t xml:space="preserve"> dhe përgatitjes mesatare në fushën </w:t>
      </w:r>
      <w:r w:rsidR="00380775" w:rsidRPr="0032048B">
        <w:rPr>
          <w:b/>
          <w:sz w:val="24"/>
          <w:szCs w:val="24"/>
          <w:lang w:val="sq-AL"/>
        </w:rPr>
        <w:t>e lirisë së shprehjes</w:t>
      </w:r>
      <w:r w:rsidR="00380775" w:rsidRPr="0032048B">
        <w:rPr>
          <w:sz w:val="24"/>
          <w:szCs w:val="24"/>
          <w:lang w:val="sq-AL"/>
        </w:rPr>
        <w:t xml:space="preserve">. Progresi është i kufizuar. Ndërthurja e interesave të biznesit dhe politikës, mungesa e transparencës së burimeve të financimit, përqendrimi i pronësisë së medias, </w:t>
      </w:r>
      <w:r w:rsidR="00026FA9" w:rsidRPr="0032048B">
        <w:rPr>
          <w:sz w:val="24"/>
          <w:szCs w:val="24"/>
          <w:lang w:val="sq-AL"/>
        </w:rPr>
        <w:t>frikësimi</w:t>
      </w:r>
      <w:r w:rsidR="00380775" w:rsidRPr="0032048B">
        <w:rPr>
          <w:sz w:val="24"/>
          <w:szCs w:val="24"/>
          <w:lang w:val="sq-AL"/>
        </w:rPr>
        <w:t xml:space="preserve"> dhe kushtet e pasigurta të punës vazhduan të dëmtojnë pavarësinë e medias, pluralizmin dhe cilësinë e gazetarisë. Atmosfera e sulmeve verbale dhe fizike, fushatave të shpifjeve dhe padive si </w:t>
      </w:r>
      <w:r w:rsidR="00026FA9" w:rsidRPr="0032048B">
        <w:rPr>
          <w:sz w:val="24"/>
          <w:szCs w:val="24"/>
          <w:lang w:val="sq-AL"/>
        </w:rPr>
        <w:t>presion</w:t>
      </w:r>
      <w:r w:rsidR="00380775" w:rsidRPr="0032048B">
        <w:rPr>
          <w:sz w:val="24"/>
          <w:szCs w:val="24"/>
          <w:lang w:val="sq-AL"/>
        </w:rPr>
        <w:t xml:space="preserve"> ndaj gazetarëve nuk është përmirësuar.</w:t>
      </w:r>
    </w:p>
    <w:p w14:paraId="6A46C13C" w14:textId="77777777"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 xml:space="preserve">Zbatimi i </w:t>
      </w:r>
      <w:proofErr w:type="spellStart"/>
      <w:r w:rsidRPr="0032048B">
        <w:rPr>
          <w:sz w:val="24"/>
          <w:szCs w:val="24"/>
          <w:lang w:val="sq-AL"/>
        </w:rPr>
        <w:t>buxhetimit</w:t>
      </w:r>
      <w:proofErr w:type="spellEnd"/>
      <w:r w:rsidRPr="0032048B">
        <w:rPr>
          <w:sz w:val="24"/>
          <w:szCs w:val="24"/>
          <w:lang w:val="sq-AL"/>
        </w:rPr>
        <w:t xml:space="preserve"> të përgjegjshëm gjinor vazhdoi të përmirësohet. Që nga janari i vitit 2022, qeveria shqiptare ka zbatuar një sërë masash që synojnë mbështetjen e familjeve, grave dhe vajzave, si dhe grupeve </w:t>
      </w:r>
      <w:proofErr w:type="spellStart"/>
      <w:r w:rsidRPr="0032048B">
        <w:rPr>
          <w:sz w:val="24"/>
          <w:szCs w:val="24"/>
          <w:lang w:val="sq-AL"/>
        </w:rPr>
        <w:t>vulnerabël</w:t>
      </w:r>
      <w:proofErr w:type="spellEnd"/>
      <w:r w:rsidRPr="0032048B">
        <w:rPr>
          <w:sz w:val="24"/>
          <w:szCs w:val="24"/>
          <w:lang w:val="sq-AL"/>
        </w:rPr>
        <w:t xml:space="preserve"> për të përballuar krizën e shkaktuar nga pandemia COVID-19 dhe lufta e agresionit të Rusisë kundër Ukrainës. Është rritur ndjeshëm ndihma ekonomike për viktimat e dhunës në familje. Zbatimi i ligjit për barazinë gjinore dhe strategjisë kombëtare për gjininë duhet të intensifikohet më tej.</w:t>
      </w:r>
    </w:p>
    <w:p w14:paraId="376FF829" w14:textId="09B3C127" w:rsidR="00380775" w:rsidRPr="0032048B" w:rsidRDefault="00380775" w:rsidP="00361D5A">
      <w:pPr>
        <w:tabs>
          <w:tab w:val="left" w:pos="1134"/>
        </w:tabs>
        <w:spacing w:before="120"/>
        <w:ind w:left="993" w:right="1067"/>
        <w:jc w:val="both"/>
        <w:rPr>
          <w:spacing w:val="-7"/>
          <w:sz w:val="24"/>
          <w:szCs w:val="24"/>
          <w:lang w:val="sq-AL"/>
        </w:rPr>
      </w:pPr>
      <w:r w:rsidRPr="0032048B">
        <w:rPr>
          <w:sz w:val="24"/>
          <w:szCs w:val="24"/>
          <w:lang w:val="sq-AL"/>
        </w:rPr>
        <w:lastRenderedPageBreak/>
        <w:t xml:space="preserve">Kuadri ligjor për </w:t>
      </w:r>
      <w:r w:rsidRPr="0032048B">
        <w:rPr>
          <w:b/>
          <w:sz w:val="24"/>
          <w:szCs w:val="24"/>
          <w:lang w:val="sq-AL"/>
        </w:rPr>
        <w:t>migracionin</w:t>
      </w:r>
      <w:r w:rsidRPr="0032048B">
        <w:rPr>
          <w:sz w:val="24"/>
          <w:szCs w:val="24"/>
          <w:lang w:val="sq-AL"/>
        </w:rPr>
        <w:t xml:space="preserve"> është kryesisht në përputhje me </w:t>
      </w:r>
      <w:proofErr w:type="spellStart"/>
      <w:r w:rsidRPr="0032048B">
        <w:rPr>
          <w:i/>
          <w:iCs/>
          <w:sz w:val="24"/>
          <w:szCs w:val="24"/>
          <w:lang w:val="sq-AL"/>
        </w:rPr>
        <w:t>acquis</w:t>
      </w:r>
      <w:proofErr w:type="spellEnd"/>
      <w:r w:rsidRPr="0032048B">
        <w:rPr>
          <w:sz w:val="24"/>
          <w:szCs w:val="24"/>
          <w:lang w:val="sq-AL"/>
        </w:rPr>
        <w:t xml:space="preserve"> të BE-së, por ka nevojë për përditësim në përputhje me zhvillimet që ndodhin në BE. Shqipëria ka kontribuar në menaxhimin e flukseve të përziera të migracionit drejt BE-së duke bashkëpunuar për zbatimin e Planit të Veprimit të BE-së për Ballkanin Perëndimor. Ajo nënshkroi marrëveshjen e rishikuar të statusit </w:t>
      </w:r>
      <w:proofErr w:type="spellStart"/>
      <w:r w:rsidRPr="0032048B">
        <w:rPr>
          <w:sz w:val="24"/>
          <w:szCs w:val="24"/>
          <w:lang w:val="sq-AL"/>
        </w:rPr>
        <w:t>Frontex</w:t>
      </w:r>
      <w:proofErr w:type="spellEnd"/>
      <w:r w:rsidRPr="0032048B">
        <w:rPr>
          <w:sz w:val="24"/>
          <w:szCs w:val="24"/>
          <w:lang w:val="sq-AL"/>
        </w:rPr>
        <w:t xml:space="preserve"> në shtator. </w:t>
      </w:r>
      <w:r w:rsidRPr="0032048B">
        <w:rPr>
          <w:spacing w:val="-7"/>
          <w:sz w:val="24"/>
          <w:szCs w:val="24"/>
          <w:lang w:val="sq-AL"/>
        </w:rPr>
        <w:t xml:space="preserve">Në vitin 2022, numri i </w:t>
      </w:r>
      <w:proofErr w:type="spellStart"/>
      <w:r w:rsidRPr="0032048B">
        <w:rPr>
          <w:spacing w:val="-7"/>
          <w:sz w:val="24"/>
          <w:szCs w:val="24"/>
          <w:lang w:val="sq-AL"/>
        </w:rPr>
        <w:t>migrantëve</w:t>
      </w:r>
      <w:proofErr w:type="spellEnd"/>
      <w:r w:rsidRPr="0032048B">
        <w:rPr>
          <w:spacing w:val="-7"/>
          <w:sz w:val="24"/>
          <w:szCs w:val="24"/>
          <w:lang w:val="sq-AL"/>
        </w:rPr>
        <w:t xml:space="preserve"> të parregullt që hynë në Shqipëri u reduktua me 34% krahasuar me vitin 2021. Nuk është bërë progres në referimet dhe qasjen në procedurat e azilit, ndërsa problemet në procedurat e kthimit vazhdojnë. Shqipëria duhet të ndërmarrë hapa konkretë për të trajtuar nevojat e të miturve të pashoqëruar dhe për të harmonizuar politikën e saj të vizave me atë të BE-së. Megjithëse numri i kërkesave për azil të paraqitura nga shtetasit shqiptarë në shtetet anëtare të BE-së dhe vendet e lidhura me </w:t>
      </w:r>
      <w:proofErr w:type="spellStart"/>
      <w:r w:rsidRPr="0032048B">
        <w:rPr>
          <w:spacing w:val="-7"/>
          <w:sz w:val="24"/>
          <w:szCs w:val="24"/>
          <w:lang w:val="sq-AL"/>
        </w:rPr>
        <w:t>Shengen</w:t>
      </w:r>
      <w:proofErr w:type="spellEnd"/>
      <w:r w:rsidRPr="0032048B">
        <w:rPr>
          <w:spacing w:val="-7"/>
          <w:sz w:val="24"/>
          <w:szCs w:val="24"/>
          <w:lang w:val="sq-AL"/>
        </w:rPr>
        <w:t xml:space="preserve"> mbetet më i ulët se niveli para pandemisë, ai u rrit sërish në vitin 2022. Për të trajtuar këtë fenomen, vazhdojnë të nevojiten përpjekje të vazhdueshme dhe të qëndrueshme.</w:t>
      </w:r>
    </w:p>
    <w:p w14:paraId="5D8FFCCF" w14:textId="445B8EFB" w:rsidR="00380775" w:rsidRPr="0032048B" w:rsidRDefault="00380775" w:rsidP="00361D5A">
      <w:pPr>
        <w:tabs>
          <w:tab w:val="left" w:pos="1134"/>
        </w:tabs>
        <w:spacing w:before="120"/>
        <w:ind w:left="993" w:right="1067"/>
        <w:jc w:val="both"/>
        <w:rPr>
          <w:spacing w:val="-7"/>
          <w:sz w:val="24"/>
          <w:szCs w:val="24"/>
          <w:lang w:val="sq-AL"/>
        </w:rPr>
      </w:pPr>
      <w:r w:rsidRPr="0032048B">
        <w:rPr>
          <w:spacing w:val="-7"/>
          <w:sz w:val="24"/>
          <w:szCs w:val="24"/>
          <w:lang w:val="sq-AL"/>
        </w:rPr>
        <w:t xml:space="preserve">Për sa u përket kritereve ekonomike, Shqipëria është midis përgatitjes mesatare dhe përgatitjes së mirë në </w:t>
      </w:r>
      <w:r w:rsidRPr="0032048B">
        <w:rPr>
          <w:b/>
          <w:spacing w:val="-7"/>
          <w:sz w:val="24"/>
          <w:szCs w:val="24"/>
          <w:lang w:val="sq-AL"/>
        </w:rPr>
        <w:t>zhvillimin e një ekonomie tregu funksionale</w:t>
      </w:r>
      <w:r w:rsidR="00B31C99" w:rsidRPr="0032048B">
        <w:rPr>
          <w:spacing w:val="-7"/>
          <w:sz w:val="24"/>
          <w:szCs w:val="24"/>
          <w:lang w:val="sq-AL"/>
        </w:rPr>
        <w:t xml:space="preserve"> dhe ka bërë progres </w:t>
      </w:r>
      <w:r w:rsidR="000C6EFC" w:rsidRPr="0032048B">
        <w:rPr>
          <w:spacing w:val="-7"/>
          <w:sz w:val="24"/>
          <w:szCs w:val="24"/>
          <w:lang w:val="sq-AL"/>
        </w:rPr>
        <w:t>të</w:t>
      </w:r>
      <w:r w:rsidR="00B31C99" w:rsidRPr="0032048B">
        <w:rPr>
          <w:spacing w:val="-7"/>
          <w:sz w:val="24"/>
          <w:szCs w:val="24"/>
          <w:lang w:val="sq-AL"/>
        </w:rPr>
        <w:t xml:space="preserve"> </w:t>
      </w:r>
      <w:r w:rsidR="000C6EFC" w:rsidRPr="0032048B">
        <w:rPr>
          <w:spacing w:val="-7"/>
          <w:sz w:val="24"/>
          <w:szCs w:val="24"/>
          <w:lang w:val="sq-AL"/>
        </w:rPr>
        <w:t>mirë</w:t>
      </w:r>
      <w:r w:rsidRPr="0032048B">
        <w:rPr>
          <w:spacing w:val="-7"/>
          <w:sz w:val="24"/>
          <w:szCs w:val="24"/>
          <w:lang w:val="sq-AL"/>
        </w:rPr>
        <w:t xml:space="preserve"> në përmbushjen e</w:t>
      </w:r>
      <w:r w:rsidR="004D53EC">
        <w:rPr>
          <w:spacing w:val="-7"/>
          <w:sz w:val="24"/>
          <w:szCs w:val="24"/>
          <w:lang w:val="sq-AL"/>
        </w:rPr>
        <w:t xml:space="preserve"> </w:t>
      </w:r>
      <w:r w:rsidRPr="0032048B">
        <w:rPr>
          <w:spacing w:val="-7"/>
          <w:sz w:val="24"/>
          <w:szCs w:val="24"/>
          <w:lang w:val="sq-AL"/>
        </w:rPr>
        <w:t xml:space="preserve">rekomandimeve të vitit të kaluar. Ekonomia tregoi elasticitet dhe rritja e PBB-së mbeti e fortë në vitin 2022, pavarësisht pasojave ekonomike nga lufta e agresionit të Rusisë kundër Ukrainës. Shqipëria është në nivelin e përgatitjes </w:t>
      </w:r>
      <w:r w:rsidRPr="0032048B">
        <w:rPr>
          <w:b/>
          <w:spacing w:val="-7"/>
          <w:sz w:val="24"/>
          <w:szCs w:val="24"/>
          <w:lang w:val="sq-AL"/>
        </w:rPr>
        <w:t>për të përballuar presionin konkurrues dhe forcat e tregut brenda BE-së</w:t>
      </w:r>
      <w:r w:rsidR="00B31C99" w:rsidRPr="0032048B">
        <w:rPr>
          <w:spacing w:val="-7"/>
          <w:sz w:val="24"/>
          <w:szCs w:val="24"/>
          <w:lang w:val="sq-AL"/>
        </w:rPr>
        <w:t xml:space="preserve"> dhe ka bërë </w:t>
      </w:r>
      <w:r w:rsidRPr="0032048B">
        <w:rPr>
          <w:spacing w:val="-7"/>
          <w:sz w:val="24"/>
          <w:szCs w:val="24"/>
          <w:lang w:val="sq-AL"/>
        </w:rPr>
        <w:t>progres</w:t>
      </w:r>
      <w:r w:rsidR="00B31C99" w:rsidRPr="0032048B">
        <w:rPr>
          <w:spacing w:val="-7"/>
          <w:sz w:val="24"/>
          <w:szCs w:val="24"/>
          <w:lang w:val="sq-AL"/>
        </w:rPr>
        <w:t xml:space="preserve"> </w:t>
      </w:r>
      <w:r w:rsidR="000C6EFC" w:rsidRPr="0032048B">
        <w:rPr>
          <w:spacing w:val="-7"/>
          <w:sz w:val="24"/>
          <w:szCs w:val="24"/>
          <w:lang w:val="sq-AL"/>
        </w:rPr>
        <w:t>të</w:t>
      </w:r>
      <w:r w:rsidR="00B31C99" w:rsidRPr="0032048B">
        <w:rPr>
          <w:spacing w:val="-7"/>
          <w:sz w:val="24"/>
          <w:szCs w:val="24"/>
          <w:lang w:val="sq-AL"/>
        </w:rPr>
        <w:t xml:space="preserve"> </w:t>
      </w:r>
      <w:r w:rsidR="000C6EFC" w:rsidRPr="0032048B">
        <w:rPr>
          <w:spacing w:val="-7"/>
          <w:sz w:val="24"/>
          <w:szCs w:val="24"/>
          <w:lang w:val="sq-AL"/>
        </w:rPr>
        <w:t>mirë</w:t>
      </w:r>
      <w:r w:rsidRPr="0032048B">
        <w:rPr>
          <w:spacing w:val="-7"/>
          <w:sz w:val="24"/>
          <w:szCs w:val="24"/>
          <w:lang w:val="sq-AL"/>
        </w:rPr>
        <w:t xml:space="preserve"> në reformat strukturore të tregut të energjisë, infrastrukturës e transportit, digjitalizimit të ekonomisë dhe rezultateve të arsimit, ndonëse mbeten boshllëqe të konsiderueshme me nivelet rajonale dhe evropiane.</w:t>
      </w:r>
    </w:p>
    <w:p w14:paraId="77E268B6" w14:textId="0B8E9E43" w:rsidR="00380775" w:rsidRPr="0032048B" w:rsidRDefault="00380775" w:rsidP="00361D5A">
      <w:pPr>
        <w:tabs>
          <w:tab w:val="left" w:pos="1134"/>
        </w:tabs>
        <w:spacing w:before="120"/>
        <w:ind w:left="993" w:right="1067"/>
        <w:jc w:val="both"/>
        <w:rPr>
          <w:spacing w:val="-7"/>
          <w:sz w:val="24"/>
          <w:szCs w:val="24"/>
          <w:lang w:val="sq-AL"/>
        </w:rPr>
      </w:pPr>
      <w:r w:rsidRPr="0032048B">
        <w:rPr>
          <w:spacing w:val="-7"/>
          <w:sz w:val="24"/>
          <w:szCs w:val="24"/>
          <w:lang w:val="sq-AL"/>
        </w:rPr>
        <w:t xml:space="preserve">Për sa i përket </w:t>
      </w:r>
      <w:r w:rsidRPr="0032048B">
        <w:rPr>
          <w:b/>
          <w:spacing w:val="-7"/>
          <w:sz w:val="24"/>
          <w:szCs w:val="24"/>
          <w:lang w:val="sq-AL"/>
        </w:rPr>
        <w:t>prokurimit publik</w:t>
      </w:r>
      <w:r w:rsidRPr="0032048B">
        <w:rPr>
          <w:spacing w:val="-7"/>
          <w:sz w:val="24"/>
          <w:szCs w:val="24"/>
          <w:lang w:val="sq-AL"/>
        </w:rPr>
        <w:t xml:space="preserve">, Shqipëria është mesatarisht e përgatitur dhe ka bërë </w:t>
      </w:r>
      <w:r w:rsidR="00B31C99" w:rsidRPr="0032048B">
        <w:rPr>
          <w:spacing w:val="-7"/>
          <w:sz w:val="24"/>
          <w:szCs w:val="24"/>
          <w:lang w:val="sq-AL"/>
        </w:rPr>
        <w:t>progres</w:t>
      </w:r>
      <w:r w:rsidRPr="0032048B">
        <w:rPr>
          <w:spacing w:val="-7"/>
          <w:sz w:val="24"/>
          <w:szCs w:val="24"/>
          <w:lang w:val="sq-AL"/>
        </w:rPr>
        <w:t xml:space="preserve">, veçanërisht nëpërmjet rritjes së përdorimit të kritereve për dhënien e tenderit ekonomikisht më të favorshëm. Në lidhje me </w:t>
      </w:r>
      <w:r w:rsidRPr="0032048B">
        <w:rPr>
          <w:b/>
          <w:bCs/>
          <w:spacing w:val="-7"/>
          <w:sz w:val="24"/>
          <w:szCs w:val="24"/>
          <w:lang w:val="sq-AL"/>
        </w:rPr>
        <w:t>statistikat,</w:t>
      </w:r>
      <w:r w:rsidRPr="0032048B">
        <w:rPr>
          <w:spacing w:val="-7"/>
          <w:sz w:val="24"/>
          <w:szCs w:val="24"/>
          <w:lang w:val="sq-AL"/>
        </w:rPr>
        <w:t xml:space="preserve"> Shqipëria është mesatarisht e</w:t>
      </w:r>
      <w:r w:rsidR="00B31C99" w:rsidRPr="0032048B">
        <w:rPr>
          <w:spacing w:val="-7"/>
          <w:sz w:val="24"/>
          <w:szCs w:val="24"/>
          <w:lang w:val="sq-AL"/>
        </w:rPr>
        <w:t xml:space="preserve"> përgatitur dhe ka bërë</w:t>
      </w:r>
      <w:r w:rsidRPr="0032048B">
        <w:rPr>
          <w:spacing w:val="-7"/>
          <w:sz w:val="24"/>
          <w:szCs w:val="24"/>
          <w:lang w:val="sq-AL"/>
        </w:rPr>
        <w:t xml:space="preserve"> progres</w:t>
      </w:r>
      <w:r w:rsidR="00B31C99" w:rsidRPr="0032048B">
        <w:rPr>
          <w:spacing w:val="-7"/>
          <w:sz w:val="24"/>
          <w:szCs w:val="24"/>
          <w:lang w:val="sq-AL"/>
        </w:rPr>
        <w:t xml:space="preserve"> </w:t>
      </w:r>
      <w:r w:rsidR="000C6EFC" w:rsidRPr="0032048B">
        <w:rPr>
          <w:spacing w:val="-7"/>
          <w:sz w:val="24"/>
          <w:szCs w:val="24"/>
          <w:lang w:val="sq-AL"/>
        </w:rPr>
        <w:t>të</w:t>
      </w:r>
      <w:r w:rsidR="00B31C99" w:rsidRPr="0032048B">
        <w:rPr>
          <w:spacing w:val="-7"/>
          <w:sz w:val="24"/>
          <w:szCs w:val="24"/>
          <w:lang w:val="sq-AL"/>
        </w:rPr>
        <w:t xml:space="preserve"> </w:t>
      </w:r>
      <w:r w:rsidR="000C6EFC" w:rsidRPr="0032048B">
        <w:rPr>
          <w:spacing w:val="-7"/>
          <w:sz w:val="24"/>
          <w:szCs w:val="24"/>
          <w:lang w:val="sq-AL"/>
        </w:rPr>
        <w:t>mirë</w:t>
      </w:r>
      <w:r w:rsidRPr="0032048B">
        <w:rPr>
          <w:spacing w:val="-7"/>
          <w:sz w:val="24"/>
          <w:szCs w:val="24"/>
          <w:lang w:val="sq-AL"/>
        </w:rPr>
        <w:t xml:space="preserve"> në përafrimin e mëtejshëm me standardet e Sistemit Evropian të Llogarive Kombëtare dhe Rajonale (ESA 2010) dhe në hapat që forcojnë rolin e Institutit të Statistikave. Shqipëria është mesatarisht e përgatitur në fushën e </w:t>
      </w:r>
      <w:r w:rsidRPr="0032048B">
        <w:rPr>
          <w:b/>
          <w:spacing w:val="-7"/>
          <w:sz w:val="24"/>
          <w:szCs w:val="24"/>
          <w:lang w:val="sq-AL"/>
        </w:rPr>
        <w:t>kontrollit financiar</w:t>
      </w:r>
      <w:r w:rsidRPr="0032048B">
        <w:rPr>
          <w:spacing w:val="-7"/>
          <w:sz w:val="24"/>
          <w:szCs w:val="24"/>
          <w:lang w:val="sq-AL"/>
        </w:rPr>
        <w:t xml:space="preserve"> ku është bërë </w:t>
      </w:r>
      <w:r w:rsidR="00B31C99" w:rsidRPr="0032048B">
        <w:rPr>
          <w:spacing w:val="-7"/>
          <w:sz w:val="24"/>
          <w:szCs w:val="24"/>
          <w:lang w:val="sq-AL"/>
        </w:rPr>
        <w:t>progres</w:t>
      </w:r>
      <w:r w:rsidRPr="0032048B">
        <w:rPr>
          <w:spacing w:val="-7"/>
          <w:sz w:val="24"/>
          <w:szCs w:val="24"/>
          <w:lang w:val="sq-AL"/>
        </w:rPr>
        <w:t xml:space="preserve">, veçanërisht me përditësimet e kuadrit ligjor për kontrollin e brendshëm dhe </w:t>
      </w:r>
      <w:proofErr w:type="spellStart"/>
      <w:r w:rsidRPr="0032048B">
        <w:rPr>
          <w:spacing w:val="-7"/>
          <w:sz w:val="24"/>
          <w:szCs w:val="24"/>
          <w:lang w:val="sq-AL"/>
        </w:rPr>
        <w:t>auditimin</w:t>
      </w:r>
      <w:proofErr w:type="spellEnd"/>
      <w:r w:rsidRPr="0032048B">
        <w:rPr>
          <w:spacing w:val="-7"/>
          <w:sz w:val="24"/>
          <w:szCs w:val="24"/>
          <w:lang w:val="sq-AL"/>
        </w:rPr>
        <w:t xml:space="preserve"> e brendshëm dhe zbatimin e dokumentit të politikave për forcimin e kontrollit të brendshëm financiar publik, si dhe vazhdoi të t’i drejtojë </w:t>
      </w:r>
      <w:proofErr w:type="spellStart"/>
      <w:r w:rsidRPr="0032048B">
        <w:rPr>
          <w:spacing w:val="-7"/>
          <w:sz w:val="24"/>
          <w:szCs w:val="24"/>
          <w:lang w:val="sq-AL"/>
        </w:rPr>
        <w:t>auditimet</w:t>
      </w:r>
      <w:proofErr w:type="spellEnd"/>
      <w:r w:rsidRPr="0032048B">
        <w:rPr>
          <w:spacing w:val="-7"/>
          <w:sz w:val="24"/>
          <w:szCs w:val="24"/>
          <w:lang w:val="sq-AL"/>
        </w:rPr>
        <w:t xml:space="preserve"> e brendshme tek detyrimet e prapambetura.</w:t>
      </w:r>
    </w:p>
    <w:p w14:paraId="43D81450" w14:textId="5E3EDC8B" w:rsidR="00380775" w:rsidRPr="0032048B" w:rsidRDefault="00380775" w:rsidP="00361D5A">
      <w:pPr>
        <w:tabs>
          <w:tab w:val="left" w:pos="1134"/>
        </w:tabs>
        <w:spacing w:before="120"/>
        <w:ind w:left="993" w:right="1067"/>
        <w:jc w:val="both"/>
        <w:rPr>
          <w:spacing w:val="-7"/>
          <w:sz w:val="24"/>
          <w:szCs w:val="24"/>
          <w:lang w:val="sq-AL"/>
        </w:rPr>
      </w:pPr>
      <w:r w:rsidRPr="0032048B">
        <w:rPr>
          <w:spacing w:val="-7"/>
          <w:sz w:val="24"/>
          <w:szCs w:val="24"/>
          <w:lang w:val="sq-AL"/>
        </w:rPr>
        <w:t xml:space="preserve">Shqipëria ka përgatitje mesatare në shumicën e fushave të </w:t>
      </w:r>
      <w:r w:rsidRPr="0032048B">
        <w:rPr>
          <w:b/>
          <w:spacing w:val="-7"/>
          <w:sz w:val="24"/>
          <w:szCs w:val="24"/>
          <w:lang w:val="sq-AL"/>
        </w:rPr>
        <w:t>tregut të brendshëm</w:t>
      </w:r>
      <w:r w:rsidRPr="0032048B">
        <w:rPr>
          <w:spacing w:val="-7"/>
          <w:sz w:val="24"/>
          <w:szCs w:val="24"/>
          <w:lang w:val="sq-AL"/>
        </w:rPr>
        <w:t>, përkatësisht lëvizjen e lirë të mallrave, shërbimeve dhe kapitalit, shërbimet financiare dhe politikën e konkurrencës. E njëjta gjë vlen edhe për të drejtën e shoqërive tregtare dhe të drejtën e pronësisë in</w:t>
      </w:r>
      <w:r w:rsidR="00B31C99" w:rsidRPr="0032048B">
        <w:rPr>
          <w:spacing w:val="-7"/>
          <w:sz w:val="24"/>
          <w:szCs w:val="24"/>
          <w:lang w:val="sq-AL"/>
        </w:rPr>
        <w:t xml:space="preserve">telektuale. Është bërë </w:t>
      </w:r>
      <w:r w:rsidRPr="0032048B">
        <w:rPr>
          <w:spacing w:val="-7"/>
          <w:sz w:val="24"/>
          <w:szCs w:val="24"/>
          <w:lang w:val="sq-AL"/>
        </w:rPr>
        <w:t>progres</w:t>
      </w:r>
      <w:r w:rsidR="00B31C99" w:rsidRPr="0032048B">
        <w:rPr>
          <w:spacing w:val="-7"/>
          <w:sz w:val="24"/>
          <w:szCs w:val="24"/>
          <w:lang w:val="sq-AL"/>
        </w:rPr>
        <w:t xml:space="preserve"> </w:t>
      </w:r>
      <w:r w:rsidRPr="0032048B">
        <w:rPr>
          <w:spacing w:val="-7"/>
          <w:sz w:val="24"/>
          <w:szCs w:val="24"/>
          <w:lang w:val="sq-AL"/>
        </w:rPr>
        <w:t xml:space="preserve">i </w:t>
      </w:r>
      <w:r w:rsidR="000C6EFC" w:rsidRPr="0032048B">
        <w:rPr>
          <w:spacing w:val="-7"/>
          <w:sz w:val="24"/>
          <w:szCs w:val="24"/>
          <w:lang w:val="sq-AL"/>
        </w:rPr>
        <w:t>mirë</w:t>
      </w:r>
      <w:r w:rsidR="00B31C99" w:rsidRPr="0032048B">
        <w:rPr>
          <w:spacing w:val="-7"/>
          <w:sz w:val="24"/>
          <w:szCs w:val="24"/>
          <w:lang w:val="sq-AL"/>
        </w:rPr>
        <w:t xml:space="preserve"> </w:t>
      </w:r>
      <w:r w:rsidRPr="0032048B">
        <w:rPr>
          <w:spacing w:val="-7"/>
          <w:sz w:val="24"/>
          <w:szCs w:val="24"/>
          <w:lang w:val="sq-AL"/>
        </w:rPr>
        <w:t>në të drejtat e pronësisë intelektuale dhe në lëvizjen e lirë të anëtarëve të familjeve të qytetarëve të BE-së, si dhe në shërbimet financiare. Megjithatë, nuk është bërë progres në politikën e konkurrencës, ku Komisionit të Ndihmës Shtetërore ende i mungon pavarësia funksionale. Janë në fazë të hershme përgatitjet për mbrojtjen e konsumatorëve dhe shëndetit, ku vendi ka bërë progres të kufizuar. Edhe në lëvizjen e lir</w:t>
      </w:r>
      <w:r w:rsidR="00B31C99" w:rsidRPr="0032048B">
        <w:rPr>
          <w:spacing w:val="-7"/>
          <w:sz w:val="24"/>
          <w:szCs w:val="24"/>
          <w:lang w:val="sq-AL"/>
        </w:rPr>
        <w:t xml:space="preserve">ë të kapitalit u arrit </w:t>
      </w:r>
      <w:r w:rsidRPr="0032048B">
        <w:rPr>
          <w:spacing w:val="-7"/>
          <w:sz w:val="24"/>
          <w:szCs w:val="24"/>
          <w:lang w:val="sq-AL"/>
        </w:rPr>
        <w:t>progres</w:t>
      </w:r>
      <w:r w:rsidR="00B31C99" w:rsidRPr="0032048B">
        <w:rPr>
          <w:spacing w:val="-7"/>
          <w:sz w:val="24"/>
          <w:szCs w:val="24"/>
          <w:lang w:val="sq-AL"/>
        </w:rPr>
        <w:t xml:space="preserve"> </w:t>
      </w:r>
      <w:r w:rsidRPr="0032048B">
        <w:rPr>
          <w:spacing w:val="-7"/>
          <w:sz w:val="24"/>
          <w:szCs w:val="24"/>
          <w:lang w:val="sq-AL"/>
        </w:rPr>
        <w:t>i</w:t>
      </w:r>
      <w:r w:rsidR="00B31C99" w:rsidRPr="0032048B">
        <w:rPr>
          <w:spacing w:val="-7"/>
          <w:sz w:val="24"/>
          <w:szCs w:val="24"/>
          <w:lang w:val="sq-AL"/>
        </w:rPr>
        <w:t xml:space="preserve"> </w:t>
      </w:r>
      <w:r w:rsidR="000C6EFC" w:rsidRPr="0032048B">
        <w:rPr>
          <w:spacing w:val="-7"/>
          <w:sz w:val="24"/>
          <w:szCs w:val="24"/>
          <w:lang w:val="sq-AL"/>
        </w:rPr>
        <w:t>mirë</w:t>
      </w:r>
      <w:r w:rsidRPr="0032048B">
        <w:rPr>
          <w:spacing w:val="-7"/>
          <w:sz w:val="24"/>
          <w:szCs w:val="24"/>
          <w:lang w:val="sq-AL"/>
        </w:rPr>
        <w:t>, gjë që çoi në heqjen e vendit nga lista e FATF-së për juridiksionet nën monitorim të shtuar.</w:t>
      </w:r>
    </w:p>
    <w:p w14:paraId="53902730" w14:textId="02E21C0E" w:rsidR="00380775" w:rsidRPr="0032048B" w:rsidRDefault="00380775" w:rsidP="00361D5A">
      <w:pPr>
        <w:tabs>
          <w:tab w:val="left" w:pos="1134"/>
        </w:tabs>
        <w:spacing w:before="120"/>
        <w:ind w:left="993" w:right="1067"/>
        <w:jc w:val="both"/>
        <w:rPr>
          <w:spacing w:val="-7"/>
          <w:sz w:val="24"/>
          <w:szCs w:val="24"/>
          <w:lang w:val="sq-AL"/>
        </w:rPr>
      </w:pPr>
      <w:r w:rsidRPr="0032048B">
        <w:rPr>
          <w:spacing w:val="-7"/>
          <w:sz w:val="24"/>
          <w:szCs w:val="24"/>
          <w:lang w:val="sq-AL"/>
        </w:rPr>
        <w:t xml:space="preserve">Shqipëria ka arritur përgatitjeje mesatare në shumë fusha që lidhen me </w:t>
      </w:r>
      <w:r w:rsidRPr="0032048B">
        <w:rPr>
          <w:b/>
          <w:spacing w:val="-7"/>
          <w:sz w:val="24"/>
          <w:szCs w:val="24"/>
          <w:lang w:val="sq-AL"/>
        </w:rPr>
        <w:t>konkurrencën dhe rritjen gjithëpërfshirëse</w:t>
      </w:r>
      <w:r w:rsidRPr="0032048B">
        <w:rPr>
          <w:spacing w:val="-7"/>
          <w:sz w:val="24"/>
          <w:szCs w:val="24"/>
          <w:lang w:val="sq-AL"/>
        </w:rPr>
        <w:t xml:space="preserve">, përkatësisht taksat, politikat e sipërmarrjeve dhe ato industriale, politikat sociale dhe punësimi, arsimi dhe kultura si dhe bashkimi doganor. E njëjta gjë vlen edhe për transformimin digjital dhe median, ku vendi ka bërë progres të mirë, përfshirë edhe anëtarësimin në programin e Evropës Digjitale, në qershor 2023. Shqipëria ka përgatitje </w:t>
      </w:r>
      <w:r w:rsidR="000C6EFC" w:rsidRPr="0032048B">
        <w:rPr>
          <w:spacing w:val="-7"/>
          <w:sz w:val="24"/>
          <w:szCs w:val="24"/>
          <w:lang w:val="sq-AL"/>
        </w:rPr>
        <w:t>të</w:t>
      </w:r>
      <w:r w:rsidR="00B31C99" w:rsidRPr="0032048B">
        <w:rPr>
          <w:spacing w:val="-7"/>
          <w:sz w:val="24"/>
          <w:szCs w:val="24"/>
          <w:lang w:val="sq-AL"/>
        </w:rPr>
        <w:t xml:space="preserve"> mjaftueshme </w:t>
      </w:r>
      <w:r w:rsidRPr="0032048B">
        <w:rPr>
          <w:spacing w:val="-7"/>
          <w:sz w:val="24"/>
          <w:szCs w:val="24"/>
          <w:lang w:val="sq-AL"/>
        </w:rPr>
        <w:t>në fushat e shkencës dhe kërkimit. Vendi arriti të ketë përgatitje të moderuar deri në të mirë në politikën ekonomike dhe monetare, pasi qeverisja dhe politika monetare e Bankës së Shqipërisë ishin të përshtatshme dhe efektive në përballimin e krizës së shkaktuar nga lufta e agresionit e Rusisë kundër Ukrainës; nevojiten më shumë përpjekje për pavarësinë e saj. Për shkak të progresit të kufizuar të bërë në bashkimin doganor, kërkohen, gjithashtu, më shumë përpjekje në vazhdimin e luftës kundër kontrabandës, korrupsionit dhe importeve të produkteve të falsifikuara.</w:t>
      </w:r>
    </w:p>
    <w:p w14:paraId="5C3C4C61" w14:textId="20C8D108" w:rsidR="00380775" w:rsidRPr="0032048B" w:rsidRDefault="00380775" w:rsidP="00361D5A">
      <w:pPr>
        <w:tabs>
          <w:tab w:val="left" w:pos="1134"/>
        </w:tabs>
        <w:spacing w:before="120"/>
        <w:ind w:left="993" w:right="1067"/>
        <w:jc w:val="both"/>
        <w:rPr>
          <w:spacing w:val="-7"/>
          <w:sz w:val="24"/>
          <w:szCs w:val="24"/>
          <w:lang w:val="sq-AL"/>
        </w:rPr>
      </w:pPr>
      <w:r w:rsidRPr="0032048B">
        <w:rPr>
          <w:spacing w:val="-7"/>
          <w:sz w:val="24"/>
          <w:szCs w:val="24"/>
          <w:lang w:val="sq-AL"/>
        </w:rPr>
        <w:lastRenderedPageBreak/>
        <w:t xml:space="preserve">Për sa i përket </w:t>
      </w:r>
      <w:r w:rsidRPr="0032048B">
        <w:rPr>
          <w:b/>
          <w:spacing w:val="-7"/>
          <w:sz w:val="24"/>
          <w:szCs w:val="24"/>
          <w:lang w:val="sq-AL"/>
        </w:rPr>
        <w:t xml:space="preserve">agjendës së gjelbër dhe </w:t>
      </w:r>
      <w:proofErr w:type="spellStart"/>
      <w:r w:rsidRPr="0032048B">
        <w:rPr>
          <w:b/>
          <w:spacing w:val="-7"/>
          <w:sz w:val="24"/>
          <w:szCs w:val="24"/>
          <w:lang w:val="sq-AL"/>
        </w:rPr>
        <w:t>konektivitetit</w:t>
      </w:r>
      <w:proofErr w:type="spellEnd"/>
      <w:r w:rsidRPr="0032048B">
        <w:rPr>
          <w:b/>
          <w:spacing w:val="-7"/>
          <w:sz w:val="24"/>
          <w:szCs w:val="24"/>
          <w:lang w:val="sq-AL"/>
        </w:rPr>
        <w:t xml:space="preserve"> të qëndrueshëm,</w:t>
      </w:r>
      <w:r w:rsidRPr="0032048B">
        <w:rPr>
          <w:spacing w:val="-7"/>
          <w:sz w:val="24"/>
          <w:szCs w:val="24"/>
          <w:lang w:val="sq-AL"/>
        </w:rPr>
        <w:t xml:space="preserve"> Shqipëria ka </w:t>
      </w:r>
      <w:r w:rsidR="00B31C99" w:rsidRPr="0032048B">
        <w:rPr>
          <w:spacing w:val="-7"/>
          <w:sz w:val="24"/>
          <w:szCs w:val="24"/>
          <w:lang w:val="sq-AL"/>
        </w:rPr>
        <w:t xml:space="preserve">përgatitje </w:t>
      </w:r>
      <w:proofErr w:type="spellStart"/>
      <w:r w:rsidR="00B31C99" w:rsidRPr="0032048B">
        <w:rPr>
          <w:spacing w:val="-7"/>
          <w:sz w:val="24"/>
          <w:szCs w:val="24"/>
          <w:lang w:val="sq-AL"/>
        </w:rPr>
        <w:t>tw</w:t>
      </w:r>
      <w:proofErr w:type="spellEnd"/>
      <w:r w:rsidR="00B31C99" w:rsidRPr="0032048B">
        <w:rPr>
          <w:spacing w:val="-7"/>
          <w:sz w:val="24"/>
          <w:szCs w:val="24"/>
          <w:lang w:val="sq-AL"/>
        </w:rPr>
        <w:t xml:space="preserve"> mjaftueshme</w:t>
      </w:r>
      <w:r w:rsidRPr="0032048B">
        <w:rPr>
          <w:spacing w:val="-7"/>
          <w:sz w:val="24"/>
          <w:szCs w:val="24"/>
          <w:lang w:val="sq-AL"/>
        </w:rPr>
        <w:t xml:space="preserve"> në fushën e transportit, rrjeteve trans-evropiane, mjedisit dhe ndryshimeve klimatike, si dhe ka një përgatitje mesatare deri në të mirë për energjinë. Është shënuar progres në reformën e tregjeve të energjisë elektrike brenda së njëjtës ditës dhe ditës përpara, në ankandet e energjisë së </w:t>
      </w:r>
      <w:proofErr w:type="spellStart"/>
      <w:r w:rsidRPr="0032048B">
        <w:rPr>
          <w:spacing w:val="-7"/>
          <w:sz w:val="24"/>
          <w:szCs w:val="24"/>
          <w:lang w:val="sq-AL"/>
        </w:rPr>
        <w:t>rinovueshme</w:t>
      </w:r>
      <w:proofErr w:type="spellEnd"/>
      <w:r w:rsidRPr="0032048B">
        <w:rPr>
          <w:spacing w:val="-7"/>
          <w:sz w:val="24"/>
          <w:szCs w:val="24"/>
          <w:lang w:val="sq-AL"/>
        </w:rPr>
        <w:t xml:space="preserve"> dhe në zhvillimin e transportit dhe rrjeteve rajonale të energjisë. Nevojiten përpjekje të mëtejshme për energjinë e </w:t>
      </w:r>
      <w:proofErr w:type="spellStart"/>
      <w:r w:rsidRPr="0032048B">
        <w:rPr>
          <w:spacing w:val="-7"/>
          <w:sz w:val="24"/>
          <w:szCs w:val="24"/>
          <w:lang w:val="sq-AL"/>
        </w:rPr>
        <w:t>rinovueshme</w:t>
      </w:r>
      <w:proofErr w:type="spellEnd"/>
      <w:r w:rsidRPr="0032048B">
        <w:rPr>
          <w:spacing w:val="-7"/>
          <w:sz w:val="24"/>
          <w:szCs w:val="24"/>
          <w:lang w:val="sq-AL"/>
        </w:rPr>
        <w:t xml:space="preserve"> dhe </w:t>
      </w:r>
      <w:proofErr w:type="spellStart"/>
      <w:r w:rsidRPr="0032048B">
        <w:rPr>
          <w:spacing w:val="-7"/>
          <w:sz w:val="24"/>
          <w:szCs w:val="24"/>
          <w:lang w:val="sq-AL"/>
        </w:rPr>
        <w:t>eficensën</w:t>
      </w:r>
      <w:proofErr w:type="spellEnd"/>
      <w:r w:rsidRPr="0032048B">
        <w:rPr>
          <w:spacing w:val="-7"/>
          <w:sz w:val="24"/>
          <w:szCs w:val="24"/>
          <w:lang w:val="sq-AL"/>
        </w:rPr>
        <w:t xml:space="preserve"> e energjisë. Shqipëria ka ratifikuar pjesëmarrjen në Mekanizmin e Mbrojtjes Civile të Bashkimit dhe është aktive në të. Lidhur me mjedisin dhe klimën, nevojiten përpjekje të mëtejshme për menaxhimin e ujit dhe mbetjeve, zbatimin e ligjit mjedisor dhe mbrojtjen e natyrës. Ky grup-</w:t>
      </w:r>
      <w:r w:rsidR="00855801" w:rsidRPr="0032048B">
        <w:rPr>
          <w:spacing w:val="-7"/>
          <w:sz w:val="24"/>
          <w:szCs w:val="24"/>
          <w:lang w:val="sq-AL"/>
        </w:rPr>
        <w:t>çështjesh</w:t>
      </w:r>
      <w:r w:rsidRPr="0032048B">
        <w:rPr>
          <w:spacing w:val="-7"/>
          <w:sz w:val="24"/>
          <w:szCs w:val="24"/>
          <w:lang w:val="sq-AL"/>
        </w:rPr>
        <w:t xml:space="preserve"> dhe reformat në fjalë kanë lidhje të rëndësishme me programin e reformës ekonomike të Shqipërisë, planin ekonomik dhe investues të Komisionit dhe agjendën e gjelbër për Ballkanin Perëndimor. Shqipëria duhet t’i kushtojë vëmendje planifikimit strategjik të investimeve dhe kapacitetit të zbatimit dhe monitorimit të projekteve të infrastrukturës.</w:t>
      </w:r>
    </w:p>
    <w:p w14:paraId="104B0D51" w14:textId="63E96B0F" w:rsidR="00380775" w:rsidRPr="0032048B" w:rsidRDefault="00B31C99" w:rsidP="00361D5A">
      <w:pPr>
        <w:tabs>
          <w:tab w:val="left" w:pos="1134"/>
        </w:tabs>
        <w:spacing w:before="120"/>
        <w:ind w:left="993" w:right="1067"/>
        <w:jc w:val="both"/>
        <w:rPr>
          <w:sz w:val="24"/>
          <w:szCs w:val="24"/>
          <w:lang w:val="sq-AL"/>
        </w:rPr>
      </w:pPr>
      <w:r w:rsidRPr="0032048B">
        <w:rPr>
          <w:sz w:val="24"/>
          <w:szCs w:val="24"/>
          <w:lang w:val="sq-AL"/>
        </w:rPr>
        <w:t xml:space="preserve">Shqipëria ka </w:t>
      </w:r>
      <w:r w:rsidR="00380775" w:rsidRPr="0032048B">
        <w:rPr>
          <w:sz w:val="24"/>
          <w:szCs w:val="24"/>
          <w:lang w:val="sq-AL"/>
        </w:rPr>
        <w:t>përgatitje</w:t>
      </w:r>
      <w:r w:rsidRPr="0032048B">
        <w:rPr>
          <w:sz w:val="24"/>
          <w:szCs w:val="24"/>
          <w:lang w:val="sq-AL"/>
        </w:rPr>
        <w:t xml:space="preserve"> </w:t>
      </w:r>
      <w:r w:rsidR="000C6EFC" w:rsidRPr="0032048B">
        <w:rPr>
          <w:sz w:val="24"/>
          <w:szCs w:val="24"/>
          <w:lang w:val="sq-AL"/>
        </w:rPr>
        <w:t>të</w:t>
      </w:r>
      <w:r w:rsidRPr="0032048B">
        <w:rPr>
          <w:sz w:val="24"/>
          <w:szCs w:val="24"/>
          <w:lang w:val="sq-AL"/>
        </w:rPr>
        <w:t xml:space="preserve"> mjaftueshme </w:t>
      </w:r>
      <w:r w:rsidR="00380775" w:rsidRPr="0032048B">
        <w:rPr>
          <w:sz w:val="24"/>
          <w:szCs w:val="24"/>
          <w:lang w:val="sq-AL"/>
        </w:rPr>
        <w:t xml:space="preserve">në shumicën e fushave që lidhen me </w:t>
      </w:r>
      <w:r w:rsidR="00380775" w:rsidRPr="0032048B">
        <w:rPr>
          <w:b/>
          <w:sz w:val="24"/>
          <w:szCs w:val="24"/>
          <w:lang w:val="sq-AL"/>
        </w:rPr>
        <w:t>burimet, bujqësinë dhe politikën rajonale dhe kohezionin,</w:t>
      </w:r>
      <w:r w:rsidR="00380775" w:rsidRPr="0032048B">
        <w:rPr>
          <w:sz w:val="24"/>
          <w:szCs w:val="24"/>
          <w:lang w:val="sq-AL"/>
        </w:rPr>
        <w:t xml:space="preserve"> përkatësisht bujqësinë dhe zhvillimin rural, politikën veterinare dhe </w:t>
      </w:r>
      <w:proofErr w:type="spellStart"/>
      <w:r w:rsidR="00380775" w:rsidRPr="0032048B">
        <w:rPr>
          <w:sz w:val="24"/>
          <w:szCs w:val="24"/>
          <w:lang w:val="sq-AL"/>
        </w:rPr>
        <w:t>fitosanitare</w:t>
      </w:r>
      <w:proofErr w:type="spellEnd"/>
      <w:r w:rsidR="00380775" w:rsidRPr="0032048B">
        <w:rPr>
          <w:sz w:val="24"/>
          <w:szCs w:val="24"/>
          <w:lang w:val="sq-AL"/>
        </w:rPr>
        <w:t xml:space="preserve">, si dhe dispozitat financiare e buxhetore. Përgatitja është mesatare në peshkim dhe </w:t>
      </w:r>
      <w:proofErr w:type="spellStart"/>
      <w:r w:rsidR="00380775" w:rsidRPr="0032048B">
        <w:rPr>
          <w:sz w:val="24"/>
          <w:szCs w:val="24"/>
          <w:lang w:val="sq-AL"/>
        </w:rPr>
        <w:t>akuakulturë</w:t>
      </w:r>
      <w:proofErr w:type="spellEnd"/>
      <w:r w:rsidR="00380775" w:rsidRPr="0032048B">
        <w:rPr>
          <w:sz w:val="24"/>
          <w:szCs w:val="24"/>
          <w:lang w:val="sq-AL"/>
        </w:rPr>
        <w:t xml:space="preserve">, si dhe në politikën rajonale. Është vërejtur </w:t>
      </w:r>
      <w:r w:rsidRPr="0032048B">
        <w:rPr>
          <w:sz w:val="24"/>
          <w:szCs w:val="24"/>
          <w:lang w:val="sq-AL"/>
        </w:rPr>
        <w:t xml:space="preserve">progres i </w:t>
      </w:r>
      <w:r w:rsidR="000C6EFC" w:rsidRPr="0032048B">
        <w:rPr>
          <w:sz w:val="24"/>
          <w:szCs w:val="24"/>
          <w:lang w:val="sq-AL"/>
        </w:rPr>
        <w:t>mirë</w:t>
      </w:r>
      <w:r w:rsidR="00380775" w:rsidRPr="0032048B">
        <w:rPr>
          <w:sz w:val="24"/>
          <w:szCs w:val="24"/>
          <w:lang w:val="sq-AL"/>
        </w:rPr>
        <w:t xml:space="preserve"> në shumicën e fushave të mbuluara, veçanërisht me miratimin e Ligjit për Verën dhe në lidhje me kapacitetet administrative për Instrumentin për Asistencën Para Anëtarësimit për Programin e Zhvillimit Rural (IPARD III). Nevojiten përpjekje të mëtejshme në politikën rajonale, veçanërisht në kapacitetin administrativ dhe koordinimin ndërmjet niveleve qendrore, vendore dhe bashkiake, si dhe në dispozitat financiare dhe buxhetore.</w:t>
      </w:r>
    </w:p>
    <w:p w14:paraId="2A4A9B5E" w14:textId="5DEF6515"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 xml:space="preserve">Shqipëria ka përgatitje të mirë për sa u përket </w:t>
      </w:r>
      <w:r w:rsidRPr="0032048B">
        <w:rPr>
          <w:b/>
          <w:sz w:val="24"/>
          <w:szCs w:val="24"/>
          <w:lang w:val="sq-AL"/>
        </w:rPr>
        <w:t>marrëdhënieve me jashtë, sigurisë së jashtme dhe mbrojtjes.</w:t>
      </w:r>
      <w:r w:rsidRPr="0032048B">
        <w:rPr>
          <w:sz w:val="24"/>
          <w:szCs w:val="24"/>
          <w:lang w:val="sq-AL"/>
        </w:rPr>
        <w:t xml:space="preserve"> Në marrëdhëniet me jashtë, Shqipëria bëri </w:t>
      </w:r>
      <w:r w:rsidR="00B31C99" w:rsidRPr="0032048B">
        <w:rPr>
          <w:sz w:val="24"/>
          <w:szCs w:val="24"/>
          <w:lang w:val="sq-AL"/>
        </w:rPr>
        <w:t xml:space="preserve">progres </w:t>
      </w:r>
      <w:r w:rsidR="000C6EFC" w:rsidRPr="0032048B">
        <w:rPr>
          <w:sz w:val="24"/>
          <w:szCs w:val="24"/>
          <w:lang w:val="sq-AL"/>
        </w:rPr>
        <w:t>të</w:t>
      </w:r>
      <w:r w:rsidR="00B31C99" w:rsidRPr="0032048B">
        <w:rPr>
          <w:sz w:val="24"/>
          <w:szCs w:val="24"/>
          <w:lang w:val="sq-AL"/>
        </w:rPr>
        <w:t xml:space="preserve"> </w:t>
      </w:r>
      <w:r w:rsidR="000C6EFC" w:rsidRPr="0032048B">
        <w:rPr>
          <w:sz w:val="24"/>
          <w:szCs w:val="24"/>
          <w:lang w:val="sq-AL"/>
        </w:rPr>
        <w:t>mirë</w:t>
      </w:r>
      <w:r w:rsidRPr="0032048B">
        <w:rPr>
          <w:sz w:val="24"/>
          <w:szCs w:val="24"/>
          <w:lang w:val="sq-AL"/>
        </w:rPr>
        <w:t xml:space="preserve">, duke përafruar më tej legjislacionin e saj me </w:t>
      </w:r>
      <w:proofErr w:type="spellStart"/>
      <w:r w:rsidRPr="0032048B">
        <w:rPr>
          <w:i/>
          <w:sz w:val="24"/>
          <w:szCs w:val="24"/>
          <w:lang w:val="sq-AL"/>
        </w:rPr>
        <w:t>acquis</w:t>
      </w:r>
      <w:proofErr w:type="spellEnd"/>
      <w:r w:rsidRPr="0032048B">
        <w:rPr>
          <w:i/>
          <w:sz w:val="24"/>
          <w:szCs w:val="24"/>
          <w:lang w:val="sq-AL"/>
        </w:rPr>
        <w:t xml:space="preserve"> </w:t>
      </w:r>
      <w:r w:rsidRPr="0032048B">
        <w:rPr>
          <w:sz w:val="24"/>
          <w:szCs w:val="24"/>
          <w:lang w:val="sq-AL"/>
        </w:rPr>
        <w:t>të BE-së për parandalimin e tregtisë së mallrave të caktuara që mund të përdoren për dënimin me vdekje dhe torturën. Për sa i përket politikës së përbashkët të jashtme dhe të sigurisë së BE-së, Shqipëria ka qenë në përputhje të plotë me të gjitha vendimet dhe deklaratat përkatëse të BE-së gjatë periudhës së raportimit. Si anëtare jo e përhershme e Këshillit të Sigurimit të OKB-së që nga janari 2022, Shqipëria vazhdon të jetë e angazhuar në mënyrë aktive në promovimin dhe mbrojtjen e rendit ndërkombëtar të bazuar në rregulla, si dhe grave, paqes dhe sigurisë.</w:t>
      </w:r>
    </w:p>
    <w:p w14:paraId="0B372ECE" w14:textId="77777777" w:rsidR="00380775" w:rsidRPr="0032048B" w:rsidRDefault="00380775" w:rsidP="00361D5A">
      <w:pPr>
        <w:numPr>
          <w:ilvl w:val="1"/>
          <w:numId w:val="6"/>
        </w:numPr>
        <w:tabs>
          <w:tab w:val="left" w:pos="1134"/>
          <w:tab w:val="left" w:pos="1747"/>
        </w:tabs>
        <w:spacing w:before="119"/>
        <w:ind w:left="993" w:right="1067" w:firstLine="0"/>
        <w:rPr>
          <w:b/>
          <w:sz w:val="19"/>
          <w:lang w:val="sq-AL"/>
        </w:rPr>
      </w:pPr>
      <w:bookmarkStart w:id="8" w:name="1.3.___State_of_play_of_the_accession_ne"/>
      <w:bookmarkStart w:id="9" w:name="_bookmark4"/>
      <w:bookmarkEnd w:id="8"/>
      <w:bookmarkEnd w:id="9"/>
      <w:r w:rsidRPr="0032048B">
        <w:rPr>
          <w:b/>
          <w:sz w:val="24"/>
          <w:lang w:val="sq-AL"/>
        </w:rPr>
        <w:t>S</w:t>
      </w:r>
      <w:r w:rsidRPr="0032048B">
        <w:rPr>
          <w:b/>
          <w:sz w:val="19"/>
          <w:lang w:val="sq-AL"/>
        </w:rPr>
        <w:t>TATUSI I NEGOCIATAVE TË ANËTARËSIMIT</w:t>
      </w:r>
    </w:p>
    <w:p w14:paraId="5F0B5D84" w14:textId="05075FD2"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 xml:space="preserve">Pas konferencës ndërqeveritare për negociatat e pranimit me Shqipërinë që u zhvillua më 19 korrik 2022, Komisioni filloi menjëherë procesin e </w:t>
      </w:r>
      <w:r w:rsidRPr="0032048B">
        <w:rPr>
          <w:b/>
          <w:bCs/>
          <w:sz w:val="24"/>
          <w:szCs w:val="24"/>
          <w:lang w:val="sq-AL"/>
        </w:rPr>
        <w:t>shqyrtimit</w:t>
      </w:r>
      <w:r w:rsidRPr="0032048B">
        <w:rPr>
          <w:sz w:val="24"/>
          <w:szCs w:val="24"/>
          <w:lang w:val="sq-AL"/>
        </w:rPr>
        <w:t xml:space="preserve"> analitik, i cili po përparon pa probleme. Janë zhvilluar të gjitha seancat për </w:t>
      </w:r>
      <w:bookmarkStart w:id="10" w:name="_Hlk150869700"/>
      <w:r w:rsidRPr="0032048B">
        <w:rPr>
          <w:sz w:val="24"/>
          <w:szCs w:val="24"/>
          <w:lang w:val="sq-AL"/>
        </w:rPr>
        <w:t>Grupin</w:t>
      </w:r>
      <w:bookmarkEnd w:id="10"/>
      <w:r w:rsidRPr="0032048B">
        <w:rPr>
          <w:sz w:val="24"/>
          <w:szCs w:val="24"/>
          <w:lang w:val="sq-AL"/>
        </w:rPr>
        <w:t xml:space="preserve"> 1 (Bazat), Grupin 2 (Tregu i brendshëm), Grupin 3 (</w:t>
      </w:r>
      <w:proofErr w:type="spellStart"/>
      <w:r w:rsidRPr="0032048B">
        <w:rPr>
          <w:sz w:val="24"/>
          <w:szCs w:val="24"/>
          <w:lang w:val="sq-AL"/>
        </w:rPr>
        <w:t>Konkurrueshmëria</w:t>
      </w:r>
      <w:proofErr w:type="spellEnd"/>
      <w:r w:rsidRPr="0032048B">
        <w:rPr>
          <w:sz w:val="24"/>
          <w:szCs w:val="24"/>
          <w:lang w:val="sq-AL"/>
        </w:rPr>
        <w:t xml:space="preserve"> dhe rritja gjithëpërfshirëse) dhe Grupin 4 (Agjenda e gjelbër dhe </w:t>
      </w:r>
      <w:proofErr w:type="spellStart"/>
      <w:r w:rsidRPr="0032048B">
        <w:rPr>
          <w:sz w:val="24"/>
          <w:szCs w:val="24"/>
          <w:lang w:val="sq-AL"/>
        </w:rPr>
        <w:t>konektiviteti</w:t>
      </w:r>
      <w:proofErr w:type="spellEnd"/>
      <w:r w:rsidRPr="0032048B">
        <w:rPr>
          <w:sz w:val="24"/>
          <w:szCs w:val="24"/>
          <w:lang w:val="sq-AL"/>
        </w:rPr>
        <w:t xml:space="preserve"> i qëndrueshëm). Kanë përfunduar seancat shpjeguese për Grupin 5 (Burimet, bujqësia dhe kohezioni) dhe Grupin 6 (Marrëdhëniet e jashtme) dhe janë në proces seancat bilaterale për këto grup-</w:t>
      </w:r>
      <w:r w:rsidR="00855801" w:rsidRPr="0032048B">
        <w:rPr>
          <w:sz w:val="24"/>
          <w:szCs w:val="24"/>
          <w:lang w:val="sq-AL"/>
        </w:rPr>
        <w:t>çështje</w:t>
      </w:r>
      <w:r w:rsidRPr="0032048B">
        <w:rPr>
          <w:sz w:val="24"/>
          <w:szCs w:val="24"/>
          <w:lang w:val="sq-AL"/>
        </w:rPr>
        <w:t>. Takimet e mbetura në kuadri e shqyrtimit janë planifikuar deri në nëntor 2023.</w:t>
      </w:r>
    </w:p>
    <w:p w14:paraId="520F7222" w14:textId="77777777" w:rsidR="00380775" w:rsidRPr="0032048B" w:rsidRDefault="00380775" w:rsidP="00361D5A">
      <w:pPr>
        <w:tabs>
          <w:tab w:val="left" w:pos="1134"/>
        </w:tabs>
        <w:spacing w:before="240"/>
        <w:ind w:left="993" w:right="1067"/>
        <w:rPr>
          <w:sz w:val="24"/>
          <w:szCs w:val="24"/>
          <w:lang w:val="sq-AL"/>
        </w:rPr>
      </w:pPr>
    </w:p>
    <w:p w14:paraId="359A72BF" w14:textId="77777777" w:rsidR="00380775" w:rsidRPr="0032048B" w:rsidRDefault="00380775" w:rsidP="00361D5A">
      <w:pPr>
        <w:numPr>
          <w:ilvl w:val="0"/>
          <w:numId w:val="6"/>
        </w:numPr>
        <w:tabs>
          <w:tab w:val="left" w:pos="1134"/>
          <w:tab w:val="left" w:pos="1219"/>
        </w:tabs>
        <w:ind w:left="993" w:right="1067" w:firstLine="0"/>
        <w:jc w:val="both"/>
        <w:outlineLvl w:val="0"/>
        <w:rPr>
          <w:b/>
          <w:bCs/>
          <w:sz w:val="24"/>
          <w:szCs w:val="24"/>
          <w:lang w:val="sq-AL"/>
        </w:rPr>
      </w:pPr>
      <w:bookmarkStart w:id="11" w:name="2._Cluster_1:_The_fundamentals_of_the_ac"/>
      <w:bookmarkStart w:id="12" w:name="_bookmark5"/>
      <w:bookmarkStart w:id="13" w:name="_Hlk151130556"/>
      <w:bookmarkEnd w:id="11"/>
      <w:bookmarkEnd w:id="12"/>
      <w:r w:rsidRPr="0032048B">
        <w:rPr>
          <w:b/>
          <w:bCs/>
          <w:sz w:val="24"/>
          <w:szCs w:val="24"/>
          <w:lang w:val="sq-AL"/>
        </w:rPr>
        <w:t>GRUPI 1:</w:t>
      </w:r>
      <w:r w:rsidRPr="0032048B">
        <w:rPr>
          <w:b/>
          <w:bCs/>
          <w:spacing w:val="-2"/>
          <w:sz w:val="24"/>
          <w:szCs w:val="24"/>
          <w:lang w:val="sq-AL"/>
        </w:rPr>
        <w:t xml:space="preserve"> </w:t>
      </w:r>
      <w:r w:rsidRPr="0032048B">
        <w:rPr>
          <w:b/>
          <w:bCs/>
          <w:sz w:val="24"/>
          <w:szCs w:val="24"/>
          <w:lang w:val="sq-AL"/>
        </w:rPr>
        <w:t>BAZAT E PROCESIT TË ANËTARËSIMIT</w:t>
      </w:r>
    </w:p>
    <w:p w14:paraId="0130CE8D" w14:textId="77777777" w:rsidR="00380775" w:rsidRPr="0032048B" w:rsidRDefault="00380775" w:rsidP="00361D5A">
      <w:pPr>
        <w:numPr>
          <w:ilvl w:val="1"/>
          <w:numId w:val="6"/>
        </w:numPr>
        <w:tabs>
          <w:tab w:val="left" w:pos="1134"/>
          <w:tab w:val="left" w:pos="1387"/>
        </w:tabs>
        <w:spacing w:before="120"/>
        <w:ind w:left="993" w:right="1067" w:firstLine="0"/>
        <w:rPr>
          <w:b/>
          <w:sz w:val="19"/>
          <w:lang w:val="sq-AL"/>
        </w:rPr>
      </w:pPr>
      <w:bookmarkStart w:id="14" w:name="2.1._Functioning_of_democratic_instituti"/>
      <w:bookmarkStart w:id="15" w:name="_bookmark6"/>
      <w:bookmarkStart w:id="16" w:name="_Hlk151130703"/>
      <w:bookmarkEnd w:id="13"/>
      <w:bookmarkEnd w:id="14"/>
      <w:bookmarkEnd w:id="15"/>
      <w:r w:rsidRPr="0032048B">
        <w:rPr>
          <w:b/>
          <w:spacing w:val="-2"/>
          <w:sz w:val="24"/>
          <w:lang w:val="sq-AL"/>
        </w:rPr>
        <w:t>F</w:t>
      </w:r>
      <w:r w:rsidRPr="0032048B">
        <w:rPr>
          <w:b/>
          <w:spacing w:val="-2"/>
          <w:sz w:val="19"/>
          <w:lang w:val="sq-AL"/>
        </w:rPr>
        <w:t>UNKSIONIMI I INSTITUCIONEVE DEMOKRATIKE DHE REFORMA E ADMINISTRATËS PUBLIKE</w:t>
      </w:r>
    </w:p>
    <w:p w14:paraId="48709D70" w14:textId="77777777" w:rsidR="00380775" w:rsidRPr="0032048B" w:rsidRDefault="00380775" w:rsidP="00361D5A">
      <w:pPr>
        <w:numPr>
          <w:ilvl w:val="2"/>
          <w:numId w:val="6"/>
        </w:numPr>
        <w:tabs>
          <w:tab w:val="left" w:pos="1134"/>
          <w:tab w:val="left" w:pos="1580"/>
        </w:tabs>
        <w:spacing w:before="120"/>
        <w:ind w:left="993" w:right="1067" w:firstLine="0"/>
        <w:jc w:val="both"/>
        <w:outlineLvl w:val="0"/>
        <w:rPr>
          <w:b/>
          <w:bCs/>
          <w:sz w:val="24"/>
          <w:szCs w:val="24"/>
          <w:lang w:val="sq-AL"/>
        </w:rPr>
      </w:pPr>
      <w:bookmarkStart w:id="17" w:name="2.1.1_Democracy"/>
      <w:bookmarkStart w:id="18" w:name="_bookmark7"/>
      <w:bookmarkEnd w:id="16"/>
      <w:bookmarkEnd w:id="17"/>
      <w:bookmarkEnd w:id="18"/>
      <w:r w:rsidRPr="0032048B">
        <w:rPr>
          <w:b/>
          <w:bCs/>
          <w:spacing w:val="-2"/>
          <w:sz w:val="24"/>
          <w:szCs w:val="24"/>
          <w:lang w:val="sq-AL"/>
        </w:rPr>
        <w:t>Demokracia</w:t>
      </w:r>
    </w:p>
    <w:p w14:paraId="23549D98" w14:textId="017B9BB5" w:rsidR="00380775" w:rsidRPr="0032048B" w:rsidRDefault="00380775" w:rsidP="00361D5A">
      <w:pPr>
        <w:tabs>
          <w:tab w:val="left" w:pos="1134"/>
        </w:tabs>
        <w:spacing w:before="62"/>
        <w:ind w:left="993" w:right="1067"/>
        <w:jc w:val="both"/>
        <w:rPr>
          <w:sz w:val="24"/>
          <w:szCs w:val="24"/>
          <w:lang w:val="sq-AL"/>
        </w:rPr>
      </w:pPr>
      <w:r w:rsidRPr="0032048B">
        <w:rPr>
          <w:sz w:val="24"/>
          <w:szCs w:val="24"/>
          <w:lang w:val="sq-AL"/>
        </w:rPr>
        <w:t>Periudha e raportimit u shënjua nga fillimi i procesit të negociatave për pranimin në BE,</w:t>
      </w:r>
      <w:r w:rsidR="004D53EC">
        <w:rPr>
          <w:sz w:val="24"/>
          <w:szCs w:val="24"/>
          <w:lang w:val="sq-AL"/>
        </w:rPr>
        <w:t xml:space="preserve"> </w:t>
      </w:r>
      <w:r w:rsidRPr="0032048B">
        <w:rPr>
          <w:sz w:val="24"/>
          <w:szCs w:val="24"/>
          <w:lang w:val="sq-AL"/>
        </w:rPr>
        <w:t xml:space="preserve">përfshirë fillimin e shqyrtimit analitik. Skena politike vazhdoi të shënjohej nga polarizimi </w:t>
      </w:r>
      <w:r w:rsidRPr="0032048B">
        <w:rPr>
          <w:sz w:val="24"/>
          <w:szCs w:val="24"/>
          <w:lang w:val="sq-AL"/>
        </w:rPr>
        <w:lastRenderedPageBreak/>
        <w:t>politik, në terrenin e ndarjeve të thella të vazhdueshme brenda partisë më të madhe opozitare. Kjo ka vazhduar të ndikojë negativisht në funksionet kryesore të parlamentit për t’i kërkuar llogari ekzekutivit përmes ushtrimit të kontrollit efektiv, realizimit të rolit të tij si forum për debat politik konstruktiv, si dhe në detyrat e tij për të zgjedhur në kohën e duhur drejtuesit e</w:t>
      </w:r>
      <w:r w:rsidR="004D53EC">
        <w:rPr>
          <w:sz w:val="24"/>
          <w:szCs w:val="24"/>
          <w:lang w:val="sq-AL"/>
        </w:rPr>
        <w:t xml:space="preserve"> </w:t>
      </w:r>
      <w:r w:rsidRPr="0032048B">
        <w:rPr>
          <w:sz w:val="24"/>
          <w:szCs w:val="24"/>
          <w:lang w:val="sq-AL"/>
        </w:rPr>
        <w:t>institucioneve kryesore të pavarura, si Avokati i Popullit.</w:t>
      </w:r>
    </w:p>
    <w:p w14:paraId="002E8F3D" w14:textId="33D84891" w:rsidR="00380775" w:rsidRPr="0032048B" w:rsidRDefault="00380775" w:rsidP="00361D5A">
      <w:pPr>
        <w:tabs>
          <w:tab w:val="left" w:pos="1134"/>
        </w:tabs>
        <w:spacing w:before="62"/>
        <w:ind w:left="993" w:right="1067"/>
        <w:jc w:val="both"/>
        <w:rPr>
          <w:sz w:val="24"/>
          <w:szCs w:val="24"/>
          <w:lang w:val="sq-AL"/>
        </w:rPr>
      </w:pPr>
      <w:r w:rsidRPr="0032048B">
        <w:rPr>
          <w:sz w:val="24"/>
          <w:szCs w:val="24"/>
          <w:lang w:val="sq-AL"/>
        </w:rPr>
        <w:t xml:space="preserve">Parlamenti, megjithatë, arriti të miratojë, me një shumicë të madhe nga të gjitha palët, ndryshime legjislative që forcojnë rolin e tij në procesin e integrimit </w:t>
      </w:r>
      <w:r w:rsidR="00855801" w:rsidRPr="0032048B">
        <w:rPr>
          <w:sz w:val="24"/>
          <w:szCs w:val="24"/>
          <w:lang w:val="sq-AL"/>
        </w:rPr>
        <w:t>evropian</w:t>
      </w:r>
      <w:r w:rsidRPr="0032048B">
        <w:rPr>
          <w:sz w:val="24"/>
          <w:szCs w:val="24"/>
          <w:lang w:val="sq-AL"/>
        </w:rPr>
        <w:t>. Ky ishte një zhvillim i mirëpritur. Më 14 maj 2023, Shqipëria mbajti zgjedhjet vendore me pjesëmarrjen e aktorëve kryesorë politikë të vendit, për dallim nga zgjedhjet gjerësisht të bojkotuara në vitin 2019.</w:t>
      </w:r>
    </w:p>
    <w:p w14:paraId="1539C16C" w14:textId="77777777" w:rsidR="00380775" w:rsidRPr="0032048B" w:rsidRDefault="00380775" w:rsidP="00361D5A">
      <w:pPr>
        <w:tabs>
          <w:tab w:val="left" w:pos="1134"/>
        </w:tabs>
        <w:spacing w:before="120"/>
        <w:ind w:left="993" w:right="1067"/>
        <w:outlineLvl w:val="0"/>
        <w:rPr>
          <w:b/>
          <w:bCs/>
          <w:sz w:val="24"/>
          <w:szCs w:val="24"/>
          <w:lang w:val="sq-AL"/>
        </w:rPr>
      </w:pPr>
      <w:r w:rsidRPr="0032048B">
        <w:rPr>
          <w:b/>
          <w:bCs/>
          <w:spacing w:val="-2"/>
          <w:sz w:val="24"/>
          <w:szCs w:val="24"/>
          <w:lang w:val="sq-AL"/>
        </w:rPr>
        <w:t>Zgjedhjet</w:t>
      </w:r>
    </w:p>
    <w:p w14:paraId="63BE10CB" w14:textId="77777777" w:rsidR="00380775" w:rsidRPr="0032048B" w:rsidRDefault="00380775" w:rsidP="00361D5A">
      <w:pPr>
        <w:tabs>
          <w:tab w:val="left" w:pos="1134"/>
        </w:tabs>
        <w:spacing w:before="5" w:after="1"/>
        <w:ind w:left="993" w:right="1067"/>
        <w:rPr>
          <w:b/>
          <w:sz w:val="10"/>
          <w:szCs w:val="24"/>
          <w:lang w:val="sq-AL"/>
        </w:rPr>
      </w:pP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04"/>
      </w:tblGrid>
      <w:tr w:rsidR="00380775" w:rsidRPr="0032048B" w14:paraId="7B732F10" w14:textId="77777777" w:rsidTr="000C6EFC">
        <w:trPr>
          <w:trHeight w:val="558"/>
        </w:trPr>
        <w:tc>
          <w:tcPr>
            <w:tcW w:w="9204" w:type="dxa"/>
            <w:shd w:val="clear" w:color="auto" w:fill="D0CECE"/>
          </w:tcPr>
          <w:p w14:paraId="0D972BAC" w14:textId="77777777" w:rsidR="00380775" w:rsidRPr="0032048B" w:rsidRDefault="00380775" w:rsidP="00507D48">
            <w:pPr>
              <w:tabs>
                <w:tab w:val="left" w:pos="1134"/>
              </w:tabs>
              <w:spacing w:before="18" w:line="270" w:lineRule="atLeast"/>
              <w:ind w:left="270" w:right="287"/>
              <w:jc w:val="both"/>
              <w:rPr>
                <w:sz w:val="24"/>
                <w:lang w:val="sq-AL"/>
              </w:rPr>
            </w:pPr>
            <w:r w:rsidRPr="0032048B">
              <w:rPr>
                <w:sz w:val="24"/>
                <w:lang w:val="sq-AL"/>
              </w:rPr>
              <w:t xml:space="preserve">Zgjedhjet lokale u zhvilluan në mënyrë përgjithësisht të qetë, përfshirë ditën e votimit. Sipas gjetjeve dhe konkluzioneve të Misionit të Vëzhgimit Zgjedhor të Zyrës së OSBE-së për Institucionet Demokratike dhe të Drejtat e Njeriut (OSBE/ODIHR), zgjedhjet vendore ishin të administruara mirë, konkurruese dhe u mbajtën me pjesëmarrjen e forcave kryesore politike të vendit. Ekzistojnë shqetësime në lidhje me keqpërdorimin e burimeve publike në nivel kombëtar dhe lokal, pretendime për presion ndaj votuesve dhe punonjësve të sektorit publik dhe akuza për blerjen e votave. Të gjitha këto duhet të hetohen në mënyrën e duhur. Me gjithë krijimin e Komitetit </w:t>
            </w:r>
            <w:proofErr w:type="spellStart"/>
            <w:r w:rsidRPr="0032048B">
              <w:rPr>
                <w:sz w:val="24"/>
                <w:lang w:val="sq-AL"/>
              </w:rPr>
              <w:t>Ad</w:t>
            </w:r>
            <w:proofErr w:type="spellEnd"/>
            <w:r w:rsidRPr="0032048B">
              <w:rPr>
                <w:sz w:val="24"/>
                <w:lang w:val="sq-AL"/>
              </w:rPr>
              <w:t xml:space="preserve"> </w:t>
            </w:r>
            <w:proofErr w:type="spellStart"/>
            <w:r w:rsidRPr="0032048B">
              <w:rPr>
                <w:sz w:val="24"/>
                <w:lang w:val="sq-AL"/>
              </w:rPr>
              <w:t>Hoc</w:t>
            </w:r>
            <w:proofErr w:type="spellEnd"/>
            <w:r w:rsidRPr="0032048B">
              <w:rPr>
                <w:sz w:val="24"/>
                <w:lang w:val="sq-AL"/>
              </w:rPr>
              <w:t xml:space="preserve"> për Reformën Zgjedhore në shkurt 2022, nuk është bërë asnjë progres as sa i takon miratimit të teksteve dhe as në zbatimin e rekomandimeve të mbetura të OSBE/ODIHR-it dhe Komisionit të Venecias. Kjo kërkon dialog politik konstruktiv dhe gjithëpërfshirës nga të gjitha palët.</w:t>
            </w:r>
          </w:p>
        </w:tc>
      </w:tr>
    </w:tbl>
    <w:p w14:paraId="0CE160E4" w14:textId="77777777"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Shqipëria mbajti zgjedhje të rregullta lokale më 14 maj 2023 në të gjitha bashkitë e saj. Zgjedhjet u vlerësuan nga vëzhguesit si të administruar mirë, konkurrues dhe me pjesëmarrjen e forcave kryesore politike, siç është vërejtur edhe nga OSBE/ODIHR. Dita e zgjedhjeve ishte përgjithësisht paqësore. Numërimi i votave u vlerësua si kryesisht pozitiv, megjithëse u vunë re mospërputhje. Komisioni Qendror i Zgjedhjeve krijoi një platformë digjitale për deklarimin e financimit të fushatës së partive politike.</w:t>
      </w:r>
    </w:p>
    <w:p w14:paraId="3D4EC9D8" w14:textId="72E21D07"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Rreth 40 subjekte elektorale u regjistruan në këto zgjedhje, me gjithsej 144 kandidatë për kryetar bashkie, nga të cilët vetëm 15 ishin gra, dhe 23 763 kandidatë për anëtarë të këshillave bashkiake. Dispozitat ligjore kërkojnë që gjysma e kandidatëve për këshillat bashkiake të jenë gra, por vetëm 10% e bashkive e përmbushën këtë kërkesë. Votimi dhe numërimi elektronik u zbatua në tre bashki, duke përfaqësuar 401 nga 5 212 qendra votimi. Ashtu si në zgjedhjet e mëparshme, votuesit u identifikuan nga nënshkrimi biometrik në të gjitha qendrat e votimit, dhe në</w:t>
      </w:r>
      <w:r w:rsidR="004D53EC">
        <w:rPr>
          <w:sz w:val="24"/>
          <w:szCs w:val="24"/>
          <w:lang w:val="sq-AL"/>
        </w:rPr>
        <w:t xml:space="preserve"> </w:t>
      </w:r>
      <w:r w:rsidRPr="0032048B">
        <w:rPr>
          <w:sz w:val="24"/>
          <w:szCs w:val="24"/>
          <w:lang w:val="sq-AL"/>
        </w:rPr>
        <w:t>10% të këtyre qendrave u raportuan bllokime teknike. Këto zgjedhje regjistruan një pjesëmarrje të ulët prej 38.2%. Pjesëmarrja e të rinjve ishte veçanërisht e ulët: nga 122 545 të rinj që duhej të votonin për herë të parë, vetëm 16 628 (13%) morën pjesë në votim. Një pjesë e madhe e elektoratit banon jashtë Shqipërisë dhe nuk janë në gjendje të votojnë nga vendet ku jetojnë, për shkak se Kodi Zgjedhor nuk parashikon votim nga jashtë vendit në zgjedhjet vendore.</w:t>
      </w:r>
    </w:p>
    <w:p w14:paraId="12A23418" w14:textId="77777777"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Gjatë fushatës zgjedhore garuesit ishin të lirë të bënin fushatë, por në fushatat e tyre thuajse nuk trajtoheshin çështje me rëndësi për jetën e komunitetit. Misioni i Vëzhgimit Zgjedhor i OSBE/ODIHR-it vuri në dukje shqetësime lidhur me keqpërdorimin e burimeve të shtetit, pretendime për presion ndaj punonjësve të sektorit publik dhe votuesve si dhe akuza për blerjen e votave. Sipas gjetjeve të Misionit të Vëzhgimit të Zgjedhjeve, nuk u garantuan rregulla të barabarta loje për të gjithë kandidatët për shkak të një interpretimi të ngushtë dhe formalist të dispozitave të Kodit Zgjedhor.</w:t>
      </w:r>
    </w:p>
    <w:p w14:paraId="73B54146" w14:textId="77777777"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lastRenderedPageBreak/>
        <w:t xml:space="preserve">Edhe pse i larmishëm, mjedisi </w:t>
      </w:r>
      <w:proofErr w:type="spellStart"/>
      <w:r w:rsidRPr="0032048B">
        <w:rPr>
          <w:sz w:val="24"/>
          <w:szCs w:val="24"/>
          <w:lang w:val="sq-AL"/>
        </w:rPr>
        <w:t>mediatik</w:t>
      </w:r>
      <w:proofErr w:type="spellEnd"/>
      <w:r w:rsidRPr="0032048B">
        <w:rPr>
          <w:sz w:val="24"/>
          <w:szCs w:val="24"/>
          <w:lang w:val="sq-AL"/>
        </w:rPr>
        <w:t xml:space="preserve"> karakterizohet nga probleme </w:t>
      </w:r>
      <w:proofErr w:type="spellStart"/>
      <w:r w:rsidRPr="0032048B">
        <w:rPr>
          <w:sz w:val="24"/>
          <w:szCs w:val="24"/>
          <w:lang w:val="sq-AL"/>
        </w:rPr>
        <w:t>sistemike</w:t>
      </w:r>
      <w:proofErr w:type="spellEnd"/>
      <w:r w:rsidRPr="0032048B">
        <w:rPr>
          <w:sz w:val="24"/>
          <w:szCs w:val="24"/>
          <w:lang w:val="sq-AL"/>
        </w:rPr>
        <w:t xml:space="preserve">, përfshirë përqendrimin e pronësisë së mediave dhe kontrollin që ushtrojnë interesat e ndërthurura të biznesit dhe politikës, gjë që ndikon në lirinë e mediave. Ky mjedis, i kombinuar me rregulla për mbulimin e zgjedhjeve nga media, favorizon partitë kryesore. Për keqpërdorimin e burimeve të shtetit, OSBE/ODIHR-i iu referua vendimeve që miratoi qeveria në javët para zgjedhjeve për t’u dhënë </w:t>
      </w:r>
      <w:proofErr w:type="spellStart"/>
      <w:r w:rsidRPr="0032048B">
        <w:rPr>
          <w:sz w:val="24"/>
          <w:szCs w:val="24"/>
          <w:lang w:val="sq-AL"/>
        </w:rPr>
        <w:t>bonus</w:t>
      </w:r>
      <w:proofErr w:type="spellEnd"/>
      <w:r w:rsidRPr="0032048B">
        <w:rPr>
          <w:sz w:val="24"/>
          <w:szCs w:val="24"/>
          <w:lang w:val="sq-AL"/>
        </w:rPr>
        <w:t xml:space="preserve"> pensionistëve dhe për të rritur pagat e kategorive të ndryshme të punonjësve të sektorit publik, si dhe faktit se në disa raste udhëheqësi i Qeverisë Qendrore tha se mbështetja e ardhshme për bashkitë do të varej nga rezultatet e zgjedhjeve.</w:t>
      </w:r>
    </w:p>
    <w:p w14:paraId="0B96225A" w14:textId="2A0D74BB"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 xml:space="preserve">Më 15 qershor, Kolegji Zgjedhor vendosi që të përsëriteshin zgjedhjet </w:t>
      </w:r>
      <w:r w:rsidR="000C6EFC" w:rsidRPr="0032048B">
        <w:rPr>
          <w:sz w:val="24"/>
          <w:szCs w:val="24"/>
          <w:lang w:val="sq-AL"/>
        </w:rPr>
        <w:t xml:space="preserve">për </w:t>
      </w:r>
      <w:proofErr w:type="spellStart"/>
      <w:r w:rsidR="000C6EFC" w:rsidRPr="0032048B">
        <w:rPr>
          <w:sz w:val="24"/>
          <w:szCs w:val="24"/>
          <w:lang w:val="sq-AL"/>
        </w:rPr>
        <w:t>kryebashkiakun</w:t>
      </w:r>
      <w:proofErr w:type="spellEnd"/>
      <w:r w:rsidR="000C6EFC" w:rsidRPr="0032048B">
        <w:rPr>
          <w:sz w:val="24"/>
          <w:szCs w:val="24"/>
          <w:lang w:val="sq-AL"/>
        </w:rPr>
        <w:t xml:space="preserve"> në bashkinë </w:t>
      </w:r>
      <w:r w:rsidRPr="0032048B">
        <w:rPr>
          <w:sz w:val="24"/>
          <w:szCs w:val="24"/>
          <w:lang w:val="sq-AL"/>
        </w:rPr>
        <w:t>Rrogozhinë, pas konstatimit të parregullsive në qendrën e votimit të ngritur në burgun e qytetit. Në Kukës, u mbajtën zgjedhje të parakohshme më 24 shtator, pas shkarkimit të kryetarit të bashkisë.</w:t>
      </w:r>
    </w:p>
    <w:p w14:paraId="19B09D5B" w14:textId="0844B2C3"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 xml:space="preserve">Komisioni i </w:t>
      </w:r>
      <w:r w:rsidR="00855801" w:rsidRPr="0032048B">
        <w:rPr>
          <w:sz w:val="24"/>
          <w:szCs w:val="24"/>
          <w:lang w:val="sq-AL"/>
        </w:rPr>
        <w:t>posaçëm</w:t>
      </w:r>
      <w:r w:rsidRPr="0032048B">
        <w:rPr>
          <w:sz w:val="24"/>
          <w:szCs w:val="24"/>
          <w:lang w:val="sq-AL"/>
        </w:rPr>
        <w:t xml:space="preserve"> parlamentar për reformën zgjedhore, i ngritur në shkurt 2022, nuk ka prodhuar ndonjë rezultat. Afati i komisionit u zgjat në shtator 2023. Pavarësisht përpjekjeve të Komisionit Qendror të Zgjedhjeve për të çuar përpara zbatimin e votimit nga jashtë vendit, ndryshimet e kërkuara legjislative janë ende në pritje. Në dhjetor 2022, Gjykata Kushtetuese urdhëroi Parlamentin të mbushte hendekun ligjor brenda një viti. Reforma zgjedhore, zbatimi i rekomandimeve të OSBE -së/ODIHR dhe Komisionit Venecia, nuk duhet të vonohen më tej.</w:t>
      </w:r>
    </w:p>
    <w:p w14:paraId="27916A8D" w14:textId="77777777" w:rsidR="00380775" w:rsidRPr="0032048B" w:rsidRDefault="00380775" w:rsidP="00361D5A">
      <w:pPr>
        <w:tabs>
          <w:tab w:val="left" w:pos="1134"/>
        </w:tabs>
        <w:spacing w:before="120"/>
        <w:ind w:left="993" w:right="1067"/>
        <w:outlineLvl w:val="0"/>
        <w:rPr>
          <w:b/>
          <w:bCs/>
          <w:sz w:val="24"/>
          <w:szCs w:val="24"/>
          <w:lang w:val="sq-AL"/>
        </w:rPr>
      </w:pPr>
      <w:r w:rsidRPr="0032048B">
        <w:rPr>
          <w:b/>
          <w:bCs/>
          <w:spacing w:val="-2"/>
          <w:sz w:val="24"/>
          <w:szCs w:val="24"/>
          <w:lang w:val="sq-AL"/>
        </w:rPr>
        <w:t>Parlamenti</w:t>
      </w:r>
    </w:p>
    <w:p w14:paraId="10B1696F" w14:textId="77777777" w:rsidR="00380775" w:rsidRPr="0032048B" w:rsidRDefault="00380775" w:rsidP="00361D5A">
      <w:pPr>
        <w:tabs>
          <w:tab w:val="left" w:pos="1134"/>
        </w:tabs>
        <w:spacing w:before="6"/>
        <w:ind w:left="993" w:right="1067"/>
        <w:rPr>
          <w:b/>
          <w:sz w:val="10"/>
          <w:szCs w:val="24"/>
          <w:lang w:val="sq-AL"/>
        </w:rPr>
      </w:pP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4"/>
      </w:tblGrid>
      <w:tr w:rsidR="00380775" w:rsidRPr="0032048B" w14:paraId="3D642F15" w14:textId="77777777" w:rsidTr="000C6EFC">
        <w:trPr>
          <w:trHeight w:val="1141"/>
        </w:trPr>
        <w:tc>
          <w:tcPr>
            <w:tcW w:w="9294" w:type="dxa"/>
            <w:shd w:val="clear" w:color="auto" w:fill="D0CECE"/>
          </w:tcPr>
          <w:p w14:paraId="0126825F" w14:textId="08BC1B55" w:rsidR="00380775" w:rsidRPr="0032048B" w:rsidRDefault="00380775" w:rsidP="00507D48">
            <w:pPr>
              <w:tabs>
                <w:tab w:val="left" w:pos="696"/>
              </w:tabs>
              <w:spacing w:before="18" w:line="270" w:lineRule="atLeast"/>
              <w:ind w:left="129" w:right="233"/>
              <w:jc w:val="both"/>
              <w:rPr>
                <w:sz w:val="24"/>
                <w:lang w:val="sq-AL"/>
              </w:rPr>
            </w:pPr>
            <w:r w:rsidRPr="0032048B">
              <w:rPr>
                <w:sz w:val="24"/>
                <w:lang w:val="sq-AL"/>
              </w:rPr>
              <w:t xml:space="preserve">Aktiviteti parlamentar vazhdoi të preket nga polarizimi politik, në terrenin e ndarjeve të thella të vazhdueshme brenda partisë më të madhe opozitare. Parlamenti, sidoqoftë, arriti të miratojë me shumicë të </w:t>
            </w:r>
            <w:r w:rsidR="000C6EFC" w:rsidRPr="0032048B">
              <w:rPr>
                <w:sz w:val="24"/>
                <w:lang w:val="sq-AL"/>
              </w:rPr>
              <w:t xml:space="preserve">madhe </w:t>
            </w:r>
            <w:proofErr w:type="spellStart"/>
            <w:r w:rsidR="000C6EFC" w:rsidRPr="0032048B">
              <w:rPr>
                <w:sz w:val="24"/>
                <w:lang w:val="sq-AL"/>
              </w:rPr>
              <w:t>ndër</w:t>
            </w:r>
            <w:r w:rsidRPr="0032048B">
              <w:rPr>
                <w:sz w:val="24"/>
                <w:lang w:val="sq-AL"/>
              </w:rPr>
              <w:t>palëshe</w:t>
            </w:r>
            <w:proofErr w:type="spellEnd"/>
            <w:r w:rsidRPr="0032048B">
              <w:rPr>
                <w:sz w:val="24"/>
                <w:lang w:val="sq-AL"/>
              </w:rPr>
              <w:t xml:space="preserve"> ndryshime legjislativ që forcojnë rolin e tij në procesin e integrimit të BE-së, </w:t>
            </w:r>
            <w:r w:rsidR="00855801" w:rsidRPr="0032048B">
              <w:rPr>
                <w:sz w:val="24"/>
                <w:lang w:val="sq-AL"/>
              </w:rPr>
              <w:t>çka</w:t>
            </w:r>
            <w:r w:rsidRPr="0032048B">
              <w:rPr>
                <w:sz w:val="24"/>
                <w:lang w:val="sq-AL"/>
              </w:rPr>
              <w:t xml:space="preserve"> përbën një zhvillim të mirëpritur.</w:t>
            </w:r>
          </w:p>
        </w:tc>
      </w:tr>
    </w:tbl>
    <w:p w14:paraId="476F17CA" w14:textId="77777777" w:rsidR="00380775" w:rsidRPr="0032048B" w:rsidRDefault="00380775" w:rsidP="00361D5A">
      <w:pPr>
        <w:tabs>
          <w:tab w:val="left" w:pos="1134"/>
        </w:tabs>
        <w:spacing w:before="120"/>
        <w:ind w:left="993" w:right="1067"/>
        <w:jc w:val="both"/>
        <w:outlineLvl w:val="0"/>
        <w:rPr>
          <w:sz w:val="24"/>
          <w:szCs w:val="24"/>
          <w:lang w:val="sq-AL"/>
        </w:rPr>
      </w:pPr>
      <w:r w:rsidRPr="0032048B">
        <w:rPr>
          <w:sz w:val="24"/>
          <w:szCs w:val="24"/>
          <w:lang w:val="sq-AL"/>
        </w:rPr>
        <w:t>Debatet dhe procedurat parlamentare vazhduan të preken negativisht nga retorika e ashpër politike, sulmet personale dhe sjelljet problematike në Sallën Plenare. Mosmarrëveshjet midis shumicës dhe opozitës, në veçanti lidhur me refuzimin e kryeministrit për të marrë pjesë në shumicën e interpelancave të kërkuara nga opozita, shkaktuan një ndërprerje të përkohshme në funksionimin normal të Parlamentit. Sekretariati i Etikës mori masa disiplinore për përjashtimin e paprecedent të 23 deputetëve të opozitës brenda një muaji. Kërkohet respektimi i standardeve më të larta etike në punimet e kuvendit për të mundësuar një dialog konstruktiv politik midis opozitës dhe shumicës.</w:t>
      </w:r>
    </w:p>
    <w:p w14:paraId="0BF0798D" w14:textId="46A24450" w:rsidR="00380775" w:rsidRPr="0032048B" w:rsidRDefault="00380775" w:rsidP="00361D5A">
      <w:pPr>
        <w:tabs>
          <w:tab w:val="left" w:pos="1134"/>
        </w:tabs>
        <w:spacing w:before="120"/>
        <w:ind w:left="993" w:right="1067"/>
        <w:jc w:val="both"/>
        <w:outlineLvl w:val="0"/>
        <w:rPr>
          <w:sz w:val="24"/>
          <w:szCs w:val="24"/>
          <w:lang w:val="sq-AL"/>
        </w:rPr>
      </w:pPr>
      <w:r w:rsidRPr="0032048B">
        <w:rPr>
          <w:sz w:val="24"/>
          <w:szCs w:val="24"/>
          <w:lang w:val="sq-AL"/>
        </w:rPr>
        <w:t>Gjatë periudhës së raportimit, shtatë deputetë u zëvendësuan, pesë nga Partia Demokratike dhe dy nga socialistët në pushtet, për shkak t</w:t>
      </w:r>
      <w:r w:rsidR="005D3CCC" w:rsidRPr="0032048B">
        <w:rPr>
          <w:sz w:val="24"/>
          <w:szCs w:val="24"/>
          <w:lang w:val="sq-AL"/>
        </w:rPr>
        <w:t>ë</w:t>
      </w:r>
      <w:r w:rsidRPr="0032048B">
        <w:rPr>
          <w:sz w:val="24"/>
          <w:szCs w:val="24"/>
          <w:lang w:val="sq-AL"/>
        </w:rPr>
        <w:t xml:space="preserve"> </w:t>
      </w:r>
      <w:proofErr w:type="spellStart"/>
      <w:r w:rsidRPr="0032048B">
        <w:rPr>
          <w:sz w:val="24"/>
          <w:szCs w:val="24"/>
          <w:lang w:val="sq-AL"/>
        </w:rPr>
        <w:t>kandidimit</w:t>
      </w:r>
      <w:proofErr w:type="spellEnd"/>
      <w:r w:rsidRPr="0032048B">
        <w:rPr>
          <w:sz w:val="24"/>
          <w:szCs w:val="24"/>
          <w:lang w:val="sq-AL"/>
        </w:rPr>
        <w:t xml:space="preserve"> për kryetar bashkie</w:t>
      </w:r>
      <w:r w:rsidR="004D53EC">
        <w:rPr>
          <w:sz w:val="24"/>
          <w:szCs w:val="24"/>
          <w:lang w:val="sq-AL"/>
        </w:rPr>
        <w:t xml:space="preserve"> </w:t>
      </w:r>
      <w:r w:rsidRPr="0032048B">
        <w:rPr>
          <w:sz w:val="24"/>
          <w:szCs w:val="24"/>
          <w:lang w:val="sq-AL"/>
        </w:rPr>
        <w:t>në zgjedhjet lokale. Riorganizimi i komisioneve të përhershme të Parlamentit dhe organeve të tjera nuk u krye, për shkak të konfliktit brenda opozitës dhe përpjekjeve për të kontrolluar shumicën opozitare.</w:t>
      </w:r>
    </w:p>
    <w:p w14:paraId="2373CF8B" w14:textId="77777777" w:rsidR="00380775" w:rsidRPr="0032048B" w:rsidRDefault="00380775" w:rsidP="00361D5A">
      <w:pPr>
        <w:tabs>
          <w:tab w:val="left" w:pos="1134"/>
        </w:tabs>
        <w:spacing w:before="120"/>
        <w:ind w:left="993" w:right="1067"/>
        <w:jc w:val="both"/>
        <w:outlineLvl w:val="0"/>
        <w:rPr>
          <w:sz w:val="24"/>
          <w:szCs w:val="24"/>
          <w:lang w:val="sq-AL"/>
        </w:rPr>
      </w:pPr>
      <w:r w:rsidRPr="0032048B">
        <w:rPr>
          <w:sz w:val="24"/>
          <w:szCs w:val="24"/>
          <w:lang w:val="sq-AL"/>
        </w:rPr>
        <w:t>Aktiviteti parlamentar u pezullua gjatë fushatës zgjedhore për zgjedhjet lokale të vitit 2023. Ligji nuk e parashikon pezullimin në fjalë.</w:t>
      </w:r>
    </w:p>
    <w:p w14:paraId="2CEDDF9D" w14:textId="77777777" w:rsidR="00380775" w:rsidRPr="0032048B" w:rsidRDefault="00380775" w:rsidP="00361D5A">
      <w:pPr>
        <w:tabs>
          <w:tab w:val="left" w:pos="1134"/>
        </w:tabs>
        <w:spacing w:before="120"/>
        <w:ind w:left="993" w:right="1067"/>
        <w:jc w:val="both"/>
        <w:outlineLvl w:val="0"/>
        <w:rPr>
          <w:sz w:val="24"/>
          <w:szCs w:val="24"/>
          <w:lang w:val="sq-AL"/>
        </w:rPr>
      </w:pPr>
      <w:r w:rsidRPr="0032048B">
        <w:rPr>
          <w:b/>
          <w:bCs/>
          <w:sz w:val="24"/>
          <w:szCs w:val="24"/>
          <w:lang w:val="sq-AL"/>
        </w:rPr>
        <w:t>Mbikëqyrja</w:t>
      </w:r>
      <w:r w:rsidRPr="0032048B">
        <w:rPr>
          <w:sz w:val="24"/>
          <w:szCs w:val="24"/>
          <w:lang w:val="sq-AL"/>
        </w:rPr>
        <w:t xml:space="preserve"> e parlamentit mbi ekzekutivin mbeti e kufizuar. Deputetët paraqitën tre kërkesa për interpelancë dhe një mocion me debat me Kryeministrin. Kryeministri mori pjesë në një interpelancë personalisht. Interpelancat e tjera u mbajtën me anëtarët e Këshillit të Ministrave. Mbikëqyrja e parlamentit mbi punën e institucioneve të pavarura vazhdon të kufizohet vetëm në shqyrtimin e raporteve të tyre vjetore dhe një programi kompjuterik për monitorimin e zbatimit të rekomandimeve të bëra nga këto institucione.</w:t>
      </w:r>
    </w:p>
    <w:p w14:paraId="3CA854E4" w14:textId="77777777" w:rsidR="00380775" w:rsidRPr="0032048B" w:rsidRDefault="00380775" w:rsidP="00361D5A">
      <w:pPr>
        <w:tabs>
          <w:tab w:val="left" w:pos="1134"/>
        </w:tabs>
        <w:spacing w:before="120"/>
        <w:ind w:left="993" w:right="1067"/>
        <w:jc w:val="both"/>
        <w:outlineLvl w:val="0"/>
        <w:rPr>
          <w:sz w:val="24"/>
          <w:szCs w:val="24"/>
          <w:lang w:val="sq-AL"/>
        </w:rPr>
      </w:pPr>
      <w:r w:rsidRPr="0032048B">
        <w:rPr>
          <w:sz w:val="24"/>
          <w:szCs w:val="24"/>
          <w:lang w:val="sq-AL"/>
        </w:rPr>
        <w:t xml:space="preserve">Gjatë periudhës së raportimit, opozita kërkoi ngritjen e dy komisioneve hetimore, por shumica i hodhi poshtë të dyja kërkesat, përkundër faktit se e drejta e opozitës për të ngritur komisione </w:t>
      </w:r>
      <w:r w:rsidRPr="0032048B">
        <w:rPr>
          <w:sz w:val="24"/>
          <w:szCs w:val="24"/>
          <w:lang w:val="sq-AL"/>
        </w:rPr>
        <w:lastRenderedPageBreak/>
        <w:t>të tilla garantohet me kushtetutë. Argumenti i shumicës në të dyja rastet ishte se ligji për komisionet hetimore është në proces shqyrtimi. Megjithatë, ligji aktual mbetet në fuqi.</w:t>
      </w:r>
    </w:p>
    <w:p w14:paraId="20CD73EA" w14:textId="77777777" w:rsidR="00380775" w:rsidRPr="0032048B" w:rsidRDefault="00380775" w:rsidP="00361D5A">
      <w:pPr>
        <w:tabs>
          <w:tab w:val="left" w:pos="1134"/>
        </w:tabs>
        <w:spacing w:before="120"/>
        <w:ind w:left="993" w:right="1067"/>
        <w:jc w:val="both"/>
        <w:outlineLvl w:val="0"/>
        <w:rPr>
          <w:sz w:val="24"/>
          <w:szCs w:val="24"/>
          <w:lang w:val="sq-AL"/>
        </w:rPr>
      </w:pPr>
      <w:r w:rsidRPr="0032048B">
        <w:rPr>
          <w:sz w:val="24"/>
          <w:szCs w:val="24"/>
          <w:lang w:val="sq-AL"/>
        </w:rPr>
        <w:t>Në mars 2023, u miratuan me një shumicë të madhe ndryshimet në ligjin e vitit 2015 për rolin e Parlamentit në integrimin e BE -së, në funksion të forcimit të rolit konsultativ të parlamentit në procesin e negociatave të pranimit. Gjatë periudhës së raportimit, Këshilli Kombëtar i Integrimit Evropian u mblodh rregullisht për vlerësuar ecurinë e integrimit të Shqipërisë në BE.</w:t>
      </w:r>
    </w:p>
    <w:p w14:paraId="04E49D9F" w14:textId="77777777" w:rsidR="00380775" w:rsidRPr="0032048B" w:rsidRDefault="00380775" w:rsidP="00361D5A">
      <w:pPr>
        <w:tabs>
          <w:tab w:val="left" w:pos="1134"/>
        </w:tabs>
        <w:spacing w:before="120"/>
        <w:ind w:left="993" w:right="1067"/>
        <w:jc w:val="both"/>
        <w:outlineLvl w:val="0"/>
        <w:rPr>
          <w:sz w:val="24"/>
          <w:szCs w:val="24"/>
          <w:lang w:val="sq-AL"/>
        </w:rPr>
      </w:pPr>
      <w:r w:rsidRPr="0032048B">
        <w:rPr>
          <w:sz w:val="24"/>
          <w:szCs w:val="24"/>
          <w:lang w:val="sq-AL"/>
        </w:rPr>
        <w:t xml:space="preserve">Procedurat parlamentare vazhduan të transmetohen drejtpërdrejt në mediat sociale. Në përpjekje për të rritur transparencën, Parlamenti krijoi një </w:t>
      </w:r>
      <w:proofErr w:type="spellStart"/>
      <w:r w:rsidRPr="0032048B">
        <w:rPr>
          <w:sz w:val="24"/>
          <w:szCs w:val="24"/>
          <w:lang w:val="sq-AL"/>
        </w:rPr>
        <w:t>uebfaqe</w:t>
      </w:r>
      <w:proofErr w:type="spellEnd"/>
      <w:r w:rsidRPr="0032048B">
        <w:rPr>
          <w:sz w:val="24"/>
          <w:szCs w:val="24"/>
          <w:lang w:val="sq-AL"/>
        </w:rPr>
        <w:t xml:space="preserve"> të re, e cila është akoma e paplotë dhe vetëm pjesërisht e përdorshme. Në vitin 2021 u krijua një grup pune për standardet e transparencës, ndërsa konsultimet me shoqërinë civile dhe mediat kanë vazhduar. Sidoqoftë, këto standarde që lidhen me parimin e qeverisë së hapur kanë ende nevojë të këshillohen, të pranohen dhe të miratohen. Dokumentacioni parlamentar, si aktet juridike dhe proces-verbalet e seancave plenare dhe takimeve të komisioneve, duhet të publikohen më shpejt dhe në mënyrë më miqësore me përdoruesit, duke treguar qartë ndryshimet e miratuara gjatë secilit hap të procedurës legjislative. Konsultimi publik me shoqërinë civile dhe grupet e interesit mbeti formal.</w:t>
      </w:r>
    </w:p>
    <w:p w14:paraId="517F866C" w14:textId="77777777" w:rsidR="00380775" w:rsidRPr="0032048B" w:rsidRDefault="00380775" w:rsidP="00361D5A">
      <w:pPr>
        <w:tabs>
          <w:tab w:val="left" w:pos="1134"/>
        </w:tabs>
        <w:spacing w:before="120"/>
        <w:ind w:left="993" w:right="1067"/>
        <w:jc w:val="both"/>
        <w:outlineLvl w:val="0"/>
        <w:rPr>
          <w:sz w:val="24"/>
          <w:szCs w:val="24"/>
          <w:lang w:val="sq-AL"/>
        </w:rPr>
      </w:pPr>
      <w:r w:rsidRPr="0032048B">
        <w:rPr>
          <w:sz w:val="24"/>
          <w:szCs w:val="24"/>
          <w:lang w:val="sq-AL"/>
        </w:rPr>
        <w:t xml:space="preserve">Kuvendi u përball me vështirësi të konsiderueshme në realizimin e detyrës së tij për të zgjedhur Avokatin e Popullit. Një vit pasi posti mbeti vakant, Parlamenti bëri një thirrje tjetër për kandidatë në Mars 2023 dhe zhvilloi intervista me kandidatët në korrik. Parlamenti ende nuk e ka zgjedhur </w:t>
      </w:r>
      <w:proofErr w:type="spellStart"/>
      <w:r w:rsidRPr="0032048B">
        <w:rPr>
          <w:sz w:val="24"/>
          <w:szCs w:val="24"/>
          <w:lang w:val="sq-AL"/>
        </w:rPr>
        <w:t>komisionerin</w:t>
      </w:r>
      <w:proofErr w:type="spellEnd"/>
      <w:r w:rsidRPr="0032048B">
        <w:rPr>
          <w:sz w:val="24"/>
          <w:szCs w:val="24"/>
          <w:lang w:val="sq-AL"/>
        </w:rPr>
        <w:t xml:space="preserve"> e ri për mbrojtjen nga diskriminimi. Vonesat dhe politizimi i proceseve të përzgjedhjes dobësojnë këto institucione të pavarura.</w:t>
      </w:r>
    </w:p>
    <w:p w14:paraId="2454B6C7" w14:textId="77777777" w:rsidR="00380775" w:rsidRPr="0032048B" w:rsidRDefault="00380775" w:rsidP="00361D5A">
      <w:pPr>
        <w:tabs>
          <w:tab w:val="left" w:pos="1134"/>
        </w:tabs>
        <w:spacing w:before="120"/>
        <w:ind w:left="993" w:right="1067"/>
        <w:outlineLvl w:val="0"/>
        <w:rPr>
          <w:b/>
          <w:bCs/>
          <w:sz w:val="24"/>
          <w:szCs w:val="24"/>
          <w:lang w:val="sq-AL"/>
        </w:rPr>
      </w:pPr>
      <w:r w:rsidRPr="0032048B">
        <w:rPr>
          <w:b/>
          <w:bCs/>
          <w:spacing w:val="-2"/>
          <w:sz w:val="24"/>
          <w:szCs w:val="24"/>
          <w:lang w:val="sq-AL"/>
        </w:rPr>
        <w:t>Qeverisja</w:t>
      </w:r>
    </w:p>
    <w:p w14:paraId="60F4A617" w14:textId="77777777" w:rsidR="00380775" w:rsidRPr="0032048B" w:rsidRDefault="00380775" w:rsidP="00361D5A">
      <w:pPr>
        <w:tabs>
          <w:tab w:val="left" w:pos="1134"/>
        </w:tabs>
        <w:spacing w:before="6"/>
        <w:ind w:left="993" w:right="1067"/>
        <w:rPr>
          <w:b/>
          <w:sz w:val="10"/>
          <w:szCs w:val="24"/>
          <w:lang w:val="sq-AL"/>
        </w:rPr>
      </w:pP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4"/>
      </w:tblGrid>
      <w:tr w:rsidR="00380775" w:rsidRPr="0032048B" w14:paraId="76536628" w14:textId="77777777" w:rsidTr="000C6EFC">
        <w:trPr>
          <w:trHeight w:val="1693"/>
        </w:trPr>
        <w:tc>
          <w:tcPr>
            <w:tcW w:w="9294" w:type="dxa"/>
            <w:shd w:val="clear" w:color="auto" w:fill="D0CECE"/>
          </w:tcPr>
          <w:p w14:paraId="2494AA3B" w14:textId="460B3E07" w:rsidR="00380775" w:rsidRPr="0032048B" w:rsidRDefault="00380775" w:rsidP="00520FFA">
            <w:pPr>
              <w:tabs>
                <w:tab w:val="left" w:pos="270"/>
              </w:tabs>
              <w:spacing w:before="18" w:line="270" w:lineRule="atLeast"/>
              <w:ind w:left="270" w:right="233"/>
              <w:jc w:val="both"/>
              <w:rPr>
                <w:sz w:val="24"/>
                <w:lang w:val="sq-AL"/>
              </w:rPr>
            </w:pPr>
            <w:r w:rsidRPr="0032048B">
              <w:rPr>
                <w:sz w:val="24"/>
                <w:lang w:val="sq-AL"/>
              </w:rPr>
              <w:t>Pas Konferencës së parë Ndërqeveritare që hapi negociatat e pranimit të BE-së me Shqipërinë në korrik 2022, qeveria ka rip</w:t>
            </w:r>
            <w:r w:rsidR="005D3CCC" w:rsidRPr="0032048B">
              <w:rPr>
                <w:sz w:val="24"/>
                <w:lang w:val="sq-AL"/>
              </w:rPr>
              <w:t>ë</w:t>
            </w:r>
            <w:r w:rsidRPr="0032048B">
              <w:rPr>
                <w:sz w:val="24"/>
                <w:lang w:val="sq-AL"/>
              </w:rPr>
              <w:t>rt</w:t>
            </w:r>
            <w:r w:rsidR="005D3CCC" w:rsidRPr="0032048B">
              <w:rPr>
                <w:sz w:val="24"/>
                <w:lang w:val="sq-AL"/>
              </w:rPr>
              <w:t>ë</w:t>
            </w:r>
            <w:r w:rsidRPr="0032048B">
              <w:rPr>
                <w:sz w:val="24"/>
                <w:lang w:val="sq-AL"/>
              </w:rPr>
              <w:t>rir</w:t>
            </w:r>
            <w:r w:rsidR="005D3CCC" w:rsidRPr="0032048B">
              <w:rPr>
                <w:sz w:val="24"/>
                <w:lang w:val="sq-AL"/>
              </w:rPr>
              <w:t>ë</w:t>
            </w:r>
            <w:r w:rsidRPr="0032048B">
              <w:rPr>
                <w:sz w:val="24"/>
                <w:lang w:val="sq-AL"/>
              </w:rPr>
              <w:t xml:space="preserve"> n</w:t>
            </w:r>
            <w:r w:rsidR="005D3CCC" w:rsidRPr="0032048B">
              <w:rPr>
                <w:sz w:val="24"/>
                <w:lang w:val="sq-AL"/>
              </w:rPr>
              <w:t>ë</w:t>
            </w:r>
            <w:r w:rsidRPr="0032048B">
              <w:rPr>
                <w:sz w:val="24"/>
                <w:lang w:val="sq-AL"/>
              </w:rPr>
              <w:t xml:space="preserve"> t</w:t>
            </w:r>
            <w:r w:rsidR="005D3CCC" w:rsidRPr="0032048B">
              <w:rPr>
                <w:sz w:val="24"/>
                <w:lang w:val="sq-AL"/>
              </w:rPr>
              <w:t>ë</w:t>
            </w:r>
            <w:r w:rsidRPr="0032048B">
              <w:rPr>
                <w:sz w:val="24"/>
                <w:lang w:val="sq-AL"/>
              </w:rPr>
              <w:t>r</w:t>
            </w:r>
            <w:r w:rsidR="005D3CCC" w:rsidRPr="0032048B">
              <w:rPr>
                <w:sz w:val="24"/>
                <w:lang w:val="sq-AL"/>
              </w:rPr>
              <w:t>ë</w:t>
            </w:r>
            <w:r w:rsidRPr="0032048B">
              <w:rPr>
                <w:sz w:val="24"/>
                <w:lang w:val="sq-AL"/>
              </w:rPr>
              <w:t>si angazhimin e saj politik në rrugën e vendit drejt BE-s</w:t>
            </w:r>
            <w:r w:rsidR="005D3CCC" w:rsidRPr="0032048B">
              <w:rPr>
                <w:sz w:val="24"/>
                <w:lang w:val="sq-AL"/>
              </w:rPr>
              <w:t>ë</w:t>
            </w:r>
            <w:r w:rsidRPr="0032048B">
              <w:rPr>
                <w:sz w:val="24"/>
                <w:lang w:val="sq-AL"/>
              </w:rPr>
              <w:t xml:space="preserve">. Nën koordinimin e </w:t>
            </w:r>
            <w:proofErr w:type="spellStart"/>
            <w:r w:rsidRPr="0032048B">
              <w:rPr>
                <w:sz w:val="24"/>
                <w:lang w:val="sq-AL"/>
              </w:rPr>
              <w:t>Kryenegociatores</w:t>
            </w:r>
            <w:proofErr w:type="spellEnd"/>
            <w:r w:rsidRPr="0032048B">
              <w:rPr>
                <w:sz w:val="24"/>
                <w:lang w:val="sq-AL"/>
              </w:rPr>
              <w:t xml:space="preserve"> dhe strukturave të BE-së të reformuara rishtazi, institucionet shqiptare kanë mobilizuar burime të rëndësishme për t’u angazhuar në mënyrë aktive në procesin e shqyrtimit analitik, i cili po ec</w:t>
            </w:r>
            <w:r w:rsidR="005D3CCC" w:rsidRPr="0032048B">
              <w:rPr>
                <w:sz w:val="24"/>
                <w:lang w:val="sq-AL"/>
              </w:rPr>
              <w:t>ë</w:t>
            </w:r>
            <w:r w:rsidRPr="0032048B">
              <w:rPr>
                <w:sz w:val="24"/>
                <w:lang w:val="sq-AL"/>
              </w:rPr>
              <w:t>n pa probleme, dhe p</w:t>
            </w:r>
            <w:r w:rsidR="005D3CCC" w:rsidRPr="0032048B">
              <w:rPr>
                <w:sz w:val="24"/>
                <w:lang w:val="sq-AL"/>
              </w:rPr>
              <w:t>ë</w:t>
            </w:r>
            <w:r w:rsidRPr="0032048B">
              <w:rPr>
                <w:sz w:val="24"/>
                <w:lang w:val="sq-AL"/>
              </w:rPr>
              <w:t>r t’u përgatitur për hapat e ardhshëm në negociatat e pranimit.</w:t>
            </w:r>
          </w:p>
        </w:tc>
      </w:tr>
    </w:tbl>
    <w:p w14:paraId="78830CBB" w14:textId="0240A958" w:rsidR="00380775" w:rsidRPr="0032048B" w:rsidRDefault="00380775" w:rsidP="0032048B">
      <w:pPr>
        <w:tabs>
          <w:tab w:val="left" w:pos="1134"/>
        </w:tabs>
        <w:spacing w:before="120"/>
        <w:ind w:right="1067"/>
        <w:jc w:val="both"/>
        <w:rPr>
          <w:sz w:val="24"/>
          <w:szCs w:val="24"/>
          <w:lang w:val="sq-AL"/>
        </w:rPr>
      </w:pPr>
    </w:p>
    <w:p w14:paraId="568C5A0B" w14:textId="1FB73B8D" w:rsidR="00380775" w:rsidRPr="0032048B" w:rsidRDefault="00380775" w:rsidP="00361D5A">
      <w:pPr>
        <w:tabs>
          <w:tab w:val="left" w:pos="1134"/>
          <w:tab w:val="left" w:pos="9990"/>
        </w:tabs>
        <w:spacing w:before="120"/>
        <w:ind w:left="993" w:right="1067"/>
        <w:jc w:val="both"/>
        <w:rPr>
          <w:sz w:val="24"/>
          <w:szCs w:val="24"/>
          <w:lang w:val="sq-AL"/>
        </w:rPr>
      </w:pPr>
      <w:r w:rsidRPr="0032048B">
        <w:rPr>
          <w:sz w:val="24"/>
          <w:szCs w:val="24"/>
          <w:lang w:val="sq-AL"/>
        </w:rPr>
        <w:t>Hapja e negociatave të pranimit duhet të përkthehet në një përshpejtim të reformave specifike të lidhura me BE-n</w:t>
      </w:r>
      <w:r w:rsidR="005D3CCC" w:rsidRPr="0032048B">
        <w:rPr>
          <w:sz w:val="24"/>
          <w:szCs w:val="24"/>
          <w:lang w:val="sq-AL"/>
        </w:rPr>
        <w:t>ë</w:t>
      </w:r>
      <w:r w:rsidRPr="0032048B">
        <w:rPr>
          <w:sz w:val="24"/>
          <w:szCs w:val="24"/>
          <w:lang w:val="sq-AL"/>
        </w:rPr>
        <w:t>. Ndërsa i ka vendosur reformat e lidhura me BE në qendër të planifikimit të saj p</w:t>
      </w:r>
      <w:r w:rsidR="005D3CCC" w:rsidRPr="0032048B">
        <w:rPr>
          <w:sz w:val="24"/>
          <w:szCs w:val="24"/>
          <w:lang w:val="sq-AL"/>
        </w:rPr>
        <w:t>ë</w:t>
      </w:r>
      <w:r w:rsidRPr="0032048B">
        <w:rPr>
          <w:sz w:val="24"/>
          <w:szCs w:val="24"/>
          <w:lang w:val="sq-AL"/>
        </w:rPr>
        <w:t>r ligjet dhe politikat, qeveria nuk duhet t</w:t>
      </w:r>
      <w:r w:rsidR="005D3CCC" w:rsidRPr="0032048B">
        <w:rPr>
          <w:sz w:val="24"/>
          <w:szCs w:val="24"/>
          <w:lang w:val="sq-AL"/>
        </w:rPr>
        <w:t>ë</w:t>
      </w:r>
      <w:r w:rsidRPr="0032048B">
        <w:rPr>
          <w:sz w:val="24"/>
          <w:szCs w:val="24"/>
          <w:lang w:val="sq-AL"/>
        </w:rPr>
        <w:t xml:space="preserve"> nd</w:t>
      </w:r>
      <w:r w:rsidR="005D3CCC" w:rsidRPr="0032048B">
        <w:rPr>
          <w:sz w:val="24"/>
          <w:szCs w:val="24"/>
          <w:lang w:val="sq-AL"/>
        </w:rPr>
        <w:t>ë</w:t>
      </w:r>
      <w:r w:rsidRPr="0032048B">
        <w:rPr>
          <w:sz w:val="24"/>
          <w:szCs w:val="24"/>
          <w:lang w:val="sq-AL"/>
        </w:rPr>
        <w:t>rmarr</w:t>
      </w:r>
      <w:r w:rsidR="005D3CCC" w:rsidRPr="0032048B">
        <w:rPr>
          <w:sz w:val="24"/>
          <w:szCs w:val="24"/>
          <w:lang w:val="sq-AL"/>
        </w:rPr>
        <w:t>ë</w:t>
      </w:r>
      <w:r w:rsidRPr="0032048B">
        <w:rPr>
          <w:sz w:val="24"/>
          <w:szCs w:val="24"/>
          <w:lang w:val="sq-AL"/>
        </w:rPr>
        <w:t xml:space="preserve"> masa që nuk janë në përputhje me standardet e BE-së. Qeveria, gjithashtu, duhet të angazhohet në nj</w:t>
      </w:r>
      <w:r w:rsidR="005D3CCC" w:rsidRPr="0032048B">
        <w:rPr>
          <w:sz w:val="24"/>
          <w:szCs w:val="24"/>
          <w:lang w:val="sq-AL"/>
        </w:rPr>
        <w:t>ë</w:t>
      </w:r>
      <w:r w:rsidRPr="0032048B">
        <w:rPr>
          <w:sz w:val="24"/>
          <w:szCs w:val="24"/>
          <w:lang w:val="sq-AL"/>
        </w:rPr>
        <w:t xml:space="preserve"> komunikim më të fortë me publikun p</w:t>
      </w:r>
      <w:r w:rsidR="005D3CCC" w:rsidRPr="0032048B">
        <w:rPr>
          <w:sz w:val="24"/>
          <w:szCs w:val="24"/>
          <w:lang w:val="sq-AL"/>
        </w:rPr>
        <w:t>ë</w:t>
      </w:r>
      <w:r w:rsidRPr="0032048B">
        <w:rPr>
          <w:sz w:val="24"/>
          <w:szCs w:val="24"/>
          <w:lang w:val="sq-AL"/>
        </w:rPr>
        <w:t xml:space="preserve">r procesin e pranimit në BE. Pas Konferencës së parë Ndërqeveritare për negociatat e pranimit në korrik 2022, qeveria caktoi një </w:t>
      </w:r>
      <w:proofErr w:type="spellStart"/>
      <w:r w:rsidRPr="0032048B">
        <w:rPr>
          <w:sz w:val="24"/>
          <w:szCs w:val="24"/>
          <w:lang w:val="sq-AL"/>
        </w:rPr>
        <w:t>Kryenegociatore</w:t>
      </w:r>
      <w:proofErr w:type="spellEnd"/>
      <w:r w:rsidRPr="0032048B">
        <w:rPr>
          <w:sz w:val="24"/>
          <w:szCs w:val="24"/>
          <w:lang w:val="sq-AL"/>
        </w:rPr>
        <w:t xml:space="preserve"> t</w:t>
      </w:r>
      <w:r w:rsidR="005D3CCC" w:rsidRPr="0032048B">
        <w:rPr>
          <w:sz w:val="24"/>
          <w:szCs w:val="24"/>
          <w:lang w:val="sq-AL"/>
        </w:rPr>
        <w:t>ë</w:t>
      </w:r>
      <w:r w:rsidRPr="0032048B">
        <w:rPr>
          <w:sz w:val="24"/>
          <w:szCs w:val="24"/>
          <w:lang w:val="sq-AL"/>
        </w:rPr>
        <w:t xml:space="preserve"> re, në Nivelin e Ministrit të Shtetit si dhe shtoi</w:t>
      </w:r>
      <w:r w:rsidR="004D53EC">
        <w:rPr>
          <w:sz w:val="24"/>
          <w:szCs w:val="24"/>
          <w:lang w:val="sq-AL"/>
        </w:rPr>
        <w:t xml:space="preserve"> </w:t>
      </w:r>
      <w:r w:rsidRPr="0032048B">
        <w:rPr>
          <w:sz w:val="24"/>
          <w:szCs w:val="24"/>
          <w:lang w:val="sq-AL"/>
        </w:rPr>
        <w:t>burimet. Riorganizimi administrativ që pasoi u bë gjatë periudhës së raportimit. N</w:t>
      </w:r>
      <w:r w:rsidR="005D3CCC" w:rsidRPr="0032048B">
        <w:rPr>
          <w:sz w:val="24"/>
          <w:szCs w:val="24"/>
          <w:lang w:val="sq-AL"/>
        </w:rPr>
        <w:t>ë</w:t>
      </w:r>
      <w:r w:rsidRPr="0032048B">
        <w:rPr>
          <w:sz w:val="24"/>
          <w:szCs w:val="24"/>
          <w:lang w:val="sq-AL"/>
        </w:rPr>
        <w:t xml:space="preserve"> formatin e ri, </w:t>
      </w:r>
      <w:proofErr w:type="spellStart"/>
      <w:r w:rsidRPr="0032048B">
        <w:rPr>
          <w:sz w:val="24"/>
          <w:szCs w:val="24"/>
          <w:lang w:val="sq-AL"/>
        </w:rPr>
        <w:t>Kryenegociatorja</w:t>
      </w:r>
      <w:proofErr w:type="spellEnd"/>
      <w:r w:rsidRPr="0032048B">
        <w:rPr>
          <w:sz w:val="24"/>
          <w:szCs w:val="24"/>
          <w:lang w:val="sq-AL"/>
        </w:rPr>
        <w:t xml:space="preserve"> është përgjegjëse për drejtimin e përgjithshëm, planifikimin strategjik dhe koordinimin e çështjeve q</w:t>
      </w:r>
      <w:r w:rsidR="005D3CCC" w:rsidRPr="0032048B">
        <w:rPr>
          <w:sz w:val="24"/>
          <w:szCs w:val="24"/>
          <w:lang w:val="sq-AL"/>
        </w:rPr>
        <w:t>ë</w:t>
      </w:r>
      <w:r w:rsidRPr="0032048B">
        <w:rPr>
          <w:sz w:val="24"/>
          <w:szCs w:val="24"/>
          <w:lang w:val="sq-AL"/>
        </w:rPr>
        <w:t xml:space="preserve"> lidhen me BE-në, së bashku me Agjencinë Shtetërore për Programimin Strategjik dhe Koordinimin e Ndihm</w:t>
      </w:r>
      <w:r w:rsidR="005D3CCC" w:rsidRPr="0032048B">
        <w:rPr>
          <w:sz w:val="24"/>
          <w:szCs w:val="24"/>
          <w:lang w:val="sq-AL"/>
        </w:rPr>
        <w:t>ë</w:t>
      </w:r>
      <w:r w:rsidRPr="0032048B">
        <w:rPr>
          <w:sz w:val="24"/>
          <w:szCs w:val="24"/>
          <w:lang w:val="sq-AL"/>
        </w:rPr>
        <w:t>s, dhe Ministrin</w:t>
      </w:r>
      <w:r w:rsidR="005D3CCC" w:rsidRPr="0032048B">
        <w:rPr>
          <w:sz w:val="24"/>
          <w:szCs w:val="24"/>
          <w:lang w:val="sq-AL"/>
        </w:rPr>
        <w:t>ë</w:t>
      </w:r>
      <w:r w:rsidRPr="0032048B">
        <w:rPr>
          <w:sz w:val="24"/>
          <w:szCs w:val="24"/>
          <w:lang w:val="sq-AL"/>
        </w:rPr>
        <w:t xml:space="preserve"> për Evropën dhe Punët e Jashtme.</w:t>
      </w:r>
    </w:p>
    <w:p w14:paraId="6167386D" w14:textId="7B733FC5" w:rsidR="00380775" w:rsidRPr="0032048B" w:rsidRDefault="005D3CCC" w:rsidP="00361D5A">
      <w:pPr>
        <w:tabs>
          <w:tab w:val="left" w:pos="1134"/>
          <w:tab w:val="left" w:pos="9990"/>
        </w:tabs>
        <w:spacing w:before="120"/>
        <w:ind w:left="993" w:right="1067"/>
        <w:jc w:val="both"/>
        <w:rPr>
          <w:sz w:val="24"/>
          <w:szCs w:val="24"/>
          <w:lang w:val="sq-AL"/>
        </w:rPr>
      </w:pPr>
      <w:r w:rsidRPr="0032048B">
        <w:rPr>
          <w:sz w:val="24"/>
          <w:szCs w:val="24"/>
          <w:lang w:val="sq-AL"/>
        </w:rPr>
        <w:t>Ë</w:t>
      </w:r>
      <w:r w:rsidR="00380775" w:rsidRPr="0032048B">
        <w:rPr>
          <w:sz w:val="24"/>
          <w:szCs w:val="24"/>
          <w:lang w:val="sq-AL"/>
        </w:rPr>
        <w:t>shtë arritur progres dometh</w:t>
      </w:r>
      <w:r w:rsidRPr="0032048B">
        <w:rPr>
          <w:sz w:val="24"/>
          <w:szCs w:val="24"/>
          <w:lang w:val="sq-AL"/>
        </w:rPr>
        <w:t>ë</w:t>
      </w:r>
      <w:r w:rsidR="00380775" w:rsidRPr="0032048B">
        <w:rPr>
          <w:sz w:val="24"/>
          <w:szCs w:val="24"/>
          <w:lang w:val="sq-AL"/>
        </w:rPr>
        <w:t>n</w:t>
      </w:r>
      <w:r w:rsidRPr="0032048B">
        <w:rPr>
          <w:sz w:val="24"/>
          <w:szCs w:val="24"/>
          <w:lang w:val="sq-AL"/>
        </w:rPr>
        <w:t>ë</w:t>
      </w:r>
      <w:r w:rsidR="00380775" w:rsidRPr="0032048B">
        <w:rPr>
          <w:sz w:val="24"/>
          <w:szCs w:val="24"/>
          <w:lang w:val="sq-AL"/>
        </w:rPr>
        <w:t>s në sigurimin e koordinimit p</w:t>
      </w:r>
      <w:r w:rsidRPr="0032048B">
        <w:rPr>
          <w:sz w:val="24"/>
          <w:szCs w:val="24"/>
          <w:lang w:val="sq-AL"/>
        </w:rPr>
        <w:t>ë</w:t>
      </w:r>
      <w:r w:rsidR="00380775" w:rsidRPr="0032048B">
        <w:rPr>
          <w:sz w:val="24"/>
          <w:szCs w:val="24"/>
          <w:lang w:val="sq-AL"/>
        </w:rPr>
        <w:t>r integrimin n</w:t>
      </w:r>
      <w:r w:rsidRPr="0032048B">
        <w:rPr>
          <w:sz w:val="24"/>
          <w:szCs w:val="24"/>
          <w:lang w:val="sq-AL"/>
        </w:rPr>
        <w:t>ë</w:t>
      </w:r>
      <w:r w:rsidR="00380775" w:rsidRPr="0032048B">
        <w:rPr>
          <w:sz w:val="24"/>
          <w:szCs w:val="24"/>
          <w:lang w:val="sq-AL"/>
        </w:rPr>
        <w:t xml:space="preserve"> BE dhe ndihmën e BE-së nd</w:t>
      </w:r>
      <w:r w:rsidRPr="0032048B">
        <w:rPr>
          <w:sz w:val="24"/>
          <w:szCs w:val="24"/>
          <w:lang w:val="sq-AL"/>
        </w:rPr>
        <w:t>ë</w:t>
      </w:r>
      <w:r w:rsidR="00380775" w:rsidRPr="0032048B">
        <w:rPr>
          <w:sz w:val="24"/>
          <w:szCs w:val="24"/>
          <w:lang w:val="sq-AL"/>
        </w:rPr>
        <w:t>rmjet Agjencisë Shtetërore për Programimin Strategjik dhe Koordinimin e Ndihmës (SASPC,) ministrive t</w:t>
      </w:r>
      <w:r w:rsidRPr="0032048B">
        <w:rPr>
          <w:sz w:val="24"/>
          <w:szCs w:val="24"/>
          <w:lang w:val="sq-AL"/>
        </w:rPr>
        <w:t>ë</w:t>
      </w:r>
      <w:r w:rsidR="00380775" w:rsidRPr="0032048B">
        <w:rPr>
          <w:sz w:val="24"/>
          <w:szCs w:val="24"/>
          <w:lang w:val="sq-AL"/>
        </w:rPr>
        <w:t xml:space="preserve"> linjës, njësisë qendrore të financave dhe kontratave, si dhe njësive të qeverisjes vendore. Ky koordinim tani duhet të konsolidohet më tej. P</w:t>
      </w:r>
      <w:r w:rsidRPr="0032048B">
        <w:rPr>
          <w:sz w:val="24"/>
          <w:szCs w:val="24"/>
          <w:lang w:val="sq-AL"/>
        </w:rPr>
        <w:t>ë</w:t>
      </w:r>
      <w:r w:rsidR="00380775" w:rsidRPr="0032048B">
        <w:rPr>
          <w:sz w:val="24"/>
          <w:szCs w:val="24"/>
          <w:lang w:val="sq-AL"/>
        </w:rPr>
        <w:t>rmir</w:t>
      </w:r>
      <w:r w:rsidRPr="0032048B">
        <w:rPr>
          <w:sz w:val="24"/>
          <w:szCs w:val="24"/>
          <w:lang w:val="sq-AL"/>
        </w:rPr>
        <w:t>ë</w:t>
      </w:r>
      <w:r w:rsidR="00380775" w:rsidRPr="0032048B">
        <w:rPr>
          <w:sz w:val="24"/>
          <w:szCs w:val="24"/>
          <w:lang w:val="sq-AL"/>
        </w:rPr>
        <w:t>simi i bashkëpunimit, dhe pun</w:t>
      </w:r>
      <w:r w:rsidRPr="0032048B">
        <w:rPr>
          <w:sz w:val="24"/>
          <w:szCs w:val="24"/>
          <w:lang w:val="sq-AL"/>
        </w:rPr>
        <w:t>ë</w:t>
      </w:r>
      <w:r w:rsidR="00380775" w:rsidRPr="0032048B">
        <w:rPr>
          <w:sz w:val="24"/>
          <w:szCs w:val="24"/>
          <w:lang w:val="sq-AL"/>
        </w:rPr>
        <w:t xml:space="preserve">simi e trajnimi i kapaciteteve teknike në organet përgjegjëse kombëtare, do të ndihmonin në garantimin e zbatimit të suksesshëm të Instrumentit për </w:t>
      </w:r>
      <w:r w:rsidR="00380775" w:rsidRPr="0032048B">
        <w:rPr>
          <w:sz w:val="24"/>
          <w:szCs w:val="24"/>
          <w:lang w:val="sq-AL"/>
        </w:rPr>
        <w:lastRenderedPageBreak/>
        <w:t>Programet e Ndihmës s</w:t>
      </w:r>
      <w:r w:rsidRPr="0032048B">
        <w:rPr>
          <w:sz w:val="24"/>
          <w:szCs w:val="24"/>
          <w:lang w:val="sq-AL"/>
        </w:rPr>
        <w:t>ë</w:t>
      </w:r>
      <w:r w:rsidR="00380775" w:rsidRPr="0032048B">
        <w:rPr>
          <w:sz w:val="24"/>
          <w:szCs w:val="24"/>
          <w:lang w:val="sq-AL"/>
        </w:rPr>
        <w:t xml:space="preserve"> Para-an</w:t>
      </w:r>
      <w:r w:rsidRPr="0032048B">
        <w:rPr>
          <w:sz w:val="24"/>
          <w:szCs w:val="24"/>
          <w:lang w:val="sq-AL"/>
        </w:rPr>
        <w:t>ë</w:t>
      </w:r>
      <w:r w:rsidR="00380775" w:rsidRPr="0032048B">
        <w:rPr>
          <w:sz w:val="24"/>
          <w:szCs w:val="24"/>
          <w:lang w:val="sq-AL"/>
        </w:rPr>
        <w:t>tar</w:t>
      </w:r>
      <w:r w:rsidRPr="0032048B">
        <w:rPr>
          <w:sz w:val="24"/>
          <w:szCs w:val="24"/>
          <w:lang w:val="sq-AL"/>
        </w:rPr>
        <w:t>ë</w:t>
      </w:r>
      <w:r w:rsidR="00380775" w:rsidRPr="0032048B">
        <w:rPr>
          <w:sz w:val="24"/>
          <w:szCs w:val="24"/>
          <w:lang w:val="sq-AL"/>
        </w:rPr>
        <w:t>simit, përfshirë Kuadrin p</w:t>
      </w:r>
      <w:r w:rsidRPr="0032048B">
        <w:rPr>
          <w:sz w:val="24"/>
          <w:szCs w:val="24"/>
          <w:lang w:val="sq-AL"/>
        </w:rPr>
        <w:t>ë</w:t>
      </w:r>
      <w:r w:rsidR="00380775" w:rsidRPr="0032048B">
        <w:rPr>
          <w:sz w:val="24"/>
          <w:szCs w:val="24"/>
          <w:lang w:val="sq-AL"/>
        </w:rPr>
        <w:t>r Investimet e Ballkanit Perëndimor, Bashkëpunimin Ndërkufitar dhe IPARD-in.</w:t>
      </w:r>
    </w:p>
    <w:p w14:paraId="4FECA508" w14:textId="4C012ED5" w:rsidR="00380775" w:rsidRPr="0032048B" w:rsidRDefault="00380775" w:rsidP="00361D5A">
      <w:pPr>
        <w:tabs>
          <w:tab w:val="left" w:pos="1134"/>
          <w:tab w:val="left" w:pos="9990"/>
        </w:tabs>
        <w:spacing w:before="120"/>
        <w:ind w:left="993" w:right="1067"/>
        <w:jc w:val="both"/>
        <w:rPr>
          <w:sz w:val="24"/>
          <w:szCs w:val="24"/>
          <w:lang w:val="sq-AL"/>
        </w:rPr>
      </w:pPr>
      <w:r w:rsidRPr="0032048B">
        <w:rPr>
          <w:sz w:val="24"/>
          <w:szCs w:val="24"/>
          <w:lang w:val="sq-AL"/>
        </w:rPr>
        <w:t xml:space="preserve">Nën koordinimin e </w:t>
      </w:r>
      <w:proofErr w:type="spellStart"/>
      <w:r w:rsidRPr="0032048B">
        <w:rPr>
          <w:sz w:val="24"/>
          <w:szCs w:val="24"/>
          <w:lang w:val="sq-AL"/>
        </w:rPr>
        <w:t>Kryenegociatores</w:t>
      </w:r>
      <w:proofErr w:type="spellEnd"/>
      <w:r w:rsidRPr="0032048B">
        <w:rPr>
          <w:sz w:val="24"/>
          <w:szCs w:val="24"/>
          <w:lang w:val="sq-AL"/>
        </w:rPr>
        <w:t>, institucionet shqiptare kanë marrë pjesë në procesin e shqyrtimit analitik q</w:t>
      </w:r>
      <w:r w:rsidR="005D3CCC" w:rsidRPr="0032048B">
        <w:rPr>
          <w:sz w:val="24"/>
          <w:szCs w:val="24"/>
          <w:lang w:val="sq-AL"/>
        </w:rPr>
        <w:t>ë</w:t>
      </w:r>
      <w:r w:rsidRPr="0032048B">
        <w:rPr>
          <w:sz w:val="24"/>
          <w:szCs w:val="24"/>
          <w:lang w:val="sq-AL"/>
        </w:rPr>
        <w:t xml:space="preserve"> ka organizuar nga Komisioni, proces i cili po vazhdon pa probleme. </w:t>
      </w:r>
    </w:p>
    <w:p w14:paraId="44841247" w14:textId="2FD44A80" w:rsidR="00380775" w:rsidRPr="0032048B" w:rsidRDefault="00380775" w:rsidP="00361D5A">
      <w:pPr>
        <w:tabs>
          <w:tab w:val="left" w:pos="1134"/>
          <w:tab w:val="left" w:pos="9990"/>
        </w:tabs>
        <w:spacing w:before="120"/>
        <w:ind w:left="993" w:right="1067"/>
        <w:jc w:val="both"/>
        <w:rPr>
          <w:sz w:val="24"/>
          <w:szCs w:val="24"/>
          <w:lang w:val="sq-AL"/>
        </w:rPr>
      </w:pPr>
      <w:r w:rsidRPr="0032048B">
        <w:rPr>
          <w:sz w:val="24"/>
          <w:szCs w:val="24"/>
          <w:lang w:val="sq-AL"/>
        </w:rPr>
        <w:t>Duke ecur n</w:t>
      </w:r>
      <w:r w:rsidR="005D3CCC" w:rsidRPr="0032048B">
        <w:rPr>
          <w:sz w:val="24"/>
          <w:szCs w:val="24"/>
          <w:lang w:val="sq-AL"/>
        </w:rPr>
        <w:t>ë</w:t>
      </w:r>
      <w:r w:rsidRPr="0032048B">
        <w:rPr>
          <w:sz w:val="24"/>
          <w:szCs w:val="24"/>
          <w:lang w:val="sq-AL"/>
        </w:rPr>
        <w:t xml:space="preserve"> vazhd</w:t>
      </w:r>
      <w:r w:rsidR="005D3CCC" w:rsidRPr="0032048B">
        <w:rPr>
          <w:sz w:val="24"/>
          <w:szCs w:val="24"/>
          <w:lang w:val="sq-AL"/>
        </w:rPr>
        <w:t>ë</w:t>
      </w:r>
      <w:r w:rsidRPr="0032048B">
        <w:rPr>
          <w:sz w:val="24"/>
          <w:szCs w:val="24"/>
          <w:lang w:val="sq-AL"/>
        </w:rPr>
        <w:t>n e</w:t>
      </w:r>
      <w:r w:rsidR="004D53EC">
        <w:rPr>
          <w:sz w:val="24"/>
          <w:szCs w:val="24"/>
          <w:lang w:val="sq-AL"/>
        </w:rPr>
        <w:t xml:space="preserve"> </w:t>
      </w:r>
      <w:r w:rsidRPr="0032048B">
        <w:rPr>
          <w:sz w:val="24"/>
          <w:szCs w:val="24"/>
          <w:lang w:val="sq-AL"/>
        </w:rPr>
        <w:t>përvojës s</w:t>
      </w:r>
      <w:r w:rsidR="005D3CCC" w:rsidRPr="0032048B">
        <w:rPr>
          <w:sz w:val="24"/>
          <w:szCs w:val="24"/>
          <w:lang w:val="sq-AL"/>
        </w:rPr>
        <w:t>ë</w:t>
      </w:r>
      <w:r w:rsidRPr="0032048B">
        <w:rPr>
          <w:sz w:val="24"/>
          <w:szCs w:val="24"/>
          <w:lang w:val="sq-AL"/>
        </w:rPr>
        <w:t xml:space="preserve"> procesit të shqyrtimit analitik, Shqipëria do të duhet të vazhdojë të forcojë strukturat e saj </w:t>
      </w:r>
      <w:proofErr w:type="spellStart"/>
      <w:r w:rsidRPr="0032048B">
        <w:rPr>
          <w:sz w:val="24"/>
          <w:szCs w:val="24"/>
          <w:lang w:val="sq-AL"/>
        </w:rPr>
        <w:t>negociuese</w:t>
      </w:r>
      <w:proofErr w:type="spellEnd"/>
      <w:r w:rsidRPr="0032048B">
        <w:rPr>
          <w:sz w:val="24"/>
          <w:szCs w:val="24"/>
          <w:lang w:val="sq-AL"/>
        </w:rPr>
        <w:t xml:space="preserve"> me BE-në dhe koordinimin midis organeve të vartësisë dhe ministrive të linjës, n</w:t>
      </w:r>
      <w:r w:rsidR="005D3CCC" w:rsidRPr="0032048B">
        <w:rPr>
          <w:sz w:val="24"/>
          <w:szCs w:val="24"/>
          <w:lang w:val="sq-AL"/>
        </w:rPr>
        <w:t>ë</w:t>
      </w:r>
      <w:r w:rsidRPr="0032048B">
        <w:rPr>
          <w:sz w:val="24"/>
          <w:szCs w:val="24"/>
          <w:lang w:val="sq-AL"/>
        </w:rPr>
        <w:t xml:space="preserve"> nj</w:t>
      </w:r>
      <w:r w:rsidR="005D3CCC" w:rsidRPr="0032048B">
        <w:rPr>
          <w:sz w:val="24"/>
          <w:szCs w:val="24"/>
          <w:lang w:val="sq-AL"/>
        </w:rPr>
        <w:t>ë</w:t>
      </w:r>
      <w:r w:rsidRPr="0032048B">
        <w:rPr>
          <w:sz w:val="24"/>
          <w:szCs w:val="24"/>
          <w:lang w:val="sq-AL"/>
        </w:rPr>
        <w:t xml:space="preserve"> proces zhvillimi t</w:t>
      </w:r>
      <w:r w:rsidR="005D3CCC" w:rsidRPr="0032048B">
        <w:rPr>
          <w:sz w:val="24"/>
          <w:szCs w:val="24"/>
          <w:lang w:val="sq-AL"/>
        </w:rPr>
        <w:t>ë</w:t>
      </w:r>
      <w:r w:rsidRPr="0032048B">
        <w:rPr>
          <w:sz w:val="24"/>
          <w:szCs w:val="24"/>
          <w:lang w:val="sq-AL"/>
        </w:rPr>
        <w:t xml:space="preserve"> ekspertizës p</w:t>
      </w:r>
      <w:r w:rsidR="005D3CCC" w:rsidRPr="0032048B">
        <w:rPr>
          <w:sz w:val="24"/>
          <w:szCs w:val="24"/>
          <w:lang w:val="sq-AL"/>
        </w:rPr>
        <w:t>ë</w:t>
      </w:r>
      <w:r w:rsidRPr="0032048B">
        <w:rPr>
          <w:sz w:val="24"/>
          <w:szCs w:val="24"/>
          <w:lang w:val="sq-AL"/>
        </w:rPr>
        <w:t xml:space="preserve">r </w:t>
      </w:r>
      <w:proofErr w:type="spellStart"/>
      <w:r w:rsidRPr="0032048B">
        <w:rPr>
          <w:i/>
          <w:iCs/>
          <w:sz w:val="24"/>
          <w:szCs w:val="24"/>
          <w:lang w:val="sq-AL"/>
        </w:rPr>
        <w:t>acquis</w:t>
      </w:r>
      <w:proofErr w:type="spellEnd"/>
      <w:r w:rsidRPr="0032048B">
        <w:rPr>
          <w:sz w:val="24"/>
          <w:szCs w:val="24"/>
          <w:lang w:val="sq-AL"/>
        </w:rPr>
        <w:t xml:space="preserve"> e BE-së në të gjitha nivelet e administratën publike.</w:t>
      </w:r>
    </w:p>
    <w:p w14:paraId="19BDF6A0" w14:textId="003CBAAA" w:rsidR="00380775" w:rsidRPr="0032048B" w:rsidRDefault="00380775" w:rsidP="00361D5A">
      <w:pPr>
        <w:tabs>
          <w:tab w:val="left" w:pos="1134"/>
          <w:tab w:val="left" w:pos="9990"/>
        </w:tabs>
        <w:spacing w:before="120"/>
        <w:ind w:left="993" w:right="1067"/>
        <w:jc w:val="both"/>
        <w:rPr>
          <w:i/>
          <w:sz w:val="24"/>
          <w:szCs w:val="24"/>
          <w:lang w:val="sq-AL"/>
        </w:rPr>
      </w:pPr>
      <w:r w:rsidRPr="0032048B">
        <w:rPr>
          <w:sz w:val="24"/>
          <w:szCs w:val="24"/>
          <w:lang w:val="sq-AL"/>
        </w:rPr>
        <w:t>Në fillim të vitit 2023, Qeveria miratoi Planin e ri Kombëtar për Integrimin Evropian për 2023-2025, dhe Strategjinë Kombëtare 2022-2030 për zhvillimin dhe integrimin evropian, t</w:t>
      </w:r>
      <w:r w:rsidR="005D3CCC" w:rsidRPr="0032048B">
        <w:rPr>
          <w:sz w:val="24"/>
          <w:szCs w:val="24"/>
          <w:lang w:val="sq-AL"/>
        </w:rPr>
        <w:t>ë</w:t>
      </w:r>
      <w:r w:rsidRPr="0032048B">
        <w:rPr>
          <w:sz w:val="24"/>
          <w:szCs w:val="24"/>
          <w:lang w:val="sq-AL"/>
        </w:rPr>
        <w:t xml:space="preserve"> cilat përcaktojn</w:t>
      </w:r>
      <w:r w:rsidR="005D3CCC" w:rsidRPr="0032048B">
        <w:rPr>
          <w:sz w:val="24"/>
          <w:szCs w:val="24"/>
          <w:lang w:val="sq-AL"/>
        </w:rPr>
        <w:t>ë</w:t>
      </w:r>
      <w:r w:rsidRPr="0032048B">
        <w:rPr>
          <w:sz w:val="24"/>
          <w:szCs w:val="24"/>
          <w:lang w:val="sq-AL"/>
        </w:rPr>
        <w:t xml:space="preserve"> vizionin, përparësitë dhe objektivat strategjike sektoriale për periudhën e ardhshme (</w:t>
      </w:r>
      <w:r w:rsidRPr="0032048B">
        <w:rPr>
          <w:i/>
          <w:sz w:val="24"/>
          <w:szCs w:val="24"/>
          <w:lang w:val="sq-AL"/>
        </w:rPr>
        <w:t>shiko Seksionin 2.1.2. Reforma e Administratës Publike).</w:t>
      </w:r>
    </w:p>
    <w:p w14:paraId="27AB20E2" w14:textId="1825B3ED" w:rsidR="00380775" w:rsidRPr="0032048B" w:rsidRDefault="000C6EFC" w:rsidP="00361D5A">
      <w:pPr>
        <w:tabs>
          <w:tab w:val="left" w:pos="1134"/>
          <w:tab w:val="left" w:pos="9990"/>
        </w:tabs>
        <w:spacing w:before="120"/>
        <w:ind w:left="993" w:right="1067"/>
        <w:jc w:val="both"/>
        <w:rPr>
          <w:sz w:val="24"/>
          <w:szCs w:val="24"/>
          <w:lang w:val="sq-AL"/>
        </w:rPr>
      </w:pPr>
      <w:r w:rsidRPr="0032048B">
        <w:rPr>
          <w:sz w:val="24"/>
          <w:szCs w:val="24"/>
          <w:lang w:val="sq-AL"/>
        </w:rPr>
        <w:t>Në s</w:t>
      </w:r>
      <w:r w:rsidR="00380775" w:rsidRPr="0032048B">
        <w:rPr>
          <w:sz w:val="24"/>
          <w:szCs w:val="24"/>
          <w:lang w:val="sq-AL"/>
        </w:rPr>
        <w:t>htator 2023, qeveria u ristrukturua, çka çoi në zëvendësimin e shtatë ministrave.</w:t>
      </w:r>
    </w:p>
    <w:p w14:paraId="6B193FE3" w14:textId="77777777" w:rsidR="00380775" w:rsidRPr="0032048B" w:rsidRDefault="00380775" w:rsidP="00361D5A">
      <w:pPr>
        <w:tabs>
          <w:tab w:val="left" w:pos="1134"/>
          <w:tab w:val="left" w:pos="9990"/>
        </w:tabs>
        <w:spacing w:before="120"/>
        <w:ind w:left="993" w:right="1067"/>
        <w:jc w:val="both"/>
        <w:rPr>
          <w:sz w:val="24"/>
          <w:szCs w:val="24"/>
          <w:lang w:val="sq-AL"/>
        </w:rPr>
      </w:pPr>
      <w:r w:rsidRPr="0032048B">
        <w:rPr>
          <w:b/>
          <w:sz w:val="24"/>
          <w:szCs w:val="24"/>
          <w:lang w:val="sq-AL"/>
        </w:rPr>
        <w:t>Reforma administrative territoriale</w:t>
      </w:r>
      <w:r w:rsidRPr="0032048B">
        <w:rPr>
          <w:sz w:val="24"/>
          <w:szCs w:val="24"/>
          <w:lang w:val="sq-AL"/>
        </w:rPr>
        <w:t xml:space="preserve"> mbetet të konsolidohet më tej si pjesë e agjendës më të gjerë të decentralizimit. Raporti vjetor i monitorimit për vitin 2022 për zbatimin e strategjisë së decentralizimit dhe qeverisjes lokale u botua në qershor 2023. Duhet të sigurohet një monitorim sistematik dhe në kohën e duhur i këtij procesi, dhe mekanizmave për ta kryer atë.</w:t>
      </w:r>
    </w:p>
    <w:p w14:paraId="42B4D3BD" w14:textId="1AAE7152" w:rsidR="00380775" w:rsidRPr="0032048B" w:rsidRDefault="00380775" w:rsidP="00361D5A">
      <w:pPr>
        <w:tabs>
          <w:tab w:val="left" w:pos="1134"/>
          <w:tab w:val="left" w:pos="9990"/>
        </w:tabs>
        <w:spacing w:before="120"/>
        <w:ind w:left="993" w:right="1067"/>
        <w:jc w:val="both"/>
        <w:rPr>
          <w:sz w:val="24"/>
          <w:szCs w:val="24"/>
          <w:lang w:val="sq-AL"/>
        </w:rPr>
      </w:pPr>
      <w:r w:rsidRPr="0032048B">
        <w:rPr>
          <w:sz w:val="24"/>
          <w:szCs w:val="24"/>
          <w:lang w:val="sq-AL"/>
        </w:rPr>
        <w:t>Strategjia e re nd</w:t>
      </w:r>
      <w:r w:rsidR="005D3CCC" w:rsidRPr="0032048B">
        <w:rPr>
          <w:sz w:val="24"/>
          <w:szCs w:val="24"/>
          <w:lang w:val="sq-AL"/>
        </w:rPr>
        <w:t>ë</w:t>
      </w:r>
      <w:r w:rsidRPr="0032048B">
        <w:rPr>
          <w:sz w:val="24"/>
          <w:szCs w:val="24"/>
          <w:lang w:val="sq-AL"/>
        </w:rPr>
        <w:t>rinstitucionale 2023-2030 mbi decentralizimin dhe qeverisjen lokale, e cila synon të konsolidojë procesin e decentralizimit, u miratua në Prill 2023. Procesi i hartimit t</w:t>
      </w:r>
      <w:r w:rsidR="005D3CCC" w:rsidRPr="0032048B">
        <w:rPr>
          <w:sz w:val="24"/>
          <w:szCs w:val="24"/>
          <w:lang w:val="sq-AL"/>
        </w:rPr>
        <w:t>ë</w:t>
      </w:r>
      <w:r w:rsidRPr="0032048B">
        <w:rPr>
          <w:sz w:val="24"/>
          <w:szCs w:val="24"/>
          <w:lang w:val="sq-AL"/>
        </w:rPr>
        <w:t xml:space="preserve"> strategjis</w:t>
      </w:r>
      <w:r w:rsidR="005D3CCC" w:rsidRPr="0032048B">
        <w:rPr>
          <w:sz w:val="24"/>
          <w:szCs w:val="24"/>
          <w:lang w:val="sq-AL"/>
        </w:rPr>
        <w:t>ë</w:t>
      </w:r>
      <w:r w:rsidRPr="0032048B">
        <w:rPr>
          <w:sz w:val="24"/>
          <w:szCs w:val="24"/>
          <w:lang w:val="sq-AL"/>
        </w:rPr>
        <w:t xml:space="preserve"> u bazua në një seri konsultimesh që përfshin</w:t>
      </w:r>
      <w:r w:rsidR="005D3CCC" w:rsidRPr="0032048B">
        <w:rPr>
          <w:sz w:val="24"/>
          <w:szCs w:val="24"/>
          <w:lang w:val="sq-AL"/>
        </w:rPr>
        <w:t>ë</w:t>
      </w:r>
      <w:r w:rsidRPr="0032048B">
        <w:rPr>
          <w:sz w:val="24"/>
          <w:szCs w:val="24"/>
          <w:lang w:val="sq-AL"/>
        </w:rPr>
        <w:t xml:space="preserve"> 61 bashkit</w:t>
      </w:r>
      <w:r w:rsidR="005D3CCC" w:rsidRPr="0032048B">
        <w:rPr>
          <w:sz w:val="24"/>
          <w:szCs w:val="24"/>
          <w:lang w:val="sq-AL"/>
        </w:rPr>
        <w:t>ë</w:t>
      </w:r>
      <w:r w:rsidRPr="0032048B">
        <w:rPr>
          <w:sz w:val="24"/>
          <w:szCs w:val="24"/>
          <w:lang w:val="sq-AL"/>
        </w:rPr>
        <w:t>, institucionet qendrore, shoqatat e qeverisjes lokale, shoqërin</w:t>
      </w:r>
      <w:r w:rsidR="005D3CCC" w:rsidRPr="0032048B">
        <w:rPr>
          <w:sz w:val="24"/>
          <w:szCs w:val="24"/>
          <w:lang w:val="sq-AL"/>
        </w:rPr>
        <w:t>ë</w:t>
      </w:r>
      <w:r w:rsidRPr="0032048B">
        <w:rPr>
          <w:sz w:val="24"/>
          <w:szCs w:val="24"/>
          <w:lang w:val="sq-AL"/>
        </w:rPr>
        <w:t xml:space="preserve"> civile, sektorin privat, qarqet akademike, studiuesit dhe partnerët e zhvillimit, të cil</w:t>
      </w:r>
      <w:r w:rsidR="005D3CCC" w:rsidRPr="0032048B">
        <w:rPr>
          <w:sz w:val="24"/>
          <w:szCs w:val="24"/>
          <w:lang w:val="sq-AL"/>
        </w:rPr>
        <w:t>ë</w:t>
      </w:r>
      <w:r w:rsidRPr="0032048B">
        <w:rPr>
          <w:sz w:val="24"/>
          <w:szCs w:val="24"/>
          <w:lang w:val="sq-AL"/>
        </w:rPr>
        <w:t>t ndihmuan në identifikimin dhe analiz</w:t>
      </w:r>
      <w:r w:rsidR="005D3CCC" w:rsidRPr="0032048B">
        <w:rPr>
          <w:sz w:val="24"/>
          <w:szCs w:val="24"/>
          <w:lang w:val="sq-AL"/>
        </w:rPr>
        <w:t>ë</w:t>
      </w:r>
      <w:r w:rsidRPr="0032048B">
        <w:rPr>
          <w:sz w:val="24"/>
          <w:szCs w:val="24"/>
          <w:lang w:val="sq-AL"/>
        </w:rPr>
        <w:t xml:space="preserve">n e nevojave </w:t>
      </w:r>
      <w:proofErr w:type="spellStart"/>
      <w:r w:rsidRPr="0032048B">
        <w:rPr>
          <w:sz w:val="24"/>
          <w:szCs w:val="24"/>
          <w:lang w:val="sq-AL"/>
        </w:rPr>
        <w:t>prioritare</w:t>
      </w:r>
      <w:proofErr w:type="spellEnd"/>
      <w:r w:rsidRPr="0032048B">
        <w:rPr>
          <w:sz w:val="24"/>
          <w:szCs w:val="24"/>
          <w:lang w:val="sq-AL"/>
        </w:rPr>
        <w:t>.</w:t>
      </w:r>
    </w:p>
    <w:p w14:paraId="2E2BBF45" w14:textId="07ACCAFA" w:rsidR="00380775" w:rsidRPr="0032048B" w:rsidRDefault="00380775" w:rsidP="00361D5A">
      <w:pPr>
        <w:tabs>
          <w:tab w:val="left" w:pos="1134"/>
          <w:tab w:val="left" w:pos="9990"/>
        </w:tabs>
        <w:spacing w:before="120"/>
        <w:ind w:left="993" w:right="1067"/>
        <w:jc w:val="both"/>
        <w:rPr>
          <w:sz w:val="24"/>
          <w:szCs w:val="24"/>
          <w:lang w:val="sq-AL"/>
        </w:rPr>
      </w:pPr>
      <w:r w:rsidRPr="0032048B">
        <w:rPr>
          <w:sz w:val="24"/>
          <w:szCs w:val="24"/>
          <w:lang w:val="sq-AL"/>
        </w:rPr>
        <w:t xml:space="preserve">Komisioni </w:t>
      </w:r>
      <w:proofErr w:type="spellStart"/>
      <w:r w:rsidRPr="0032048B">
        <w:rPr>
          <w:i/>
          <w:iCs/>
          <w:sz w:val="24"/>
          <w:szCs w:val="24"/>
          <w:lang w:val="sq-AL"/>
        </w:rPr>
        <w:t>ad</w:t>
      </w:r>
      <w:proofErr w:type="spellEnd"/>
      <w:r w:rsidRPr="0032048B">
        <w:rPr>
          <w:i/>
          <w:iCs/>
          <w:sz w:val="24"/>
          <w:szCs w:val="24"/>
          <w:lang w:val="sq-AL"/>
        </w:rPr>
        <w:t xml:space="preserve"> </w:t>
      </w:r>
      <w:proofErr w:type="spellStart"/>
      <w:r w:rsidRPr="0032048B">
        <w:rPr>
          <w:i/>
          <w:iCs/>
          <w:sz w:val="24"/>
          <w:szCs w:val="24"/>
          <w:lang w:val="sq-AL"/>
        </w:rPr>
        <w:t>hoc</w:t>
      </w:r>
      <w:proofErr w:type="spellEnd"/>
      <w:r w:rsidRPr="0032048B">
        <w:rPr>
          <w:sz w:val="24"/>
          <w:szCs w:val="24"/>
          <w:lang w:val="sq-AL"/>
        </w:rPr>
        <w:t xml:space="preserve"> i Parlamentit për Ndarje</w:t>
      </w:r>
      <w:r w:rsidR="00855801" w:rsidRPr="0032048B">
        <w:rPr>
          <w:sz w:val="24"/>
          <w:szCs w:val="24"/>
          <w:lang w:val="sq-AL"/>
        </w:rPr>
        <w:t>n</w:t>
      </w:r>
      <w:r w:rsidRPr="0032048B">
        <w:rPr>
          <w:sz w:val="24"/>
          <w:szCs w:val="24"/>
          <w:lang w:val="sq-AL"/>
        </w:rPr>
        <w:t xml:space="preserve"> Territoriale dhe Administrative në vend, i cili zhvilloi mbledhjet e tij n</w:t>
      </w:r>
      <w:r w:rsidR="005D3CCC" w:rsidRPr="0032048B">
        <w:rPr>
          <w:sz w:val="24"/>
          <w:szCs w:val="24"/>
          <w:lang w:val="sq-AL"/>
        </w:rPr>
        <w:t>ë</w:t>
      </w:r>
      <w:r w:rsidRPr="0032048B">
        <w:rPr>
          <w:sz w:val="24"/>
          <w:szCs w:val="24"/>
          <w:lang w:val="sq-AL"/>
        </w:rPr>
        <w:t xml:space="preserve"> periudh</w:t>
      </w:r>
      <w:r w:rsidR="005D3CCC" w:rsidRPr="0032048B">
        <w:rPr>
          <w:sz w:val="24"/>
          <w:szCs w:val="24"/>
          <w:lang w:val="sq-AL"/>
        </w:rPr>
        <w:t>ë</w:t>
      </w:r>
      <w:r w:rsidRPr="0032048B">
        <w:rPr>
          <w:sz w:val="24"/>
          <w:szCs w:val="24"/>
          <w:lang w:val="sq-AL"/>
        </w:rPr>
        <w:t xml:space="preserve">n midis shkurtit dhe tetorit 2022, nuk mori vendime legjislative apo politike, për shkak të </w:t>
      </w:r>
      <w:r w:rsidR="00855801" w:rsidRPr="0032048B">
        <w:rPr>
          <w:sz w:val="24"/>
          <w:szCs w:val="24"/>
          <w:lang w:val="sq-AL"/>
        </w:rPr>
        <w:t>mosmarrëveshjeve</w:t>
      </w:r>
      <w:r w:rsidRPr="0032048B">
        <w:rPr>
          <w:sz w:val="24"/>
          <w:szCs w:val="24"/>
          <w:lang w:val="sq-AL"/>
        </w:rPr>
        <w:t xml:space="preserve"> politike midis shumicës në pushtet dhe opozitës.</w:t>
      </w:r>
    </w:p>
    <w:p w14:paraId="5F558A17" w14:textId="33851111" w:rsidR="00380775" w:rsidRPr="0032048B" w:rsidRDefault="00380775" w:rsidP="00361D5A">
      <w:pPr>
        <w:tabs>
          <w:tab w:val="left" w:pos="1134"/>
          <w:tab w:val="left" w:pos="9990"/>
        </w:tabs>
        <w:spacing w:before="120"/>
        <w:ind w:left="993" w:right="1067"/>
        <w:jc w:val="both"/>
        <w:rPr>
          <w:sz w:val="24"/>
          <w:szCs w:val="24"/>
          <w:lang w:val="sq-AL"/>
        </w:rPr>
      </w:pPr>
      <w:r w:rsidRPr="0032048B">
        <w:rPr>
          <w:sz w:val="24"/>
          <w:szCs w:val="24"/>
          <w:lang w:val="sq-AL"/>
        </w:rPr>
        <w:t>Pavar</w:t>
      </w:r>
      <w:r w:rsidR="005D3CCC" w:rsidRPr="0032048B">
        <w:rPr>
          <w:sz w:val="24"/>
          <w:szCs w:val="24"/>
          <w:lang w:val="sq-AL"/>
        </w:rPr>
        <w:t>ë</w:t>
      </w:r>
      <w:r w:rsidRPr="0032048B">
        <w:rPr>
          <w:sz w:val="24"/>
          <w:szCs w:val="24"/>
          <w:lang w:val="sq-AL"/>
        </w:rPr>
        <w:t>sisht disa përpjekjeve për të mbushur boshllëqet ligjore dhe institucionale, vazhdojn</w:t>
      </w:r>
      <w:r w:rsidR="005D3CCC" w:rsidRPr="0032048B">
        <w:rPr>
          <w:sz w:val="24"/>
          <w:szCs w:val="24"/>
          <w:lang w:val="sq-AL"/>
        </w:rPr>
        <w:t>ë</w:t>
      </w:r>
      <w:r w:rsidRPr="0032048B">
        <w:rPr>
          <w:sz w:val="24"/>
          <w:szCs w:val="24"/>
          <w:lang w:val="sq-AL"/>
        </w:rPr>
        <w:t xml:space="preserve"> t</w:t>
      </w:r>
      <w:r w:rsidR="005D3CCC" w:rsidRPr="0032048B">
        <w:rPr>
          <w:sz w:val="24"/>
          <w:szCs w:val="24"/>
          <w:lang w:val="sq-AL"/>
        </w:rPr>
        <w:t>ë</w:t>
      </w:r>
      <w:r w:rsidRPr="0032048B">
        <w:rPr>
          <w:sz w:val="24"/>
          <w:szCs w:val="24"/>
          <w:lang w:val="sq-AL"/>
        </w:rPr>
        <w:t xml:space="preserve"> mbeten problem p</w:t>
      </w:r>
      <w:r w:rsidR="005D3CCC" w:rsidRPr="0032048B">
        <w:rPr>
          <w:sz w:val="24"/>
          <w:szCs w:val="24"/>
          <w:lang w:val="sq-AL"/>
        </w:rPr>
        <w:t>ë</w:t>
      </w:r>
      <w:r w:rsidRPr="0032048B">
        <w:rPr>
          <w:sz w:val="24"/>
          <w:szCs w:val="24"/>
          <w:lang w:val="sq-AL"/>
        </w:rPr>
        <w:t>rplasjet dhe mbivendosjet e politikave dhe dispozitave ligjore q</w:t>
      </w:r>
      <w:r w:rsidR="005D3CCC" w:rsidRPr="0032048B">
        <w:rPr>
          <w:sz w:val="24"/>
          <w:szCs w:val="24"/>
          <w:lang w:val="sq-AL"/>
        </w:rPr>
        <w:t>ë</w:t>
      </w:r>
      <w:r w:rsidRPr="0032048B">
        <w:rPr>
          <w:sz w:val="24"/>
          <w:szCs w:val="24"/>
          <w:lang w:val="sq-AL"/>
        </w:rPr>
        <w:t xml:space="preserve"> rregullojnë sektorët e ndryshëm ku ushtrojn</w:t>
      </w:r>
      <w:r w:rsidR="005D3CCC" w:rsidRPr="0032048B">
        <w:rPr>
          <w:sz w:val="24"/>
          <w:szCs w:val="24"/>
          <w:lang w:val="sq-AL"/>
        </w:rPr>
        <w:t>ë</w:t>
      </w:r>
      <w:r w:rsidRPr="0032048B">
        <w:rPr>
          <w:sz w:val="24"/>
          <w:szCs w:val="24"/>
          <w:lang w:val="sq-AL"/>
        </w:rPr>
        <w:t xml:space="preserve"> funksionet njësitë e qeverisjes vendore (NJQV) si dhe ndarja e përgjegjësive midis qeverisjes lokale, t</w:t>
      </w:r>
      <w:r w:rsidR="005D3CCC" w:rsidRPr="0032048B">
        <w:rPr>
          <w:sz w:val="24"/>
          <w:szCs w:val="24"/>
          <w:lang w:val="sq-AL"/>
        </w:rPr>
        <w:t>ë</w:t>
      </w:r>
      <w:r w:rsidR="004D53EC">
        <w:rPr>
          <w:sz w:val="24"/>
          <w:szCs w:val="24"/>
          <w:lang w:val="sq-AL"/>
        </w:rPr>
        <w:t xml:space="preserve"> </w:t>
      </w:r>
      <w:r w:rsidRPr="0032048B">
        <w:rPr>
          <w:sz w:val="24"/>
          <w:szCs w:val="24"/>
          <w:lang w:val="sq-AL"/>
        </w:rPr>
        <w:t>qarqeve dhe asaj qendrore. Ende ekziston nevoja për të thjeshtuar kuadrin ligjore mbi funksionet e NJQV-ve dhe konsoliduar më tej zbatimin e funksioneve të reja.</w:t>
      </w:r>
    </w:p>
    <w:p w14:paraId="6F9F6DE4" w14:textId="100F73F8" w:rsidR="00380775" w:rsidRPr="0032048B" w:rsidRDefault="00380775" w:rsidP="00361D5A">
      <w:pPr>
        <w:tabs>
          <w:tab w:val="left" w:pos="1134"/>
          <w:tab w:val="left" w:pos="9990"/>
        </w:tabs>
        <w:spacing w:before="120"/>
        <w:ind w:left="993" w:right="1067"/>
        <w:jc w:val="both"/>
        <w:rPr>
          <w:sz w:val="24"/>
          <w:szCs w:val="24"/>
          <w:lang w:val="sq-AL"/>
        </w:rPr>
      </w:pPr>
      <w:r w:rsidRPr="0032048B">
        <w:rPr>
          <w:sz w:val="24"/>
          <w:szCs w:val="24"/>
          <w:lang w:val="sq-AL"/>
        </w:rPr>
        <w:t>Njësitë e qeverisjes vendore ende nuk kanë burime të mjaftueshme financiare dhe kapacitete administrative për të p</w:t>
      </w:r>
      <w:r w:rsidR="005D3CCC" w:rsidRPr="0032048B">
        <w:rPr>
          <w:sz w:val="24"/>
          <w:szCs w:val="24"/>
          <w:lang w:val="sq-AL"/>
        </w:rPr>
        <w:t>ë</w:t>
      </w:r>
      <w:r w:rsidRPr="0032048B">
        <w:rPr>
          <w:sz w:val="24"/>
          <w:szCs w:val="24"/>
          <w:lang w:val="sq-AL"/>
        </w:rPr>
        <w:t>rmbushur të gjitha përgjegjësitë e deleguara në mënyrë plotësisht të kënaqshme dhe për të ushtruar në mënyrë efektive kompetencat më të gjera për hartimin e politikave. Autonomia fiskale e NJQV-ve mbetet në rrezik, pasi pjesa m</w:t>
      </w:r>
      <w:r w:rsidR="005D3CCC" w:rsidRPr="0032048B">
        <w:rPr>
          <w:sz w:val="24"/>
          <w:szCs w:val="24"/>
          <w:lang w:val="sq-AL"/>
        </w:rPr>
        <w:t>ë</w:t>
      </w:r>
      <w:r w:rsidRPr="0032048B">
        <w:rPr>
          <w:sz w:val="24"/>
          <w:szCs w:val="24"/>
          <w:lang w:val="sq-AL"/>
        </w:rPr>
        <w:t xml:space="preserve"> e madhe e buxhetit të tyre varet nga </w:t>
      </w:r>
      <w:proofErr w:type="spellStart"/>
      <w:r w:rsidRPr="0032048B">
        <w:rPr>
          <w:sz w:val="24"/>
          <w:szCs w:val="24"/>
          <w:lang w:val="sq-AL"/>
        </w:rPr>
        <w:t>transfertat</w:t>
      </w:r>
      <w:proofErr w:type="spellEnd"/>
      <w:r w:rsidRPr="0032048B">
        <w:rPr>
          <w:sz w:val="24"/>
          <w:szCs w:val="24"/>
          <w:lang w:val="sq-AL"/>
        </w:rPr>
        <w:t xml:space="preserve"> kombëtare. Ofrimi i shërbimeve publike cilësore në nivel vendor mbetet i kufizuar.</w:t>
      </w:r>
    </w:p>
    <w:p w14:paraId="5247C65A" w14:textId="48E059E6" w:rsidR="00380775" w:rsidRPr="0032048B" w:rsidRDefault="00380775" w:rsidP="00361D5A">
      <w:pPr>
        <w:tabs>
          <w:tab w:val="left" w:pos="1134"/>
          <w:tab w:val="left" w:pos="9990"/>
        </w:tabs>
        <w:spacing w:before="120"/>
        <w:ind w:left="993" w:right="1067"/>
        <w:jc w:val="both"/>
        <w:rPr>
          <w:sz w:val="24"/>
          <w:szCs w:val="24"/>
          <w:lang w:val="sq-AL"/>
        </w:rPr>
      </w:pPr>
      <w:r w:rsidRPr="0032048B">
        <w:rPr>
          <w:sz w:val="24"/>
          <w:szCs w:val="24"/>
          <w:lang w:val="sq-AL"/>
        </w:rPr>
        <w:t>Është arritur progres n</w:t>
      </w:r>
      <w:r w:rsidR="005D3CCC" w:rsidRPr="0032048B">
        <w:rPr>
          <w:sz w:val="24"/>
          <w:szCs w:val="24"/>
          <w:lang w:val="sq-AL"/>
        </w:rPr>
        <w:t>ë</w:t>
      </w:r>
      <w:r w:rsidRPr="0032048B">
        <w:rPr>
          <w:sz w:val="24"/>
          <w:szCs w:val="24"/>
          <w:lang w:val="sq-AL"/>
        </w:rPr>
        <w:t xml:space="preserve"> zvogëlimin e hendekut të pagave midis niveleve të qeverisjes qendrore dhe vendore. Por kjo përpjekje duhet të vazhdojë edhe për NJQV-të e vogla, në mënyrë që të tërheqin dhe të mbajn</w:t>
      </w:r>
      <w:r w:rsidR="005D3CCC" w:rsidRPr="0032048B">
        <w:rPr>
          <w:sz w:val="24"/>
          <w:szCs w:val="24"/>
          <w:lang w:val="sq-AL"/>
        </w:rPr>
        <w:t>ë</w:t>
      </w:r>
      <w:r w:rsidRPr="0032048B">
        <w:rPr>
          <w:sz w:val="24"/>
          <w:szCs w:val="24"/>
          <w:lang w:val="sq-AL"/>
        </w:rPr>
        <w:t xml:space="preserve"> punonj</w:t>
      </w:r>
      <w:r w:rsidR="005D3CCC" w:rsidRPr="0032048B">
        <w:rPr>
          <w:sz w:val="24"/>
          <w:szCs w:val="24"/>
          <w:lang w:val="sq-AL"/>
        </w:rPr>
        <w:t>ë</w:t>
      </w:r>
      <w:r w:rsidRPr="0032048B">
        <w:rPr>
          <w:sz w:val="24"/>
          <w:szCs w:val="24"/>
          <w:lang w:val="sq-AL"/>
        </w:rPr>
        <w:t>s të kualifikuar, duke siguruar barazi sipas parimit pagë e barabartë për pozicione të barabarta.</w:t>
      </w:r>
    </w:p>
    <w:p w14:paraId="269154B9" w14:textId="5399CEEE" w:rsidR="00380775" w:rsidRPr="0032048B" w:rsidRDefault="00380775" w:rsidP="00361D5A">
      <w:pPr>
        <w:tabs>
          <w:tab w:val="left" w:pos="1134"/>
          <w:tab w:val="left" w:pos="9990"/>
        </w:tabs>
        <w:spacing w:before="120"/>
        <w:ind w:left="993" w:right="1067"/>
        <w:jc w:val="both"/>
        <w:rPr>
          <w:sz w:val="24"/>
          <w:szCs w:val="24"/>
          <w:lang w:val="sq-AL"/>
        </w:rPr>
      </w:pPr>
      <w:r w:rsidRPr="0032048B">
        <w:rPr>
          <w:sz w:val="24"/>
          <w:szCs w:val="24"/>
          <w:lang w:val="sq-AL"/>
        </w:rPr>
        <w:t>Lidhur me barazinë gjinore, 18 bashki kan</w:t>
      </w:r>
      <w:r w:rsidR="005D3CCC" w:rsidRPr="0032048B">
        <w:rPr>
          <w:sz w:val="24"/>
          <w:szCs w:val="24"/>
          <w:lang w:val="sq-AL"/>
        </w:rPr>
        <w:t>ë</w:t>
      </w:r>
      <w:r w:rsidRPr="0032048B">
        <w:rPr>
          <w:sz w:val="24"/>
          <w:szCs w:val="24"/>
          <w:lang w:val="sq-AL"/>
        </w:rPr>
        <w:t xml:space="preserve"> nënshkruar Kartën Evropiane për Barazinë e Grave dhe Burrave në jetën vendore, dhe 5 bashki kanë zhvilluar dhe aprovuar planet lokale të veprimit gjinor. Pavar</w:t>
      </w:r>
      <w:r w:rsidR="005D3CCC" w:rsidRPr="0032048B">
        <w:rPr>
          <w:sz w:val="24"/>
          <w:szCs w:val="24"/>
          <w:lang w:val="sq-AL"/>
        </w:rPr>
        <w:t>ë</w:t>
      </w:r>
      <w:r w:rsidRPr="0032048B">
        <w:rPr>
          <w:sz w:val="24"/>
          <w:szCs w:val="24"/>
          <w:lang w:val="sq-AL"/>
        </w:rPr>
        <w:t>sisht këtyre zhvillimeve pozitive, kërkohen përpjekje për të pasqyruar në mënyrë sistematike nevojat, të drejtat dhe p</w:t>
      </w:r>
      <w:r w:rsidR="005D3CCC" w:rsidRPr="0032048B">
        <w:rPr>
          <w:sz w:val="24"/>
          <w:szCs w:val="24"/>
          <w:lang w:val="sq-AL"/>
        </w:rPr>
        <w:t>ë</w:t>
      </w:r>
      <w:r w:rsidRPr="0032048B">
        <w:rPr>
          <w:sz w:val="24"/>
          <w:szCs w:val="24"/>
          <w:lang w:val="sq-AL"/>
        </w:rPr>
        <w:t>rpar</w:t>
      </w:r>
      <w:r w:rsidR="005D3CCC" w:rsidRPr="0032048B">
        <w:rPr>
          <w:sz w:val="24"/>
          <w:szCs w:val="24"/>
          <w:lang w:val="sq-AL"/>
        </w:rPr>
        <w:t>ë</w:t>
      </w:r>
      <w:r w:rsidRPr="0032048B">
        <w:rPr>
          <w:sz w:val="24"/>
          <w:szCs w:val="24"/>
          <w:lang w:val="sq-AL"/>
        </w:rPr>
        <w:t>sit</w:t>
      </w:r>
      <w:r w:rsidR="005D3CCC" w:rsidRPr="0032048B">
        <w:rPr>
          <w:sz w:val="24"/>
          <w:szCs w:val="24"/>
          <w:lang w:val="sq-AL"/>
        </w:rPr>
        <w:t>ë</w:t>
      </w:r>
      <w:r w:rsidRPr="0032048B">
        <w:rPr>
          <w:sz w:val="24"/>
          <w:szCs w:val="24"/>
          <w:lang w:val="sq-AL"/>
        </w:rPr>
        <w:t xml:space="preserve"> e grave në kuadrin ligjor </w:t>
      </w:r>
      <w:r w:rsidRPr="0032048B">
        <w:rPr>
          <w:sz w:val="24"/>
          <w:szCs w:val="24"/>
          <w:lang w:val="sq-AL"/>
        </w:rPr>
        <w:lastRenderedPageBreak/>
        <w:t>dhe at</w:t>
      </w:r>
      <w:r w:rsidR="005D3CCC" w:rsidRPr="0032048B">
        <w:rPr>
          <w:sz w:val="24"/>
          <w:szCs w:val="24"/>
          <w:lang w:val="sq-AL"/>
        </w:rPr>
        <w:t>ë</w:t>
      </w:r>
      <w:r w:rsidRPr="0032048B">
        <w:rPr>
          <w:sz w:val="24"/>
          <w:szCs w:val="24"/>
          <w:lang w:val="sq-AL"/>
        </w:rPr>
        <w:t xml:space="preserve"> të politikave në nivel vendor. Përfaqësimi i grave në qeveritë </w:t>
      </w:r>
      <w:r w:rsidR="00855801" w:rsidRPr="0032048B">
        <w:rPr>
          <w:sz w:val="24"/>
          <w:szCs w:val="24"/>
          <w:lang w:val="sq-AL"/>
        </w:rPr>
        <w:t>vendore</w:t>
      </w:r>
      <w:r w:rsidRPr="0032048B">
        <w:rPr>
          <w:sz w:val="24"/>
          <w:szCs w:val="24"/>
          <w:lang w:val="sq-AL"/>
        </w:rPr>
        <w:t xml:space="preserve"> vazhdon të përballet me sfida që pengojnë pjesëmarrjen e tyre domethënëse.</w:t>
      </w:r>
    </w:p>
    <w:p w14:paraId="306BF182" w14:textId="6B14F7E9" w:rsidR="00380775" w:rsidRPr="0032048B" w:rsidRDefault="00380775" w:rsidP="00361D5A">
      <w:pPr>
        <w:tabs>
          <w:tab w:val="left" w:pos="1134"/>
          <w:tab w:val="left" w:pos="9990"/>
        </w:tabs>
        <w:spacing w:before="120"/>
        <w:ind w:left="993" w:right="1067"/>
        <w:jc w:val="both"/>
        <w:rPr>
          <w:sz w:val="24"/>
          <w:szCs w:val="24"/>
          <w:lang w:val="sq-AL"/>
        </w:rPr>
      </w:pPr>
      <w:r w:rsidRPr="0032048B">
        <w:rPr>
          <w:sz w:val="24"/>
          <w:szCs w:val="24"/>
          <w:lang w:val="sq-AL"/>
        </w:rPr>
        <w:t xml:space="preserve">Sa i takon transparencës, </w:t>
      </w:r>
      <w:r w:rsidR="005D3CCC" w:rsidRPr="0032048B">
        <w:rPr>
          <w:sz w:val="24"/>
          <w:szCs w:val="24"/>
          <w:lang w:val="sq-AL"/>
        </w:rPr>
        <w:t>ë</w:t>
      </w:r>
      <w:r w:rsidRPr="0032048B">
        <w:rPr>
          <w:sz w:val="24"/>
          <w:szCs w:val="24"/>
          <w:lang w:val="sq-AL"/>
        </w:rPr>
        <w:t>sht</w:t>
      </w:r>
      <w:r w:rsidR="005D3CCC" w:rsidRPr="0032048B">
        <w:rPr>
          <w:sz w:val="24"/>
          <w:szCs w:val="24"/>
          <w:lang w:val="sq-AL"/>
        </w:rPr>
        <w:t>ë</w:t>
      </w:r>
      <w:r w:rsidRPr="0032048B">
        <w:rPr>
          <w:sz w:val="24"/>
          <w:szCs w:val="24"/>
          <w:lang w:val="sq-AL"/>
        </w:rPr>
        <w:t xml:space="preserve"> sh</w:t>
      </w:r>
      <w:r w:rsidR="005D3CCC" w:rsidRPr="0032048B">
        <w:rPr>
          <w:sz w:val="24"/>
          <w:szCs w:val="24"/>
          <w:lang w:val="sq-AL"/>
        </w:rPr>
        <w:t>ë</w:t>
      </w:r>
      <w:r w:rsidRPr="0032048B">
        <w:rPr>
          <w:sz w:val="24"/>
          <w:szCs w:val="24"/>
          <w:lang w:val="sq-AL"/>
        </w:rPr>
        <w:t>nuar nj</w:t>
      </w:r>
      <w:r w:rsidR="005D3CCC" w:rsidRPr="0032048B">
        <w:rPr>
          <w:sz w:val="24"/>
          <w:szCs w:val="24"/>
          <w:lang w:val="sq-AL"/>
        </w:rPr>
        <w:t>ë</w:t>
      </w:r>
      <w:r w:rsidR="00B31C99" w:rsidRPr="0032048B">
        <w:rPr>
          <w:sz w:val="24"/>
          <w:szCs w:val="24"/>
          <w:lang w:val="sq-AL"/>
        </w:rPr>
        <w:t xml:space="preserve"> përmirësim: p</w:t>
      </w:r>
      <w:r w:rsidRPr="0032048B">
        <w:rPr>
          <w:sz w:val="24"/>
          <w:szCs w:val="24"/>
          <w:lang w:val="sq-AL"/>
        </w:rPr>
        <w:t>ër shembull, Këshilli Konsultativ ka miratuar një metodologji p</w:t>
      </w:r>
      <w:r w:rsidR="005D3CCC" w:rsidRPr="0032048B">
        <w:rPr>
          <w:sz w:val="24"/>
          <w:szCs w:val="24"/>
          <w:lang w:val="sq-AL"/>
        </w:rPr>
        <w:t>ë</w:t>
      </w:r>
      <w:r w:rsidRPr="0032048B">
        <w:rPr>
          <w:sz w:val="24"/>
          <w:szCs w:val="24"/>
          <w:lang w:val="sq-AL"/>
        </w:rPr>
        <w:t>r indeksin e integritetit dhe 21 NJQV kanë zhvilluar dhe miratuar planet lokale të integritetit. Duhen b</w:t>
      </w:r>
      <w:r w:rsidR="005D3CCC" w:rsidRPr="0032048B">
        <w:rPr>
          <w:sz w:val="24"/>
          <w:szCs w:val="24"/>
          <w:lang w:val="sq-AL"/>
        </w:rPr>
        <w:t>ë</w:t>
      </w:r>
      <w:r w:rsidRPr="0032048B">
        <w:rPr>
          <w:sz w:val="24"/>
          <w:szCs w:val="24"/>
          <w:lang w:val="sq-AL"/>
        </w:rPr>
        <w:t>r</w:t>
      </w:r>
      <w:r w:rsidR="005D3CCC" w:rsidRPr="0032048B">
        <w:rPr>
          <w:sz w:val="24"/>
          <w:szCs w:val="24"/>
          <w:lang w:val="sq-AL"/>
        </w:rPr>
        <w:t>ë</w:t>
      </w:r>
      <w:r w:rsidRPr="0032048B">
        <w:rPr>
          <w:sz w:val="24"/>
          <w:szCs w:val="24"/>
          <w:lang w:val="sq-AL"/>
        </w:rPr>
        <w:t xml:space="preserve"> përpjekje të mëtejshme për të shtrir</w:t>
      </w:r>
      <w:r w:rsidR="005D3CCC" w:rsidRPr="0032048B">
        <w:rPr>
          <w:sz w:val="24"/>
          <w:szCs w:val="24"/>
          <w:lang w:val="sq-AL"/>
        </w:rPr>
        <w:t>ë</w:t>
      </w:r>
      <w:r w:rsidRPr="0032048B">
        <w:rPr>
          <w:sz w:val="24"/>
          <w:szCs w:val="24"/>
          <w:lang w:val="sq-AL"/>
        </w:rPr>
        <w:t xml:space="preserve"> planet e integritetit n</w:t>
      </w:r>
      <w:r w:rsidR="005D3CCC" w:rsidRPr="0032048B">
        <w:rPr>
          <w:sz w:val="24"/>
          <w:szCs w:val="24"/>
          <w:lang w:val="sq-AL"/>
        </w:rPr>
        <w:t>ë</w:t>
      </w:r>
      <w:r w:rsidRPr="0032048B">
        <w:rPr>
          <w:sz w:val="24"/>
          <w:szCs w:val="24"/>
          <w:lang w:val="sq-AL"/>
        </w:rPr>
        <w:t xml:space="preserve"> të gjitha NJQV-të dhe për të siguruar që planet ekzistuese të integritetit të zbatohen plotësisht dhe të monitorohen në mënyrën e duhur.</w:t>
      </w:r>
    </w:p>
    <w:p w14:paraId="381CD9D3" w14:textId="7F15DDA2"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Këshilli Konsultativ vazhdon të funksionojë si forumi kryesor për dialogun institucional dhe koordinimin midis qeverisjes qendrore dhe lokale. Përpjekje të mëtejshme duhen b</w:t>
      </w:r>
      <w:r w:rsidR="005D3CCC" w:rsidRPr="0032048B">
        <w:rPr>
          <w:sz w:val="24"/>
          <w:szCs w:val="24"/>
          <w:lang w:val="sq-AL"/>
        </w:rPr>
        <w:t>ë</w:t>
      </w:r>
      <w:r w:rsidRPr="0032048B">
        <w:rPr>
          <w:sz w:val="24"/>
          <w:szCs w:val="24"/>
          <w:lang w:val="sq-AL"/>
        </w:rPr>
        <w:t>r</w:t>
      </w:r>
      <w:r w:rsidR="005D3CCC" w:rsidRPr="0032048B">
        <w:rPr>
          <w:sz w:val="24"/>
          <w:szCs w:val="24"/>
          <w:lang w:val="sq-AL"/>
        </w:rPr>
        <w:t>ë</w:t>
      </w:r>
      <w:r w:rsidRPr="0032048B">
        <w:rPr>
          <w:sz w:val="24"/>
          <w:szCs w:val="24"/>
          <w:lang w:val="sq-AL"/>
        </w:rPr>
        <w:t xml:space="preserve"> për të angazhuar NJQV-t</w:t>
      </w:r>
      <w:r w:rsidR="005D3CCC" w:rsidRPr="0032048B">
        <w:rPr>
          <w:sz w:val="24"/>
          <w:szCs w:val="24"/>
          <w:lang w:val="sq-AL"/>
        </w:rPr>
        <w:t>ë</w:t>
      </w:r>
      <w:r w:rsidRPr="0032048B">
        <w:rPr>
          <w:sz w:val="24"/>
          <w:szCs w:val="24"/>
          <w:lang w:val="sq-AL"/>
        </w:rPr>
        <w:t xml:space="preserve"> dhe shoqatat e qeverisjes vendore në fazat e hershme të nismave legjislative, dhe për të intensifikuar bashkëpunimin dhe koordinimin midis qeverive vendore dhe asaj qendrore. Përfaqësimi duhet të sigurohet n</w:t>
      </w:r>
      <w:r w:rsidR="005D3CCC" w:rsidRPr="0032048B">
        <w:rPr>
          <w:sz w:val="24"/>
          <w:szCs w:val="24"/>
          <w:lang w:val="sq-AL"/>
        </w:rPr>
        <w:t>ë</w:t>
      </w:r>
      <w:r w:rsidRPr="0032048B">
        <w:rPr>
          <w:sz w:val="24"/>
          <w:szCs w:val="24"/>
          <w:lang w:val="sq-AL"/>
        </w:rPr>
        <w:t xml:space="preserve"> nivele të përshtatshme.</w:t>
      </w:r>
    </w:p>
    <w:p w14:paraId="45DD4613" w14:textId="7BD9E8BB"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Rrjeti i koordinatorëve lokalë p</w:t>
      </w:r>
      <w:r w:rsidR="005D3CCC" w:rsidRPr="0032048B">
        <w:rPr>
          <w:sz w:val="24"/>
          <w:szCs w:val="24"/>
          <w:lang w:val="sq-AL"/>
        </w:rPr>
        <w:t>ë</w:t>
      </w:r>
      <w:r w:rsidRPr="0032048B">
        <w:rPr>
          <w:sz w:val="24"/>
          <w:szCs w:val="24"/>
          <w:lang w:val="sq-AL"/>
        </w:rPr>
        <w:t>r integrimin n</w:t>
      </w:r>
      <w:r w:rsidR="005D3CCC" w:rsidRPr="0032048B">
        <w:rPr>
          <w:sz w:val="24"/>
          <w:szCs w:val="24"/>
          <w:lang w:val="sq-AL"/>
        </w:rPr>
        <w:t>ë</w:t>
      </w:r>
      <w:r w:rsidRPr="0032048B">
        <w:rPr>
          <w:sz w:val="24"/>
          <w:szCs w:val="24"/>
          <w:lang w:val="sq-AL"/>
        </w:rPr>
        <w:t xml:space="preserve"> BE ka forcuar përfshirjen e NJQV-ve në procesin e an</w:t>
      </w:r>
      <w:r w:rsidR="005D3CCC" w:rsidRPr="0032048B">
        <w:rPr>
          <w:sz w:val="24"/>
          <w:szCs w:val="24"/>
          <w:lang w:val="sq-AL"/>
        </w:rPr>
        <w:t>ë</w:t>
      </w:r>
      <w:r w:rsidRPr="0032048B">
        <w:rPr>
          <w:sz w:val="24"/>
          <w:szCs w:val="24"/>
          <w:lang w:val="sq-AL"/>
        </w:rPr>
        <w:t>tar</w:t>
      </w:r>
      <w:r w:rsidR="005D3CCC" w:rsidRPr="0032048B">
        <w:rPr>
          <w:sz w:val="24"/>
          <w:szCs w:val="24"/>
          <w:lang w:val="sq-AL"/>
        </w:rPr>
        <w:t>ë</w:t>
      </w:r>
      <w:r w:rsidRPr="0032048B">
        <w:rPr>
          <w:sz w:val="24"/>
          <w:szCs w:val="24"/>
          <w:lang w:val="sq-AL"/>
        </w:rPr>
        <w:t>simit n</w:t>
      </w:r>
      <w:r w:rsidR="005D3CCC" w:rsidRPr="0032048B">
        <w:rPr>
          <w:sz w:val="24"/>
          <w:szCs w:val="24"/>
          <w:lang w:val="sq-AL"/>
        </w:rPr>
        <w:t>ë</w:t>
      </w:r>
      <w:r w:rsidRPr="0032048B">
        <w:rPr>
          <w:sz w:val="24"/>
          <w:szCs w:val="24"/>
          <w:lang w:val="sq-AL"/>
        </w:rPr>
        <w:t xml:space="preserve"> BE. Angazhimi i organeve të zgjedhura të qeverive vendore dhe administratës bashkiake në procesin e integrimit me BE-në duhet të forcohet, veçanërisht në kontekstin e negociatave të pranimit n</w:t>
      </w:r>
      <w:r w:rsidR="005D3CCC" w:rsidRPr="0032048B">
        <w:rPr>
          <w:sz w:val="24"/>
          <w:szCs w:val="24"/>
          <w:lang w:val="sq-AL"/>
        </w:rPr>
        <w:t>ë</w:t>
      </w:r>
      <w:r w:rsidRPr="0032048B">
        <w:rPr>
          <w:sz w:val="24"/>
          <w:szCs w:val="24"/>
          <w:lang w:val="sq-AL"/>
        </w:rPr>
        <w:t xml:space="preserve"> BE.</w:t>
      </w:r>
    </w:p>
    <w:p w14:paraId="54D6193F" w14:textId="77777777" w:rsidR="00380775" w:rsidRPr="0032048B" w:rsidRDefault="00380775" w:rsidP="00361D5A">
      <w:pPr>
        <w:tabs>
          <w:tab w:val="left" w:pos="1134"/>
        </w:tabs>
        <w:spacing w:before="120"/>
        <w:ind w:left="993" w:right="1067"/>
        <w:jc w:val="both"/>
        <w:outlineLvl w:val="0"/>
        <w:rPr>
          <w:b/>
          <w:bCs/>
          <w:sz w:val="24"/>
          <w:szCs w:val="24"/>
          <w:lang w:val="sq-AL"/>
        </w:rPr>
      </w:pPr>
      <w:r w:rsidRPr="0032048B">
        <w:rPr>
          <w:b/>
          <w:bCs/>
          <w:sz w:val="24"/>
          <w:szCs w:val="24"/>
          <w:lang w:val="sq-AL"/>
        </w:rPr>
        <w:t>Shoqëria civile</w:t>
      </w:r>
    </w:p>
    <w:p w14:paraId="349377A1" w14:textId="77777777" w:rsidR="00380775" w:rsidRPr="0032048B" w:rsidRDefault="00380775" w:rsidP="00361D5A">
      <w:pPr>
        <w:tabs>
          <w:tab w:val="left" w:pos="1134"/>
        </w:tabs>
        <w:spacing w:before="6"/>
        <w:ind w:left="993" w:right="1067"/>
        <w:rPr>
          <w:b/>
          <w:sz w:val="10"/>
          <w:szCs w:val="24"/>
          <w:lang w:val="sq-AL"/>
        </w:rPr>
      </w:pP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4"/>
      </w:tblGrid>
      <w:tr w:rsidR="00380775" w:rsidRPr="0032048B" w14:paraId="62BAFB08" w14:textId="77777777" w:rsidTr="000C6EFC">
        <w:trPr>
          <w:trHeight w:val="1417"/>
        </w:trPr>
        <w:tc>
          <w:tcPr>
            <w:tcW w:w="9254" w:type="dxa"/>
            <w:shd w:val="clear" w:color="auto" w:fill="D0CECE"/>
          </w:tcPr>
          <w:p w14:paraId="18612AFD" w14:textId="7F45A491" w:rsidR="00380775" w:rsidRPr="0032048B" w:rsidRDefault="00380775" w:rsidP="00520FFA">
            <w:pPr>
              <w:tabs>
                <w:tab w:val="left" w:pos="1134"/>
              </w:tabs>
              <w:spacing w:before="18" w:line="270" w:lineRule="atLeast"/>
              <w:ind w:left="270" w:right="195"/>
              <w:jc w:val="both"/>
              <w:rPr>
                <w:sz w:val="24"/>
                <w:lang w:val="sq-AL"/>
              </w:rPr>
            </w:pPr>
            <w:r w:rsidRPr="0032048B">
              <w:rPr>
                <w:sz w:val="24"/>
                <w:lang w:val="sq-AL"/>
              </w:rPr>
              <w:t>Roli i shoqërisë civile, përfshirë në procesin e negociatave për pranimin n</w:t>
            </w:r>
            <w:r w:rsidR="005D3CCC" w:rsidRPr="0032048B">
              <w:rPr>
                <w:sz w:val="24"/>
                <w:lang w:val="sq-AL"/>
              </w:rPr>
              <w:t>ë</w:t>
            </w:r>
            <w:r w:rsidRPr="0032048B">
              <w:rPr>
                <w:sz w:val="24"/>
                <w:lang w:val="sq-AL"/>
              </w:rPr>
              <w:t xml:space="preserve"> BE, duhet të forcohet më tej. Strukturat e ngritura për konsultimin e shoqërisë civile duhet të përforcohen dhe të bëhen plotësisht funksionale. Nuk </w:t>
            </w:r>
            <w:r w:rsidR="00855801" w:rsidRPr="0032048B">
              <w:rPr>
                <w:sz w:val="24"/>
                <w:lang w:val="sq-AL"/>
              </w:rPr>
              <w:t>është</w:t>
            </w:r>
            <w:r w:rsidRPr="0032048B">
              <w:rPr>
                <w:sz w:val="24"/>
                <w:lang w:val="sq-AL"/>
              </w:rPr>
              <w:t xml:space="preserve"> b</w:t>
            </w:r>
            <w:r w:rsidR="005D3CCC" w:rsidRPr="0032048B">
              <w:rPr>
                <w:sz w:val="24"/>
                <w:lang w:val="sq-AL"/>
              </w:rPr>
              <w:t>ë</w:t>
            </w:r>
            <w:r w:rsidRPr="0032048B">
              <w:rPr>
                <w:sz w:val="24"/>
                <w:lang w:val="sq-AL"/>
              </w:rPr>
              <w:t>r</w:t>
            </w:r>
            <w:r w:rsidR="005D3CCC" w:rsidRPr="0032048B">
              <w:rPr>
                <w:sz w:val="24"/>
                <w:lang w:val="sq-AL"/>
              </w:rPr>
              <w:t>ë</w:t>
            </w:r>
            <w:r w:rsidRPr="0032048B">
              <w:rPr>
                <w:sz w:val="24"/>
                <w:lang w:val="sq-AL"/>
              </w:rPr>
              <w:t xml:space="preserve"> progres në zbatimin e udh</w:t>
            </w:r>
            <w:r w:rsidR="005D3CCC" w:rsidRPr="0032048B">
              <w:rPr>
                <w:sz w:val="24"/>
                <w:lang w:val="sq-AL"/>
              </w:rPr>
              <w:t>ë</w:t>
            </w:r>
            <w:r w:rsidRPr="0032048B">
              <w:rPr>
                <w:sz w:val="24"/>
                <w:lang w:val="sq-AL"/>
              </w:rPr>
              <w:t>rr</w:t>
            </w:r>
            <w:r w:rsidR="005D3CCC" w:rsidRPr="0032048B">
              <w:rPr>
                <w:sz w:val="24"/>
                <w:lang w:val="sq-AL"/>
              </w:rPr>
              <w:t>ë</w:t>
            </w:r>
            <w:r w:rsidRPr="0032048B">
              <w:rPr>
                <w:sz w:val="24"/>
                <w:lang w:val="sq-AL"/>
              </w:rPr>
              <w:t>fyesit për mjedisin e favorsh</w:t>
            </w:r>
            <w:r w:rsidR="005D3CCC" w:rsidRPr="0032048B">
              <w:rPr>
                <w:sz w:val="24"/>
                <w:lang w:val="sq-AL"/>
              </w:rPr>
              <w:t>ë</w:t>
            </w:r>
            <w:r w:rsidRPr="0032048B">
              <w:rPr>
                <w:sz w:val="24"/>
                <w:lang w:val="sq-AL"/>
              </w:rPr>
              <w:t>m p</w:t>
            </w:r>
            <w:r w:rsidR="005D3CCC" w:rsidRPr="0032048B">
              <w:rPr>
                <w:sz w:val="24"/>
                <w:lang w:val="sq-AL"/>
              </w:rPr>
              <w:t>ë</w:t>
            </w:r>
            <w:r w:rsidRPr="0032048B">
              <w:rPr>
                <w:sz w:val="24"/>
                <w:lang w:val="sq-AL"/>
              </w:rPr>
              <w:t xml:space="preserve">r shoqërinë civile. Ndryshimet e bëra në ligjin e TVSH-së 2014 që lejojnë përjashtimet nga taksat në vend të </w:t>
            </w:r>
            <w:proofErr w:type="spellStart"/>
            <w:r w:rsidRPr="0032048B">
              <w:rPr>
                <w:sz w:val="24"/>
                <w:lang w:val="sq-AL"/>
              </w:rPr>
              <w:t>rimbursimit</w:t>
            </w:r>
            <w:proofErr w:type="spellEnd"/>
            <w:r w:rsidRPr="0032048B">
              <w:rPr>
                <w:sz w:val="24"/>
                <w:lang w:val="sq-AL"/>
              </w:rPr>
              <w:t xml:space="preserve"> të taksave mbeten p</w:t>
            </w:r>
            <w:r w:rsidR="005D3CCC" w:rsidRPr="0032048B">
              <w:rPr>
                <w:sz w:val="24"/>
                <w:lang w:val="sq-AL"/>
              </w:rPr>
              <w:t>ë</w:t>
            </w:r>
            <w:r w:rsidRPr="0032048B">
              <w:rPr>
                <w:sz w:val="24"/>
                <w:lang w:val="sq-AL"/>
              </w:rPr>
              <w:t>r t’u zbatuar.</w:t>
            </w:r>
          </w:p>
        </w:tc>
      </w:tr>
    </w:tbl>
    <w:p w14:paraId="3A3D5AEB" w14:textId="3CD1BEAE"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 xml:space="preserve">Një shoqëri civile e fuqizuar është një komponent kryesor i çdo sistemi demokratik dhe korniza ligjore dhe </w:t>
      </w:r>
      <w:proofErr w:type="spellStart"/>
      <w:r w:rsidRPr="0032048B">
        <w:rPr>
          <w:sz w:val="24"/>
          <w:szCs w:val="24"/>
          <w:lang w:val="sq-AL"/>
        </w:rPr>
        <w:t>rregullatore</w:t>
      </w:r>
      <w:proofErr w:type="spellEnd"/>
      <w:r w:rsidRPr="0032048B">
        <w:rPr>
          <w:sz w:val="24"/>
          <w:szCs w:val="24"/>
          <w:lang w:val="sq-AL"/>
        </w:rPr>
        <w:t xml:space="preserve"> e Shqipërisë për të drejtën e tubimit dhe organizimit dhe shoqatës është në përputhje me standardet ndërkombëtare. Në vitin 2022 filluan përgatitjet për krijimin e regjistrit elektronik kombëtar të organizatave jofitimprurëse, në përputhje me ligjin e vitit 2021. Parashikohet që regjistri elektronik të filloj</w:t>
      </w:r>
      <w:r w:rsidR="005D3CCC" w:rsidRPr="0032048B">
        <w:rPr>
          <w:sz w:val="24"/>
          <w:szCs w:val="24"/>
          <w:lang w:val="sq-AL"/>
        </w:rPr>
        <w:t>ë</w:t>
      </w:r>
      <w:r w:rsidRPr="0032048B">
        <w:rPr>
          <w:sz w:val="24"/>
          <w:szCs w:val="24"/>
          <w:lang w:val="sq-AL"/>
        </w:rPr>
        <w:t xml:space="preserve"> t</w:t>
      </w:r>
      <w:r w:rsidR="005D3CCC" w:rsidRPr="0032048B">
        <w:rPr>
          <w:sz w:val="24"/>
          <w:szCs w:val="24"/>
          <w:lang w:val="sq-AL"/>
        </w:rPr>
        <w:t>ë</w:t>
      </w:r>
      <w:r w:rsidRPr="0032048B">
        <w:rPr>
          <w:sz w:val="24"/>
          <w:szCs w:val="24"/>
          <w:lang w:val="sq-AL"/>
        </w:rPr>
        <w:t xml:space="preserve"> funksionojë në fund të vitit 2023 (</w:t>
      </w:r>
      <w:r w:rsidRPr="0032048B">
        <w:rPr>
          <w:i/>
          <w:sz w:val="24"/>
          <w:szCs w:val="24"/>
          <w:lang w:val="sq-AL"/>
        </w:rPr>
        <w:t>shiko gjithashtu Kapitullin 24 për rekomandimet e FATF-s</w:t>
      </w:r>
      <w:r w:rsidR="005D3CCC" w:rsidRPr="0032048B">
        <w:rPr>
          <w:i/>
          <w:sz w:val="24"/>
          <w:szCs w:val="24"/>
          <w:lang w:val="sq-AL"/>
        </w:rPr>
        <w:t>ë</w:t>
      </w:r>
      <w:r w:rsidRPr="0032048B">
        <w:rPr>
          <w:sz w:val="24"/>
          <w:szCs w:val="24"/>
          <w:lang w:val="sq-AL"/>
        </w:rPr>
        <w:t>). Ndërkohë, Organizatat e Shoqërisë Civile (OSHC) vazhdojnë të regjistrohen në Gjykatën e Qarkut në Tiranë, sipas ligjit të vjetër të vitit 2001 dhe procedurave t</w:t>
      </w:r>
      <w:r w:rsidR="005D3CCC" w:rsidRPr="0032048B">
        <w:rPr>
          <w:sz w:val="24"/>
          <w:szCs w:val="24"/>
          <w:lang w:val="sq-AL"/>
        </w:rPr>
        <w:t>ë</w:t>
      </w:r>
      <w:r w:rsidRPr="0032048B">
        <w:rPr>
          <w:sz w:val="24"/>
          <w:szCs w:val="24"/>
          <w:lang w:val="sq-AL"/>
        </w:rPr>
        <w:t xml:space="preserve"> gjata q</w:t>
      </w:r>
      <w:r w:rsidR="005D3CCC" w:rsidRPr="0032048B">
        <w:rPr>
          <w:sz w:val="24"/>
          <w:szCs w:val="24"/>
          <w:lang w:val="sq-AL"/>
        </w:rPr>
        <w:t>ë</w:t>
      </w:r>
      <w:r w:rsidRPr="0032048B">
        <w:rPr>
          <w:sz w:val="24"/>
          <w:szCs w:val="24"/>
          <w:lang w:val="sq-AL"/>
        </w:rPr>
        <w:t xml:space="preserve"> ai p</w:t>
      </w:r>
      <w:r w:rsidR="005D3CCC" w:rsidRPr="0032048B">
        <w:rPr>
          <w:sz w:val="24"/>
          <w:szCs w:val="24"/>
          <w:lang w:val="sq-AL"/>
        </w:rPr>
        <w:t>ë</w:t>
      </w:r>
      <w:r w:rsidRPr="0032048B">
        <w:rPr>
          <w:sz w:val="24"/>
          <w:szCs w:val="24"/>
          <w:lang w:val="sq-AL"/>
        </w:rPr>
        <w:t>rcakton.</w:t>
      </w:r>
    </w:p>
    <w:p w14:paraId="5ED5AA42" w14:textId="256154D8"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 xml:space="preserve">Nuk </w:t>
      </w:r>
      <w:r w:rsidR="005D3CCC" w:rsidRPr="0032048B">
        <w:rPr>
          <w:sz w:val="24"/>
          <w:szCs w:val="24"/>
          <w:lang w:val="sq-AL"/>
        </w:rPr>
        <w:t>ë</w:t>
      </w:r>
      <w:r w:rsidRPr="0032048B">
        <w:rPr>
          <w:sz w:val="24"/>
          <w:szCs w:val="24"/>
          <w:lang w:val="sq-AL"/>
        </w:rPr>
        <w:t>sht</w:t>
      </w:r>
      <w:r w:rsidR="005D3CCC" w:rsidRPr="0032048B">
        <w:rPr>
          <w:sz w:val="24"/>
          <w:szCs w:val="24"/>
          <w:lang w:val="sq-AL"/>
        </w:rPr>
        <w:t>ë</w:t>
      </w:r>
      <w:r w:rsidRPr="0032048B">
        <w:rPr>
          <w:sz w:val="24"/>
          <w:szCs w:val="24"/>
          <w:lang w:val="sq-AL"/>
        </w:rPr>
        <w:t xml:space="preserve"> b</w:t>
      </w:r>
      <w:r w:rsidR="005D3CCC" w:rsidRPr="0032048B">
        <w:rPr>
          <w:sz w:val="24"/>
          <w:szCs w:val="24"/>
          <w:lang w:val="sq-AL"/>
        </w:rPr>
        <w:t>ë</w:t>
      </w:r>
      <w:r w:rsidRPr="0032048B">
        <w:rPr>
          <w:sz w:val="24"/>
          <w:szCs w:val="24"/>
          <w:lang w:val="sq-AL"/>
        </w:rPr>
        <w:t>r</w:t>
      </w:r>
      <w:r w:rsidR="005D3CCC" w:rsidRPr="0032048B">
        <w:rPr>
          <w:sz w:val="24"/>
          <w:szCs w:val="24"/>
          <w:lang w:val="sq-AL"/>
        </w:rPr>
        <w:t>ë</w:t>
      </w:r>
      <w:r w:rsidRPr="0032048B">
        <w:rPr>
          <w:sz w:val="24"/>
          <w:szCs w:val="24"/>
          <w:lang w:val="sq-AL"/>
        </w:rPr>
        <w:t xml:space="preserve"> progres në zbatimin e udh</w:t>
      </w:r>
      <w:r w:rsidR="005D3CCC" w:rsidRPr="0032048B">
        <w:rPr>
          <w:sz w:val="24"/>
          <w:szCs w:val="24"/>
          <w:lang w:val="sq-AL"/>
        </w:rPr>
        <w:t>ë</w:t>
      </w:r>
      <w:r w:rsidRPr="0032048B">
        <w:rPr>
          <w:sz w:val="24"/>
          <w:szCs w:val="24"/>
          <w:lang w:val="sq-AL"/>
        </w:rPr>
        <w:t>rr</w:t>
      </w:r>
      <w:r w:rsidR="005D3CCC" w:rsidRPr="0032048B">
        <w:rPr>
          <w:sz w:val="24"/>
          <w:szCs w:val="24"/>
          <w:lang w:val="sq-AL"/>
        </w:rPr>
        <w:t>ë</w:t>
      </w:r>
      <w:r w:rsidRPr="0032048B">
        <w:rPr>
          <w:sz w:val="24"/>
          <w:szCs w:val="24"/>
          <w:lang w:val="sq-AL"/>
        </w:rPr>
        <w:t>fyesit p</w:t>
      </w:r>
      <w:r w:rsidR="005D3CCC" w:rsidRPr="0032048B">
        <w:rPr>
          <w:sz w:val="24"/>
          <w:szCs w:val="24"/>
          <w:lang w:val="sq-AL"/>
        </w:rPr>
        <w:t>ë</w:t>
      </w:r>
      <w:r w:rsidRPr="0032048B">
        <w:rPr>
          <w:sz w:val="24"/>
          <w:szCs w:val="24"/>
          <w:lang w:val="sq-AL"/>
        </w:rPr>
        <w:t>r një mjedis të favorsh</w:t>
      </w:r>
      <w:r w:rsidR="005D3CCC" w:rsidRPr="0032048B">
        <w:rPr>
          <w:sz w:val="24"/>
          <w:szCs w:val="24"/>
          <w:lang w:val="sq-AL"/>
        </w:rPr>
        <w:t>ë</w:t>
      </w:r>
      <w:r w:rsidRPr="0032048B">
        <w:rPr>
          <w:sz w:val="24"/>
          <w:szCs w:val="24"/>
          <w:lang w:val="sq-AL"/>
        </w:rPr>
        <w:t>m për shoqërinë civile, e cili mbetet shumë e varur nga mbështetja e donatorëve. Kërkohen përpjekje dhe burime shtesë për të çuar përpara zbatimin e tij dhe për të përmirësuar mekanizmat e raportimit dhe monitorimit t</w:t>
      </w:r>
      <w:r w:rsidR="005D3CCC" w:rsidRPr="0032048B">
        <w:rPr>
          <w:sz w:val="24"/>
          <w:szCs w:val="24"/>
          <w:lang w:val="sq-AL"/>
        </w:rPr>
        <w:t>ë</w:t>
      </w:r>
      <w:r w:rsidRPr="0032048B">
        <w:rPr>
          <w:sz w:val="24"/>
          <w:szCs w:val="24"/>
          <w:lang w:val="sq-AL"/>
        </w:rPr>
        <w:t xml:space="preserve"> udh</w:t>
      </w:r>
      <w:r w:rsidR="005D3CCC" w:rsidRPr="0032048B">
        <w:rPr>
          <w:sz w:val="24"/>
          <w:szCs w:val="24"/>
          <w:lang w:val="sq-AL"/>
        </w:rPr>
        <w:t>ë</w:t>
      </w:r>
      <w:r w:rsidRPr="0032048B">
        <w:rPr>
          <w:sz w:val="24"/>
          <w:szCs w:val="24"/>
          <w:lang w:val="sq-AL"/>
        </w:rPr>
        <w:t>rr</w:t>
      </w:r>
      <w:r w:rsidR="005D3CCC" w:rsidRPr="0032048B">
        <w:rPr>
          <w:sz w:val="24"/>
          <w:szCs w:val="24"/>
          <w:lang w:val="sq-AL"/>
        </w:rPr>
        <w:t>ë</w:t>
      </w:r>
      <w:r w:rsidRPr="0032048B">
        <w:rPr>
          <w:sz w:val="24"/>
          <w:szCs w:val="24"/>
          <w:lang w:val="sq-AL"/>
        </w:rPr>
        <w:t>fyesit. Ligji për vullnetarizmin është ende në pritje t</w:t>
      </w:r>
      <w:r w:rsidR="005D3CCC" w:rsidRPr="0032048B">
        <w:rPr>
          <w:sz w:val="24"/>
          <w:szCs w:val="24"/>
          <w:lang w:val="sq-AL"/>
        </w:rPr>
        <w:t>ë</w:t>
      </w:r>
      <w:r w:rsidRPr="0032048B">
        <w:rPr>
          <w:sz w:val="24"/>
          <w:szCs w:val="24"/>
          <w:lang w:val="sq-AL"/>
        </w:rPr>
        <w:t xml:space="preserve"> rishikimit.</w:t>
      </w:r>
    </w:p>
    <w:p w14:paraId="45F18B5B" w14:textId="3788B1C4"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Kuadri ligjor për konsultimin publik është përgjithësisht në përputhje me standardet evropiane. Platforma e parlamentit duhet t</w:t>
      </w:r>
      <w:r w:rsidR="005D3CCC" w:rsidRPr="0032048B">
        <w:rPr>
          <w:sz w:val="24"/>
          <w:szCs w:val="24"/>
          <w:lang w:val="sq-AL"/>
        </w:rPr>
        <w:t>ë</w:t>
      </w:r>
      <w:r w:rsidRPr="0032048B">
        <w:rPr>
          <w:sz w:val="24"/>
          <w:szCs w:val="24"/>
          <w:lang w:val="sq-AL"/>
        </w:rPr>
        <w:t xml:space="preserve"> b</w:t>
      </w:r>
      <w:r w:rsidR="005D3CCC" w:rsidRPr="0032048B">
        <w:rPr>
          <w:sz w:val="24"/>
          <w:szCs w:val="24"/>
          <w:lang w:val="sq-AL"/>
        </w:rPr>
        <w:t>ë</w:t>
      </w:r>
      <w:r w:rsidRPr="0032048B">
        <w:rPr>
          <w:sz w:val="24"/>
          <w:szCs w:val="24"/>
          <w:lang w:val="sq-AL"/>
        </w:rPr>
        <w:t xml:space="preserve">het </w:t>
      </w:r>
      <w:r w:rsidR="00855801" w:rsidRPr="0032048B">
        <w:rPr>
          <w:sz w:val="24"/>
          <w:szCs w:val="24"/>
          <w:lang w:val="sq-AL"/>
        </w:rPr>
        <w:t>plotësisht</w:t>
      </w:r>
      <w:r w:rsidRPr="0032048B">
        <w:rPr>
          <w:sz w:val="24"/>
          <w:szCs w:val="24"/>
          <w:lang w:val="sq-AL"/>
        </w:rPr>
        <w:t xml:space="preserve"> funksionale dhe konsultimet p</w:t>
      </w:r>
      <w:r w:rsidR="005D3CCC" w:rsidRPr="0032048B">
        <w:rPr>
          <w:sz w:val="24"/>
          <w:szCs w:val="24"/>
          <w:lang w:val="sq-AL"/>
        </w:rPr>
        <w:t>ë</w:t>
      </w:r>
      <w:r w:rsidRPr="0032048B">
        <w:rPr>
          <w:sz w:val="24"/>
          <w:szCs w:val="24"/>
          <w:lang w:val="sq-AL"/>
        </w:rPr>
        <w:t>r</w:t>
      </w:r>
      <w:r w:rsidR="00855801" w:rsidRPr="0032048B">
        <w:rPr>
          <w:sz w:val="24"/>
          <w:szCs w:val="24"/>
          <w:lang w:val="sq-AL"/>
        </w:rPr>
        <w:t xml:space="preserve"> </w:t>
      </w:r>
      <w:r w:rsidRPr="0032048B">
        <w:rPr>
          <w:sz w:val="24"/>
          <w:szCs w:val="24"/>
          <w:lang w:val="sq-AL"/>
        </w:rPr>
        <w:t>projektligjet duhet të zhvillohen rregullisht. Për më tepër, fusha e veprimit t</w:t>
      </w:r>
      <w:r w:rsidR="005D3CCC" w:rsidRPr="0032048B">
        <w:rPr>
          <w:sz w:val="24"/>
          <w:szCs w:val="24"/>
          <w:lang w:val="sq-AL"/>
        </w:rPr>
        <w:t>ë</w:t>
      </w:r>
      <w:r w:rsidRPr="0032048B">
        <w:rPr>
          <w:sz w:val="24"/>
          <w:szCs w:val="24"/>
          <w:lang w:val="sq-AL"/>
        </w:rPr>
        <w:t xml:space="preserve"> Ligjit për Konsultimet Publike duhet të shtrihet edhe tek aktet n</w:t>
      </w:r>
      <w:r w:rsidR="005D3CCC" w:rsidRPr="0032048B">
        <w:rPr>
          <w:sz w:val="24"/>
          <w:szCs w:val="24"/>
          <w:lang w:val="sq-AL"/>
        </w:rPr>
        <w:t>ë</w:t>
      </w:r>
      <w:r w:rsidRPr="0032048B">
        <w:rPr>
          <w:sz w:val="24"/>
          <w:szCs w:val="24"/>
          <w:lang w:val="sq-AL"/>
        </w:rPr>
        <w:t xml:space="preserve">nligjore </w:t>
      </w:r>
      <w:r w:rsidRPr="0032048B">
        <w:rPr>
          <w:i/>
          <w:sz w:val="24"/>
          <w:szCs w:val="24"/>
          <w:lang w:val="sq-AL"/>
        </w:rPr>
        <w:t>(shiko gjithashtu Seksionin për Reformën e Administratës Publike).</w:t>
      </w:r>
    </w:p>
    <w:p w14:paraId="5E7BF2AE" w14:textId="071CD6AA"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Roli i shoqërisë civile në procesin e negociatave të pranimit n</w:t>
      </w:r>
      <w:r w:rsidR="005D3CCC" w:rsidRPr="0032048B">
        <w:rPr>
          <w:sz w:val="24"/>
          <w:szCs w:val="24"/>
          <w:lang w:val="sq-AL"/>
        </w:rPr>
        <w:t>ë</w:t>
      </w:r>
      <w:r w:rsidRPr="0032048B">
        <w:rPr>
          <w:sz w:val="24"/>
          <w:szCs w:val="24"/>
          <w:lang w:val="sq-AL"/>
        </w:rPr>
        <w:t xml:space="preserve"> BE duhet të forcohet për të siguruar pjesëmarrjen dhe konsultimin domethënës të OSHC-ve në proceset e hartimit të politikave. Strukturat e ngritura për konsultimin me shoqërinë civile në nivelin e qeveris</w:t>
      </w:r>
      <w:r w:rsidR="005D3CCC" w:rsidRPr="0032048B">
        <w:rPr>
          <w:sz w:val="24"/>
          <w:szCs w:val="24"/>
          <w:lang w:val="sq-AL"/>
        </w:rPr>
        <w:t>ë</w:t>
      </w:r>
      <w:r w:rsidRPr="0032048B">
        <w:rPr>
          <w:sz w:val="24"/>
          <w:szCs w:val="24"/>
          <w:lang w:val="sq-AL"/>
        </w:rPr>
        <w:t xml:space="preserve"> duhet të forcohen dhe të bëhen plotësisht funksionale. Platforma e Partneritetit për Integrimin Evropian, e krijuar në vitin 2019, është pjesërisht funksionale.</w:t>
      </w:r>
    </w:p>
    <w:p w14:paraId="5419E822" w14:textId="6D0942EC"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Aftësia e Këshillit Kombëtar për Shoqërinë Civile për të shprehur përparësitë e OSHC-ve në proceset e hartimit t</w:t>
      </w:r>
      <w:r w:rsidR="005D3CCC" w:rsidRPr="0032048B">
        <w:rPr>
          <w:sz w:val="24"/>
          <w:szCs w:val="24"/>
          <w:lang w:val="sq-AL"/>
        </w:rPr>
        <w:t>ë</w:t>
      </w:r>
      <w:r w:rsidRPr="0032048B">
        <w:rPr>
          <w:sz w:val="24"/>
          <w:szCs w:val="24"/>
          <w:lang w:val="sq-AL"/>
        </w:rPr>
        <w:t xml:space="preserve"> politikave mbetet e dobët. Një azhurnim i ligjit për Këshillin Kombëtar </w:t>
      </w:r>
      <w:r w:rsidRPr="0032048B">
        <w:rPr>
          <w:sz w:val="24"/>
          <w:szCs w:val="24"/>
          <w:lang w:val="sq-AL"/>
        </w:rPr>
        <w:lastRenderedPageBreak/>
        <w:t>është ende në pritje. Financimi publik i Agjencisë për Mbështetjen e Shoqërisë Civile mbetet i pamjaftueshme për të siguruar aktivitetet e OSHC-ve, veçanërisht në fush</w:t>
      </w:r>
      <w:r w:rsidR="005D3CCC" w:rsidRPr="0032048B">
        <w:rPr>
          <w:sz w:val="24"/>
          <w:szCs w:val="24"/>
          <w:lang w:val="sq-AL"/>
        </w:rPr>
        <w:t>ë</w:t>
      </w:r>
      <w:r w:rsidRPr="0032048B">
        <w:rPr>
          <w:sz w:val="24"/>
          <w:szCs w:val="24"/>
          <w:lang w:val="sq-AL"/>
        </w:rPr>
        <w:t>n e shërbimeve sociale.</w:t>
      </w:r>
    </w:p>
    <w:p w14:paraId="00EB41EA" w14:textId="2E56BC91"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 xml:space="preserve">Në fushën e </w:t>
      </w:r>
      <w:proofErr w:type="spellStart"/>
      <w:r w:rsidRPr="0032048B">
        <w:rPr>
          <w:sz w:val="24"/>
          <w:szCs w:val="24"/>
          <w:lang w:val="sq-AL"/>
        </w:rPr>
        <w:t>rimbursimit</w:t>
      </w:r>
      <w:proofErr w:type="spellEnd"/>
      <w:r w:rsidRPr="0032048B">
        <w:rPr>
          <w:sz w:val="24"/>
          <w:szCs w:val="24"/>
          <w:lang w:val="sq-AL"/>
        </w:rPr>
        <w:t xml:space="preserve"> të TVSH-së vazhdoi progresi i kufizuar n</w:t>
      </w:r>
      <w:r w:rsidR="005D3CCC" w:rsidRPr="0032048B">
        <w:rPr>
          <w:sz w:val="24"/>
          <w:szCs w:val="24"/>
          <w:lang w:val="sq-AL"/>
        </w:rPr>
        <w:t>ë</w:t>
      </w:r>
      <w:r w:rsidRPr="0032048B">
        <w:rPr>
          <w:sz w:val="24"/>
          <w:szCs w:val="24"/>
          <w:lang w:val="sq-AL"/>
        </w:rPr>
        <w:t xml:space="preserve"> drejtim t</w:t>
      </w:r>
      <w:r w:rsidR="005D3CCC" w:rsidRPr="0032048B">
        <w:rPr>
          <w:sz w:val="24"/>
          <w:szCs w:val="24"/>
          <w:lang w:val="sq-AL"/>
        </w:rPr>
        <w:t>ë</w:t>
      </w:r>
      <w:r w:rsidRPr="0032048B">
        <w:rPr>
          <w:sz w:val="24"/>
          <w:szCs w:val="24"/>
          <w:lang w:val="sq-AL"/>
        </w:rPr>
        <w:t xml:space="preserve"> zbatimit t</w:t>
      </w:r>
      <w:r w:rsidR="005D3CCC" w:rsidRPr="0032048B">
        <w:rPr>
          <w:sz w:val="24"/>
          <w:szCs w:val="24"/>
          <w:lang w:val="sq-AL"/>
        </w:rPr>
        <w:t>ë</w:t>
      </w:r>
      <w:r w:rsidRPr="0032048B">
        <w:rPr>
          <w:sz w:val="24"/>
          <w:szCs w:val="24"/>
          <w:lang w:val="sq-AL"/>
        </w:rPr>
        <w:t xml:space="preserve"> Udhëzimeve për </w:t>
      </w:r>
      <w:proofErr w:type="spellStart"/>
      <w:r w:rsidRPr="0032048B">
        <w:rPr>
          <w:sz w:val="24"/>
          <w:szCs w:val="24"/>
          <w:lang w:val="sq-AL"/>
        </w:rPr>
        <w:t>rimbursimin</w:t>
      </w:r>
      <w:proofErr w:type="spellEnd"/>
      <w:r w:rsidRPr="0032048B">
        <w:rPr>
          <w:sz w:val="24"/>
          <w:szCs w:val="24"/>
          <w:lang w:val="sq-AL"/>
        </w:rPr>
        <w:t xml:space="preserve"> e TVSH-së për OSHC-të që p</w:t>
      </w:r>
      <w:r w:rsidR="005D3CCC" w:rsidRPr="0032048B">
        <w:rPr>
          <w:sz w:val="24"/>
          <w:szCs w:val="24"/>
          <w:lang w:val="sq-AL"/>
        </w:rPr>
        <w:t>ë</w:t>
      </w:r>
      <w:r w:rsidRPr="0032048B">
        <w:rPr>
          <w:sz w:val="24"/>
          <w:szCs w:val="24"/>
          <w:lang w:val="sq-AL"/>
        </w:rPr>
        <w:t>rfitojn</w:t>
      </w:r>
      <w:r w:rsidR="005D3CCC" w:rsidRPr="0032048B">
        <w:rPr>
          <w:sz w:val="24"/>
          <w:szCs w:val="24"/>
          <w:lang w:val="sq-AL"/>
        </w:rPr>
        <w:t>ë</w:t>
      </w:r>
      <w:r w:rsidRPr="0032048B">
        <w:rPr>
          <w:sz w:val="24"/>
          <w:szCs w:val="24"/>
          <w:lang w:val="sq-AL"/>
        </w:rPr>
        <w:t xml:space="preserve"> nga financimet e BE-së dhe </w:t>
      </w:r>
      <w:proofErr w:type="spellStart"/>
      <w:r w:rsidRPr="0032048B">
        <w:rPr>
          <w:sz w:val="24"/>
          <w:szCs w:val="24"/>
          <w:lang w:val="sq-AL"/>
        </w:rPr>
        <w:t>grantet</w:t>
      </w:r>
      <w:proofErr w:type="spellEnd"/>
      <w:r w:rsidRPr="0032048B">
        <w:rPr>
          <w:sz w:val="24"/>
          <w:szCs w:val="24"/>
          <w:lang w:val="sq-AL"/>
        </w:rPr>
        <w:t xml:space="preserve"> e donatorëve t</w:t>
      </w:r>
      <w:r w:rsidR="005D3CCC" w:rsidRPr="0032048B">
        <w:rPr>
          <w:sz w:val="24"/>
          <w:szCs w:val="24"/>
          <w:lang w:val="sq-AL"/>
        </w:rPr>
        <w:t>ë</w:t>
      </w:r>
      <w:r w:rsidRPr="0032048B">
        <w:rPr>
          <w:sz w:val="24"/>
          <w:szCs w:val="24"/>
          <w:lang w:val="sq-AL"/>
        </w:rPr>
        <w:t xml:space="preserve"> tjer</w:t>
      </w:r>
      <w:r w:rsidR="005D3CCC" w:rsidRPr="0032048B">
        <w:rPr>
          <w:sz w:val="24"/>
          <w:szCs w:val="24"/>
          <w:lang w:val="sq-AL"/>
        </w:rPr>
        <w:t>ë</w:t>
      </w:r>
      <w:r w:rsidRPr="0032048B">
        <w:rPr>
          <w:sz w:val="24"/>
          <w:szCs w:val="24"/>
          <w:lang w:val="sq-AL"/>
        </w:rPr>
        <w:t>. N</w:t>
      </w:r>
      <w:r w:rsidR="005D3CCC" w:rsidRPr="0032048B">
        <w:rPr>
          <w:sz w:val="24"/>
          <w:szCs w:val="24"/>
          <w:lang w:val="sq-AL"/>
        </w:rPr>
        <w:t>ë</w:t>
      </w:r>
      <w:r w:rsidRPr="0032048B">
        <w:rPr>
          <w:sz w:val="24"/>
          <w:szCs w:val="24"/>
          <w:lang w:val="sq-AL"/>
        </w:rPr>
        <w:t xml:space="preserve"> </w:t>
      </w:r>
      <w:r w:rsidR="00855801" w:rsidRPr="0032048B">
        <w:rPr>
          <w:sz w:val="24"/>
          <w:szCs w:val="24"/>
          <w:lang w:val="sq-AL"/>
        </w:rPr>
        <w:t>çdo</w:t>
      </w:r>
      <w:r w:rsidRPr="0032048B">
        <w:rPr>
          <w:sz w:val="24"/>
          <w:szCs w:val="24"/>
          <w:lang w:val="sq-AL"/>
        </w:rPr>
        <w:t xml:space="preserve"> rast, procesi mbetet i gjatë dhe me pengesa. Në vitin 2022, u bënë ndryshime në Ligjin e TVSH-së t</w:t>
      </w:r>
      <w:r w:rsidR="005D3CCC" w:rsidRPr="0032048B">
        <w:rPr>
          <w:sz w:val="24"/>
          <w:szCs w:val="24"/>
          <w:lang w:val="sq-AL"/>
        </w:rPr>
        <w:t>ë</w:t>
      </w:r>
      <w:r w:rsidRPr="0032048B">
        <w:rPr>
          <w:sz w:val="24"/>
          <w:szCs w:val="24"/>
          <w:lang w:val="sq-AL"/>
        </w:rPr>
        <w:t xml:space="preserve"> vitit 2014 për të lejuar përjashtimin e OSHC-ve nga taksat, por zbatimi i tyre nuk ka filluar ende. Shqipëria ende nuk ka stimuj tatimor</w:t>
      </w:r>
      <w:r w:rsidR="005D3CCC" w:rsidRPr="0032048B">
        <w:rPr>
          <w:sz w:val="24"/>
          <w:szCs w:val="24"/>
          <w:lang w:val="sq-AL"/>
        </w:rPr>
        <w:t>ë</w:t>
      </w:r>
      <w:r w:rsidRPr="0032048B">
        <w:rPr>
          <w:sz w:val="24"/>
          <w:szCs w:val="24"/>
          <w:lang w:val="sq-AL"/>
        </w:rPr>
        <w:t xml:space="preserve"> për donacionet individuale, nd</w:t>
      </w:r>
      <w:r w:rsidR="005D3CCC" w:rsidRPr="0032048B">
        <w:rPr>
          <w:sz w:val="24"/>
          <w:szCs w:val="24"/>
          <w:lang w:val="sq-AL"/>
        </w:rPr>
        <w:t>ë</w:t>
      </w:r>
      <w:r w:rsidRPr="0032048B">
        <w:rPr>
          <w:sz w:val="24"/>
          <w:szCs w:val="24"/>
          <w:lang w:val="sq-AL"/>
        </w:rPr>
        <w:t xml:space="preserve">rsa për donacionet e </w:t>
      </w:r>
      <w:r w:rsidR="00855801" w:rsidRPr="0032048B">
        <w:rPr>
          <w:sz w:val="24"/>
          <w:szCs w:val="24"/>
          <w:lang w:val="sq-AL"/>
        </w:rPr>
        <w:t>bizneseve</w:t>
      </w:r>
      <w:r w:rsidRPr="0032048B">
        <w:rPr>
          <w:sz w:val="24"/>
          <w:szCs w:val="24"/>
          <w:lang w:val="sq-AL"/>
        </w:rPr>
        <w:t xml:space="preserve"> stimujt jan</w:t>
      </w:r>
      <w:r w:rsidR="005D3CCC" w:rsidRPr="0032048B">
        <w:rPr>
          <w:sz w:val="24"/>
          <w:szCs w:val="24"/>
          <w:lang w:val="sq-AL"/>
        </w:rPr>
        <w:t>ë</w:t>
      </w:r>
      <w:r w:rsidRPr="0032048B">
        <w:rPr>
          <w:sz w:val="24"/>
          <w:szCs w:val="24"/>
          <w:lang w:val="sq-AL"/>
        </w:rPr>
        <w:t xml:space="preserve"> t</w:t>
      </w:r>
      <w:r w:rsidR="005D3CCC" w:rsidRPr="0032048B">
        <w:rPr>
          <w:sz w:val="24"/>
          <w:szCs w:val="24"/>
          <w:lang w:val="sq-AL"/>
        </w:rPr>
        <w:t>ë</w:t>
      </w:r>
      <w:r w:rsidRPr="0032048B">
        <w:rPr>
          <w:sz w:val="24"/>
          <w:szCs w:val="24"/>
          <w:lang w:val="sq-AL"/>
        </w:rPr>
        <w:t xml:space="preserve"> ul</w:t>
      </w:r>
      <w:r w:rsidR="005D3CCC" w:rsidRPr="0032048B">
        <w:rPr>
          <w:sz w:val="24"/>
          <w:szCs w:val="24"/>
          <w:lang w:val="sq-AL"/>
        </w:rPr>
        <w:t>ë</w:t>
      </w:r>
      <w:r w:rsidRPr="0032048B">
        <w:rPr>
          <w:sz w:val="24"/>
          <w:szCs w:val="24"/>
          <w:lang w:val="sq-AL"/>
        </w:rPr>
        <w:t>t.</w:t>
      </w:r>
    </w:p>
    <w:p w14:paraId="5C4C4E27" w14:textId="45DECD06"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 xml:space="preserve">Duhet të sigurohet koordinim më i mirë dhe përfaqësim domethënës i grupeve të interesit në të gjitha nivelet, pasi peizazhi mbetet i fragmentuar, i varur nga donatorët dhe i përqendruar në qytetet kryesore, megjithëse </w:t>
      </w:r>
      <w:r w:rsidR="00855801" w:rsidRPr="0032048B">
        <w:rPr>
          <w:sz w:val="24"/>
          <w:szCs w:val="24"/>
          <w:lang w:val="sq-AL"/>
        </w:rPr>
        <w:t>eksitojnë</w:t>
      </w:r>
      <w:r w:rsidRPr="0032048B">
        <w:rPr>
          <w:sz w:val="24"/>
          <w:szCs w:val="24"/>
          <w:lang w:val="sq-AL"/>
        </w:rPr>
        <w:t xml:space="preserve"> iniciativat n</w:t>
      </w:r>
      <w:r w:rsidR="005D3CCC" w:rsidRPr="0032048B">
        <w:rPr>
          <w:sz w:val="24"/>
          <w:szCs w:val="24"/>
          <w:lang w:val="sq-AL"/>
        </w:rPr>
        <w:t>ë</w:t>
      </w:r>
      <w:r w:rsidRPr="0032048B">
        <w:rPr>
          <w:sz w:val="24"/>
          <w:szCs w:val="24"/>
          <w:lang w:val="sq-AL"/>
        </w:rPr>
        <w:t xml:space="preserve"> baz</w:t>
      </w:r>
      <w:r w:rsidR="005D3CCC" w:rsidRPr="0032048B">
        <w:rPr>
          <w:sz w:val="24"/>
          <w:szCs w:val="24"/>
          <w:lang w:val="sq-AL"/>
        </w:rPr>
        <w:t>ë</w:t>
      </w:r>
      <w:r w:rsidRPr="0032048B">
        <w:rPr>
          <w:sz w:val="24"/>
          <w:szCs w:val="24"/>
          <w:lang w:val="sq-AL"/>
        </w:rPr>
        <w:t xml:space="preserve"> p</w:t>
      </w:r>
      <w:r w:rsidR="005D3CCC" w:rsidRPr="0032048B">
        <w:rPr>
          <w:sz w:val="24"/>
          <w:szCs w:val="24"/>
          <w:lang w:val="sq-AL"/>
        </w:rPr>
        <w:t>ë</w:t>
      </w:r>
      <w:r w:rsidRPr="0032048B">
        <w:rPr>
          <w:sz w:val="24"/>
          <w:szCs w:val="24"/>
          <w:lang w:val="sq-AL"/>
        </w:rPr>
        <w:t>r çështje t</w:t>
      </w:r>
      <w:r w:rsidR="005D3CCC" w:rsidRPr="0032048B">
        <w:rPr>
          <w:sz w:val="24"/>
          <w:szCs w:val="24"/>
          <w:lang w:val="sq-AL"/>
        </w:rPr>
        <w:t>ë</w:t>
      </w:r>
      <w:r w:rsidRPr="0032048B">
        <w:rPr>
          <w:sz w:val="24"/>
          <w:szCs w:val="24"/>
          <w:lang w:val="sq-AL"/>
        </w:rPr>
        <w:t xml:space="preserve"> caktuara </w:t>
      </w:r>
      <w:proofErr w:type="spellStart"/>
      <w:r w:rsidRPr="0032048B">
        <w:rPr>
          <w:sz w:val="24"/>
          <w:szCs w:val="24"/>
          <w:lang w:val="sq-AL"/>
        </w:rPr>
        <w:t>komunitare</w:t>
      </w:r>
      <w:proofErr w:type="spellEnd"/>
      <w:r w:rsidRPr="0032048B">
        <w:rPr>
          <w:sz w:val="24"/>
          <w:szCs w:val="24"/>
          <w:lang w:val="sq-AL"/>
        </w:rPr>
        <w:t>.</w:t>
      </w:r>
    </w:p>
    <w:p w14:paraId="765F0515" w14:textId="77777777" w:rsidR="00380775" w:rsidRPr="0032048B" w:rsidRDefault="00380775" w:rsidP="00361D5A">
      <w:pPr>
        <w:numPr>
          <w:ilvl w:val="2"/>
          <w:numId w:val="5"/>
        </w:numPr>
        <w:tabs>
          <w:tab w:val="left" w:pos="1134"/>
          <w:tab w:val="left" w:pos="1640"/>
        </w:tabs>
        <w:spacing w:before="120"/>
        <w:ind w:left="993" w:right="1067" w:firstLine="0"/>
        <w:jc w:val="both"/>
        <w:outlineLvl w:val="0"/>
        <w:rPr>
          <w:b/>
          <w:bCs/>
          <w:sz w:val="24"/>
          <w:szCs w:val="24"/>
          <w:lang w:val="sq-AL"/>
        </w:rPr>
      </w:pPr>
      <w:bookmarkStart w:id="19" w:name="2.1.2._Public_administration_reform"/>
      <w:bookmarkStart w:id="20" w:name="_bookmark8"/>
      <w:bookmarkEnd w:id="19"/>
      <w:bookmarkEnd w:id="20"/>
      <w:r w:rsidRPr="0032048B">
        <w:rPr>
          <w:b/>
          <w:bCs/>
          <w:spacing w:val="-2"/>
          <w:sz w:val="24"/>
          <w:szCs w:val="24"/>
          <w:lang w:val="sq-AL"/>
        </w:rPr>
        <w:t>Reforma e administratës publike</w:t>
      </w:r>
    </w:p>
    <w:p w14:paraId="3652F6E8" w14:textId="77777777" w:rsidR="00380775" w:rsidRPr="0032048B" w:rsidRDefault="00380775" w:rsidP="00361D5A">
      <w:pPr>
        <w:tabs>
          <w:tab w:val="left" w:pos="1134"/>
        </w:tabs>
        <w:spacing w:before="6"/>
        <w:ind w:left="993" w:right="1067"/>
        <w:rPr>
          <w:b/>
          <w:sz w:val="10"/>
          <w:szCs w:val="24"/>
          <w:lang w:val="sq-AL"/>
        </w:rPr>
      </w:pP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4"/>
      </w:tblGrid>
      <w:tr w:rsidR="00380775" w:rsidRPr="0032048B" w14:paraId="0B586211" w14:textId="77777777" w:rsidTr="008B3C4C">
        <w:trPr>
          <w:trHeight w:val="1125"/>
        </w:trPr>
        <w:tc>
          <w:tcPr>
            <w:tcW w:w="9254" w:type="dxa"/>
            <w:shd w:val="clear" w:color="auto" w:fill="D9D9D9"/>
          </w:tcPr>
          <w:p w14:paraId="27D6FAEC" w14:textId="7C3C0C12" w:rsidR="00380775" w:rsidRPr="0032048B" w:rsidRDefault="00380775" w:rsidP="00520FFA">
            <w:pPr>
              <w:ind w:left="270" w:right="195"/>
              <w:jc w:val="both"/>
              <w:rPr>
                <w:sz w:val="24"/>
                <w:lang w:val="sq-AL"/>
              </w:rPr>
            </w:pPr>
            <w:r w:rsidRPr="0032048B">
              <w:rPr>
                <w:sz w:val="24"/>
                <w:lang w:val="sq-AL"/>
              </w:rPr>
              <w:t>Shqipëria vazhdon t</w:t>
            </w:r>
            <w:r w:rsidR="005D3CCC" w:rsidRPr="0032048B">
              <w:rPr>
                <w:sz w:val="24"/>
                <w:lang w:val="sq-AL"/>
              </w:rPr>
              <w:t>ë</w:t>
            </w:r>
            <w:r w:rsidRPr="0032048B">
              <w:rPr>
                <w:sz w:val="24"/>
                <w:lang w:val="sq-AL"/>
              </w:rPr>
              <w:t xml:space="preserve"> ket</w:t>
            </w:r>
            <w:r w:rsidR="005D3CCC" w:rsidRPr="0032048B">
              <w:rPr>
                <w:sz w:val="24"/>
                <w:lang w:val="sq-AL"/>
              </w:rPr>
              <w:t>ë</w:t>
            </w:r>
            <w:r w:rsidRPr="0032048B">
              <w:rPr>
                <w:sz w:val="24"/>
                <w:lang w:val="sq-AL"/>
              </w:rPr>
              <w:t xml:space="preserve"> </w:t>
            </w:r>
            <w:r w:rsidRPr="0032048B">
              <w:rPr>
                <w:b/>
                <w:sz w:val="24"/>
                <w:lang w:val="sq-AL"/>
              </w:rPr>
              <w:t>p</w:t>
            </w:r>
            <w:r w:rsidR="005D3CCC" w:rsidRPr="0032048B">
              <w:rPr>
                <w:b/>
                <w:sz w:val="24"/>
                <w:lang w:val="sq-AL"/>
              </w:rPr>
              <w:t>ë</w:t>
            </w:r>
            <w:r w:rsidRPr="0032048B">
              <w:rPr>
                <w:b/>
                <w:sz w:val="24"/>
                <w:lang w:val="sq-AL"/>
              </w:rPr>
              <w:t>rgatitje mesatare</w:t>
            </w:r>
            <w:r w:rsidRPr="0032048B">
              <w:rPr>
                <w:sz w:val="24"/>
                <w:lang w:val="sq-AL"/>
              </w:rPr>
              <w:t xml:space="preserve"> në fushën e reformës së administratës publike. Vendi b</w:t>
            </w:r>
            <w:r w:rsidR="005D3CCC" w:rsidRPr="0032048B">
              <w:rPr>
                <w:sz w:val="24"/>
                <w:lang w:val="sq-AL"/>
              </w:rPr>
              <w:t>ë</w:t>
            </w:r>
            <w:r w:rsidRPr="0032048B">
              <w:rPr>
                <w:sz w:val="24"/>
                <w:lang w:val="sq-AL"/>
              </w:rPr>
              <w:t xml:space="preserve">ri </w:t>
            </w:r>
            <w:r w:rsidRPr="0032048B">
              <w:rPr>
                <w:b/>
                <w:sz w:val="24"/>
                <w:lang w:val="sq-AL"/>
              </w:rPr>
              <w:t>progres t</w:t>
            </w:r>
            <w:r w:rsidR="005D3CCC" w:rsidRPr="0032048B">
              <w:rPr>
                <w:b/>
                <w:sz w:val="24"/>
                <w:lang w:val="sq-AL"/>
              </w:rPr>
              <w:t>ë</w:t>
            </w:r>
            <w:r w:rsidRPr="0032048B">
              <w:rPr>
                <w:b/>
                <w:sz w:val="24"/>
                <w:lang w:val="sq-AL"/>
              </w:rPr>
              <w:t xml:space="preserve"> kufizuar</w:t>
            </w:r>
            <w:r w:rsidRPr="0032048B">
              <w:rPr>
                <w:sz w:val="24"/>
                <w:lang w:val="sq-AL"/>
              </w:rPr>
              <w:t xml:space="preserve"> në p</w:t>
            </w:r>
            <w:r w:rsidR="005D3CCC" w:rsidRPr="0032048B">
              <w:rPr>
                <w:sz w:val="24"/>
                <w:lang w:val="sq-AL"/>
              </w:rPr>
              <w:t>ë</w:t>
            </w:r>
            <w:r w:rsidRPr="0032048B">
              <w:rPr>
                <w:sz w:val="24"/>
                <w:lang w:val="sq-AL"/>
              </w:rPr>
              <w:t>rmbushjen e rekomandimeve të vitit të kaluar.</w:t>
            </w:r>
          </w:p>
          <w:p w14:paraId="7D650500" w14:textId="77777777" w:rsidR="00380775" w:rsidRPr="0032048B" w:rsidRDefault="00380775" w:rsidP="00520FFA">
            <w:pPr>
              <w:ind w:left="270" w:right="195"/>
              <w:jc w:val="both"/>
              <w:rPr>
                <w:sz w:val="24"/>
                <w:lang w:val="sq-AL"/>
              </w:rPr>
            </w:pPr>
          </w:p>
          <w:p w14:paraId="277DC5F7" w14:textId="1A4F1F11" w:rsidR="00380775" w:rsidRPr="0032048B" w:rsidRDefault="00380775" w:rsidP="00520FFA">
            <w:pPr>
              <w:ind w:left="270" w:right="195"/>
              <w:jc w:val="both"/>
              <w:rPr>
                <w:sz w:val="24"/>
                <w:lang w:val="sq-AL"/>
              </w:rPr>
            </w:pPr>
            <w:r w:rsidRPr="0032048B">
              <w:rPr>
                <w:sz w:val="24"/>
                <w:lang w:val="sq-AL"/>
              </w:rPr>
              <w:t>Në shkurt 2023, u miratua Strategjia e re Kombëtare për Zhvillimin dhe Integrimin evropian 2023-2030. Përgatitjet për strategjitë e reja p</w:t>
            </w:r>
            <w:r w:rsidR="005D3CCC" w:rsidRPr="0032048B">
              <w:rPr>
                <w:sz w:val="24"/>
                <w:lang w:val="sq-AL"/>
              </w:rPr>
              <w:t>ë</w:t>
            </w:r>
            <w:r w:rsidR="008B6479" w:rsidRPr="0032048B">
              <w:rPr>
                <w:sz w:val="24"/>
                <w:lang w:val="sq-AL"/>
              </w:rPr>
              <w:t>r Reformën e Administratës P</w:t>
            </w:r>
            <w:r w:rsidRPr="0032048B">
              <w:rPr>
                <w:sz w:val="24"/>
                <w:lang w:val="sq-AL"/>
              </w:rPr>
              <w:t>ublike (</w:t>
            </w:r>
            <w:r w:rsidR="008B6479" w:rsidRPr="0032048B">
              <w:rPr>
                <w:sz w:val="24"/>
                <w:lang w:val="sq-AL"/>
              </w:rPr>
              <w:t>RAP</w:t>
            </w:r>
            <w:r w:rsidRPr="0032048B">
              <w:rPr>
                <w:sz w:val="24"/>
                <w:lang w:val="sq-AL"/>
              </w:rPr>
              <w:t>) dhe Menaxhimin Financiar Publik (M</w:t>
            </w:r>
            <w:r w:rsidR="008B6479" w:rsidRPr="0032048B">
              <w:rPr>
                <w:sz w:val="24"/>
                <w:lang w:val="sq-AL"/>
              </w:rPr>
              <w:t>FP</w:t>
            </w:r>
            <w:r w:rsidRPr="0032048B">
              <w:rPr>
                <w:sz w:val="24"/>
                <w:lang w:val="sq-AL"/>
              </w:rPr>
              <w:t>) kanë filluar, por ato ende presin t</w:t>
            </w:r>
            <w:r w:rsidR="005D3CCC" w:rsidRPr="0032048B">
              <w:rPr>
                <w:sz w:val="24"/>
                <w:lang w:val="sq-AL"/>
              </w:rPr>
              <w:t>ë</w:t>
            </w:r>
            <w:r w:rsidRPr="0032048B">
              <w:rPr>
                <w:sz w:val="24"/>
                <w:lang w:val="sq-AL"/>
              </w:rPr>
              <w:t xml:space="preserve"> miratohen. Agjenda e re digjitale 2022-2026 u miratua në qershor 2022. Strategjia e re e Decentralizimit 2023-2030 u miratua në prill 2023. Vazhdoi zbatimi i strategjive ekzistuese </w:t>
            </w:r>
            <w:r w:rsidR="008B6479" w:rsidRPr="0032048B">
              <w:rPr>
                <w:sz w:val="24"/>
                <w:lang w:val="sq-AL"/>
              </w:rPr>
              <w:t>RAP</w:t>
            </w:r>
            <w:r w:rsidRPr="0032048B">
              <w:rPr>
                <w:sz w:val="24"/>
                <w:lang w:val="sq-AL"/>
              </w:rPr>
              <w:t xml:space="preserve"> 2015- 2022 dhe </w:t>
            </w:r>
            <w:r w:rsidR="008B6479" w:rsidRPr="0032048B">
              <w:rPr>
                <w:sz w:val="24"/>
                <w:lang w:val="sq-AL"/>
              </w:rPr>
              <w:t>MFP</w:t>
            </w:r>
            <w:r w:rsidRPr="0032048B">
              <w:rPr>
                <w:sz w:val="24"/>
                <w:lang w:val="sq-AL"/>
              </w:rPr>
              <w:t xml:space="preserve"> 2014-2022. Qendra e subjekteve qeveritare pran</w:t>
            </w:r>
            <w:r w:rsidR="005D3CCC" w:rsidRPr="0032048B">
              <w:rPr>
                <w:sz w:val="24"/>
                <w:lang w:val="sq-AL"/>
              </w:rPr>
              <w:t>ë</w:t>
            </w:r>
            <w:r w:rsidRPr="0032048B">
              <w:rPr>
                <w:sz w:val="24"/>
                <w:lang w:val="sq-AL"/>
              </w:rPr>
              <w:t xml:space="preserve"> zyrës s</w:t>
            </w:r>
            <w:r w:rsidR="005D3CCC" w:rsidRPr="0032048B">
              <w:rPr>
                <w:sz w:val="24"/>
                <w:lang w:val="sq-AL"/>
              </w:rPr>
              <w:t>ë</w:t>
            </w:r>
            <w:r w:rsidRPr="0032048B">
              <w:rPr>
                <w:sz w:val="24"/>
                <w:lang w:val="sq-AL"/>
              </w:rPr>
              <w:t xml:space="preserve"> Kryeministrit ka evoluar, por struktura e re pret ende t</w:t>
            </w:r>
            <w:r w:rsidR="005D3CCC" w:rsidRPr="0032048B">
              <w:rPr>
                <w:sz w:val="24"/>
                <w:lang w:val="sq-AL"/>
              </w:rPr>
              <w:t>ë</w:t>
            </w:r>
            <w:r w:rsidRPr="0032048B">
              <w:rPr>
                <w:sz w:val="24"/>
                <w:lang w:val="sq-AL"/>
              </w:rPr>
              <w:t xml:space="preserve"> filloj</w:t>
            </w:r>
            <w:r w:rsidR="005D3CCC" w:rsidRPr="0032048B">
              <w:rPr>
                <w:sz w:val="24"/>
                <w:lang w:val="sq-AL"/>
              </w:rPr>
              <w:t>ë</w:t>
            </w:r>
            <w:r w:rsidRPr="0032048B">
              <w:rPr>
                <w:sz w:val="24"/>
                <w:lang w:val="sq-AL"/>
              </w:rPr>
              <w:t xml:space="preserve"> nga puna. Duhet të krijohet një kornizë legjislative më uniforme me kritere të qarta për ngritjen e strukturave t</w:t>
            </w:r>
            <w:r w:rsidR="005D3CCC" w:rsidRPr="0032048B">
              <w:rPr>
                <w:sz w:val="24"/>
                <w:lang w:val="sq-AL"/>
              </w:rPr>
              <w:t>ë</w:t>
            </w:r>
            <w:r w:rsidRPr="0032048B">
              <w:rPr>
                <w:sz w:val="24"/>
                <w:lang w:val="sq-AL"/>
              </w:rPr>
              <w:t xml:space="preserve"> vart</w:t>
            </w:r>
            <w:r w:rsidR="005D3CCC" w:rsidRPr="0032048B">
              <w:rPr>
                <w:sz w:val="24"/>
                <w:lang w:val="sq-AL"/>
              </w:rPr>
              <w:t>ë</w:t>
            </w:r>
            <w:r w:rsidRPr="0032048B">
              <w:rPr>
                <w:sz w:val="24"/>
                <w:lang w:val="sq-AL"/>
              </w:rPr>
              <w:t>sis</w:t>
            </w:r>
            <w:r w:rsidR="005D3CCC" w:rsidRPr="0032048B">
              <w:rPr>
                <w:sz w:val="24"/>
                <w:lang w:val="sq-AL"/>
              </w:rPr>
              <w:t>ë</w:t>
            </w:r>
            <w:r w:rsidRPr="0032048B">
              <w:rPr>
                <w:sz w:val="24"/>
                <w:lang w:val="sq-AL"/>
              </w:rPr>
              <w:t>. Dispozitat e ligjit p</w:t>
            </w:r>
            <w:r w:rsidR="005D3CCC" w:rsidRPr="0032048B">
              <w:rPr>
                <w:sz w:val="24"/>
                <w:lang w:val="sq-AL"/>
              </w:rPr>
              <w:t>ë</w:t>
            </w:r>
            <w:r w:rsidRPr="0032048B">
              <w:rPr>
                <w:sz w:val="24"/>
                <w:lang w:val="sq-AL"/>
              </w:rPr>
              <w:t>r shërbimit civil lidhur me pun</w:t>
            </w:r>
            <w:r w:rsidR="005D3CCC" w:rsidRPr="0032048B">
              <w:rPr>
                <w:sz w:val="24"/>
                <w:lang w:val="sq-AL"/>
              </w:rPr>
              <w:t>ë</w:t>
            </w:r>
            <w:r w:rsidRPr="0032048B">
              <w:rPr>
                <w:sz w:val="24"/>
                <w:lang w:val="sq-AL"/>
              </w:rPr>
              <w:t>simin</w:t>
            </w:r>
            <w:r w:rsidR="004D53EC">
              <w:rPr>
                <w:sz w:val="24"/>
                <w:lang w:val="sq-AL"/>
              </w:rPr>
              <w:t xml:space="preserve"> </w:t>
            </w:r>
            <w:r w:rsidRPr="0032048B">
              <w:rPr>
                <w:sz w:val="24"/>
                <w:lang w:val="sq-AL"/>
              </w:rPr>
              <w:t xml:space="preserve">bazuar në </w:t>
            </w:r>
            <w:proofErr w:type="spellStart"/>
            <w:r w:rsidRPr="0032048B">
              <w:rPr>
                <w:sz w:val="24"/>
                <w:lang w:val="sq-AL"/>
              </w:rPr>
              <w:t>meritokraci</w:t>
            </w:r>
            <w:proofErr w:type="spellEnd"/>
            <w:r w:rsidRPr="0032048B">
              <w:rPr>
                <w:sz w:val="24"/>
                <w:lang w:val="sq-AL"/>
              </w:rPr>
              <w:t xml:space="preserve"> nuk zbatohen t</w:t>
            </w:r>
            <w:r w:rsidR="005D3CCC" w:rsidRPr="0032048B">
              <w:rPr>
                <w:sz w:val="24"/>
                <w:lang w:val="sq-AL"/>
              </w:rPr>
              <w:t>ë</w:t>
            </w:r>
            <w:r w:rsidRPr="0032048B">
              <w:rPr>
                <w:sz w:val="24"/>
                <w:lang w:val="sq-AL"/>
              </w:rPr>
              <w:t xml:space="preserve"> m</w:t>
            </w:r>
            <w:r w:rsidR="005D3CCC" w:rsidRPr="0032048B">
              <w:rPr>
                <w:sz w:val="24"/>
                <w:lang w:val="sq-AL"/>
              </w:rPr>
              <w:t>ë</w:t>
            </w:r>
            <w:r w:rsidRPr="0032048B">
              <w:rPr>
                <w:sz w:val="24"/>
                <w:lang w:val="sq-AL"/>
              </w:rPr>
              <w:t>nyr</w:t>
            </w:r>
            <w:r w:rsidR="005D3CCC" w:rsidRPr="0032048B">
              <w:rPr>
                <w:sz w:val="24"/>
                <w:lang w:val="sq-AL"/>
              </w:rPr>
              <w:t>ë</w:t>
            </w:r>
            <w:r w:rsidRPr="0032048B">
              <w:rPr>
                <w:sz w:val="24"/>
                <w:lang w:val="sq-AL"/>
              </w:rPr>
              <w:t xml:space="preserve"> t</w:t>
            </w:r>
            <w:r w:rsidR="005D3CCC" w:rsidRPr="0032048B">
              <w:rPr>
                <w:sz w:val="24"/>
                <w:lang w:val="sq-AL"/>
              </w:rPr>
              <w:t>ë</w:t>
            </w:r>
            <w:r w:rsidRPr="0032048B">
              <w:rPr>
                <w:sz w:val="24"/>
                <w:lang w:val="sq-AL"/>
              </w:rPr>
              <w:t xml:space="preserve"> rregullt, veçanërisht për pozicionet e nivelit të lartë. Në vitin 2023 u iniciua një reformë pagash,</w:t>
            </w:r>
            <w:r w:rsidR="004D53EC">
              <w:rPr>
                <w:sz w:val="24"/>
                <w:lang w:val="sq-AL"/>
              </w:rPr>
              <w:t xml:space="preserve"> </w:t>
            </w:r>
            <w:r w:rsidRPr="0032048B">
              <w:rPr>
                <w:sz w:val="24"/>
                <w:lang w:val="sq-AL"/>
              </w:rPr>
              <w:t>por kjo reform</w:t>
            </w:r>
            <w:r w:rsidR="005D3CCC" w:rsidRPr="0032048B">
              <w:rPr>
                <w:sz w:val="24"/>
                <w:lang w:val="sq-AL"/>
              </w:rPr>
              <w:t>ë</w:t>
            </w:r>
            <w:r w:rsidRPr="0032048B">
              <w:rPr>
                <w:sz w:val="24"/>
                <w:lang w:val="sq-AL"/>
              </w:rPr>
              <w:t xml:space="preserve"> nu</w:t>
            </w:r>
            <w:r w:rsidR="002402C2" w:rsidRPr="0032048B">
              <w:rPr>
                <w:sz w:val="24"/>
                <w:lang w:val="sq-AL"/>
              </w:rPr>
              <w:t>k</w:t>
            </w:r>
            <w:r w:rsidRPr="0032048B">
              <w:rPr>
                <w:sz w:val="24"/>
                <w:lang w:val="sq-AL"/>
              </w:rPr>
              <w:t xml:space="preserve"> zgjidh plotësisht </w:t>
            </w:r>
            <w:proofErr w:type="spellStart"/>
            <w:r w:rsidRPr="0032048B">
              <w:rPr>
                <w:sz w:val="24"/>
                <w:lang w:val="sq-AL"/>
              </w:rPr>
              <w:t>kompleksitetin</w:t>
            </w:r>
            <w:proofErr w:type="spellEnd"/>
            <w:r w:rsidRPr="0032048B">
              <w:rPr>
                <w:sz w:val="24"/>
                <w:lang w:val="sq-AL"/>
              </w:rPr>
              <w:t xml:space="preserve"> e strukturës së pagave, ose rolin e kufizuar të </w:t>
            </w:r>
            <w:proofErr w:type="spellStart"/>
            <w:r w:rsidRPr="0032048B">
              <w:rPr>
                <w:sz w:val="24"/>
                <w:lang w:val="sq-AL"/>
              </w:rPr>
              <w:t>performancës</w:t>
            </w:r>
            <w:proofErr w:type="spellEnd"/>
            <w:r w:rsidRPr="0032048B">
              <w:rPr>
                <w:sz w:val="24"/>
                <w:lang w:val="sq-AL"/>
              </w:rPr>
              <w:t xml:space="preserve">. Progresi në zbatimin e sistemit të automatizuar të pagave </w:t>
            </w:r>
            <w:r w:rsidR="005D3CCC" w:rsidRPr="0032048B">
              <w:rPr>
                <w:sz w:val="24"/>
                <w:lang w:val="sq-AL"/>
              </w:rPr>
              <w:t>ë</w:t>
            </w:r>
            <w:r w:rsidRPr="0032048B">
              <w:rPr>
                <w:sz w:val="24"/>
                <w:lang w:val="sq-AL"/>
              </w:rPr>
              <w:t>sht</w:t>
            </w:r>
            <w:r w:rsidR="005D3CCC" w:rsidRPr="0032048B">
              <w:rPr>
                <w:sz w:val="24"/>
                <w:lang w:val="sq-AL"/>
              </w:rPr>
              <w:t>ë</w:t>
            </w:r>
            <w:r w:rsidRPr="0032048B">
              <w:rPr>
                <w:sz w:val="24"/>
                <w:lang w:val="sq-AL"/>
              </w:rPr>
              <w:t xml:space="preserve"> bllokuar. Jan</w:t>
            </w:r>
            <w:r w:rsidR="005D3CCC" w:rsidRPr="0032048B">
              <w:rPr>
                <w:sz w:val="24"/>
                <w:lang w:val="sq-AL"/>
              </w:rPr>
              <w:t>ë</w:t>
            </w:r>
            <w:r w:rsidRPr="0032048B">
              <w:rPr>
                <w:sz w:val="24"/>
                <w:lang w:val="sq-AL"/>
              </w:rPr>
              <w:t xml:space="preserve"> bërë përpjekje dometh</w:t>
            </w:r>
            <w:r w:rsidR="005D3CCC" w:rsidRPr="0032048B">
              <w:rPr>
                <w:sz w:val="24"/>
                <w:lang w:val="sq-AL"/>
              </w:rPr>
              <w:t>ë</w:t>
            </w:r>
            <w:r w:rsidRPr="0032048B">
              <w:rPr>
                <w:sz w:val="24"/>
                <w:lang w:val="sq-AL"/>
              </w:rPr>
              <w:t>n</w:t>
            </w:r>
            <w:r w:rsidR="005D3CCC" w:rsidRPr="0032048B">
              <w:rPr>
                <w:sz w:val="24"/>
                <w:lang w:val="sq-AL"/>
              </w:rPr>
              <w:t>ë</w:t>
            </w:r>
            <w:r w:rsidRPr="0032048B">
              <w:rPr>
                <w:sz w:val="24"/>
                <w:lang w:val="sq-AL"/>
              </w:rPr>
              <w:t>se për digjitalizimin e ofrimit të shërbimeve përmes platformës e-Albania. Kjo u shoqërua me mbylljen e zyrave t</w:t>
            </w:r>
            <w:r w:rsidR="005D3CCC" w:rsidRPr="0032048B">
              <w:rPr>
                <w:sz w:val="24"/>
                <w:lang w:val="sq-AL"/>
              </w:rPr>
              <w:t>ë</w:t>
            </w:r>
            <w:r w:rsidRPr="0032048B">
              <w:rPr>
                <w:sz w:val="24"/>
                <w:lang w:val="sq-AL"/>
              </w:rPr>
              <w:t xml:space="preserve"> pritjes s</w:t>
            </w:r>
            <w:r w:rsidR="005D3CCC" w:rsidRPr="0032048B">
              <w:rPr>
                <w:sz w:val="24"/>
                <w:lang w:val="sq-AL"/>
              </w:rPr>
              <w:t>ë</w:t>
            </w:r>
            <w:r w:rsidRPr="0032048B">
              <w:rPr>
                <w:sz w:val="24"/>
                <w:lang w:val="sq-AL"/>
              </w:rPr>
              <w:t xml:space="preserve"> publikut n</w:t>
            </w:r>
            <w:r w:rsidR="005D3CCC" w:rsidRPr="0032048B">
              <w:rPr>
                <w:sz w:val="24"/>
                <w:lang w:val="sq-AL"/>
              </w:rPr>
              <w:t>ë</w:t>
            </w:r>
            <w:r w:rsidRPr="0032048B">
              <w:rPr>
                <w:sz w:val="24"/>
                <w:lang w:val="sq-AL"/>
              </w:rPr>
              <w:t xml:space="preserve"> 2022, </w:t>
            </w:r>
            <w:r w:rsidR="002402C2" w:rsidRPr="0032048B">
              <w:rPr>
                <w:sz w:val="24"/>
                <w:lang w:val="sq-AL"/>
              </w:rPr>
              <w:t>çka</w:t>
            </w:r>
            <w:r w:rsidRPr="0032048B">
              <w:rPr>
                <w:sz w:val="24"/>
                <w:lang w:val="sq-AL"/>
              </w:rPr>
              <w:t xml:space="preserve"> ngriti shqetësime për qasjen në shërbime t</w:t>
            </w:r>
            <w:r w:rsidR="005D3CCC" w:rsidRPr="0032048B">
              <w:rPr>
                <w:sz w:val="24"/>
                <w:lang w:val="sq-AL"/>
              </w:rPr>
              <w:t>ë</w:t>
            </w:r>
            <w:r w:rsidRPr="0032048B">
              <w:rPr>
                <w:sz w:val="24"/>
                <w:lang w:val="sq-AL"/>
              </w:rPr>
              <w:t xml:space="preserve"> qytetarëve </w:t>
            </w:r>
            <w:proofErr w:type="spellStart"/>
            <w:r w:rsidRPr="0032048B">
              <w:rPr>
                <w:sz w:val="24"/>
                <w:lang w:val="sq-AL"/>
              </w:rPr>
              <w:t>vulnerab</w:t>
            </w:r>
            <w:r w:rsidR="005D3CCC" w:rsidRPr="0032048B">
              <w:rPr>
                <w:sz w:val="24"/>
                <w:lang w:val="sq-AL"/>
              </w:rPr>
              <w:t>ë</w:t>
            </w:r>
            <w:r w:rsidRPr="0032048B">
              <w:rPr>
                <w:sz w:val="24"/>
                <w:lang w:val="sq-AL"/>
              </w:rPr>
              <w:t>l</w:t>
            </w:r>
            <w:proofErr w:type="spellEnd"/>
            <w:r w:rsidRPr="0032048B">
              <w:rPr>
                <w:sz w:val="24"/>
                <w:lang w:val="sq-AL"/>
              </w:rPr>
              <w:t xml:space="preserve"> dhe atyre m</w:t>
            </w:r>
            <w:r w:rsidR="005D3CCC" w:rsidRPr="0032048B">
              <w:rPr>
                <w:sz w:val="24"/>
                <w:lang w:val="sq-AL"/>
              </w:rPr>
              <w:t>ë</w:t>
            </w:r>
            <w:r w:rsidRPr="0032048B">
              <w:rPr>
                <w:sz w:val="24"/>
                <w:lang w:val="sq-AL"/>
              </w:rPr>
              <w:t xml:space="preserve"> pak t</w:t>
            </w:r>
            <w:r w:rsidR="005D3CCC" w:rsidRPr="0032048B">
              <w:rPr>
                <w:sz w:val="24"/>
                <w:lang w:val="sq-AL"/>
              </w:rPr>
              <w:t>ë</w:t>
            </w:r>
            <w:r w:rsidRPr="0032048B">
              <w:rPr>
                <w:sz w:val="24"/>
                <w:lang w:val="sq-AL"/>
              </w:rPr>
              <w:t xml:space="preserve"> aft</w:t>
            </w:r>
            <w:r w:rsidR="005D3CCC" w:rsidRPr="0032048B">
              <w:rPr>
                <w:sz w:val="24"/>
                <w:lang w:val="sq-AL"/>
              </w:rPr>
              <w:t>ë</w:t>
            </w:r>
            <w:r w:rsidRPr="0032048B">
              <w:rPr>
                <w:sz w:val="24"/>
                <w:lang w:val="sq-AL"/>
              </w:rPr>
              <w:t xml:space="preserve"> n</w:t>
            </w:r>
            <w:r w:rsidR="005D3CCC" w:rsidRPr="0032048B">
              <w:rPr>
                <w:sz w:val="24"/>
                <w:lang w:val="sq-AL"/>
              </w:rPr>
              <w:t>ë</w:t>
            </w:r>
            <w:r w:rsidRPr="0032048B">
              <w:rPr>
                <w:sz w:val="24"/>
                <w:lang w:val="sq-AL"/>
              </w:rPr>
              <w:t xml:space="preserve"> fush</w:t>
            </w:r>
            <w:r w:rsidR="005D3CCC" w:rsidRPr="0032048B">
              <w:rPr>
                <w:sz w:val="24"/>
                <w:lang w:val="sq-AL"/>
              </w:rPr>
              <w:t>ë</w:t>
            </w:r>
            <w:r w:rsidRPr="0032048B">
              <w:rPr>
                <w:sz w:val="24"/>
                <w:lang w:val="sq-AL"/>
              </w:rPr>
              <w:t>n digjitale. Po shqyrtohet mund</w:t>
            </w:r>
            <w:r w:rsidR="005D3CCC" w:rsidRPr="0032048B">
              <w:rPr>
                <w:sz w:val="24"/>
                <w:lang w:val="sq-AL"/>
              </w:rPr>
              <w:t>ë</w:t>
            </w:r>
            <w:r w:rsidRPr="0032048B">
              <w:rPr>
                <w:sz w:val="24"/>
                <w:lang w:val="sq-AL"/>
              </w:rPr>
              <w:t>sia e rihapjes s</w:t>
            </w:r>
            <w:r w:rsidR="005D3CCC" w:rsidRPr="0032048B">
              <w:rPr>
                <w:sz w:val="24"/>
                <w:lang w:val="sq-AL"/>
              </w:rPr>
              <w:t>ë</w:t>
            </w:r>
            <w:r w:rsidRPr="0032048B">
              <w:rPr>
                <w:sz w:val="24"/>
                <w:lang w:val="sq-AL"/>
              </w:rPr>
              <w:t xml:space="preserve"> disa prej sporteleve p</w:t>
            </w:r>
            <w:r w:rsidR="005D3CCC" w:rsidRPr="0032048B">
              <w:rPr>
                <w:sz w:val="24"/>
                <w:lang w:val="sq-AL"/>
              </w:rPr>
              <w:t>ë</w:t>
            </w:r>
            <w:r w:rsidRPr="0032048B">
              <w:rPr>
                <w:sz w:val="24"/>
                <w:lang w:val="sq-AL"/>
              </w:rPr>
              <w:t>r qytetar</w:t>
            </w:r>
            <w:r w:rsidR="005D3CCC" w:rsidRPr="0032048B">
              <w:rPr>
                <w:sz w:val="24"/>
                <w:lang w:val="sq-AL"/>
              </w:rPr>
              <w:t>ë</w:t>
            </w:r>
            <w:r w:rsidRPr="0032048B">
              <w:rPr>
                <w:sz w:val="24"/>
                <w:lang w:val="sq-AL"/>
              </w:rPr>
              <w:t>t, krahas vazhdimit t</w:t>
            </w:r>
            <w:r w:rsidR="005D3CCC" w:rsidRPr="0032048B">
              <w:rPr>
                <w:sz w:val="24"/>
                <w:lang w:val="sq-AL"/>
              </w:rPr>
              <w:t>ë</w:t>
            </w:r>
            <w:r w:rsidRPr="0032048B">
              <w:rPr>
                <w:sz w:val="24"/>
                <w:lang w:val="sq-AL"/>
              </w:rPr>
              <w:t xml:space="preserve"> përpjekjeve për të përmirësuar përvojën e përdoruesit të portalit në internet. Përpjekje të mëtejshme janë të nevojshme për të siguruar qasje të barabartë në shërbime për njerëzit me aftësi të kufizuara digjitale ose me qasje të kufizuar në pajisjet e TI-s</w:t>
            </w:r>
            <w:r w:rsidR="005D3CCC" w:rsidRPr="0032048B">
              <w:rPr>
                <w:sz w:val="24"/>
                <w:lang w:val="sq-AL"/>
              </w:rPr>
              <w:t>ë</w:t>
            </w:r>
            <w:r w:rsidRPr="0032048B">
              <w:rPr>
                <w:sz w:val="24"/>
                <w:lang w:val="sq-AL"/>
              </w:rPr>
              <w:t>. Duhet t</w:t>
            </w:r>
            <w:r w:rsidR="005D3CCC" w:rsidRPr="0032048B">
              <w:rPr>
                <w:sz w:val="24"/>
                <w:lang w:val="sq-AL"/>
              </w:rPr>
              <w:t>ë</w:t>
            </w:r>
            <w:r w:rsidRPr="0032048B">
              <w:rPr>
                <w:sz w:val="24"/>
                <w:lang w:val="sq-AL"/>
              </w:rPr>
              <w:t xml:space="preserve"> shtohet v</w:t>
            </w:r>
            <w:r w:rsidR="005D3CCC" w:rsidRPr="0032048B">
              <w:rPr>
                <w:sz w:val="24"/>
                <w:lang w:val="sq-AL"/>
              </w:rPr>
              <w:t>ë</w:t>
            </w:r>
            <w:r w:rsidRPr="0032048B">
              <w:rPr>
                <w:sz w:val="24"/>
                <w:lang w:val="sq-AL"/>
              </w:rPr>
              <w:t>mendja ndaj sigurisë digjitale dhe mbrojtjes s</w:t>
            </w:r>
            <w:r w:rsidR="005D3CCC" w:rsidRPr="0032048B">
              <w:rPr>
                <w:sz w:val="24"/>
                <w:lang w:val="sq-AL"/>
              </w:rPr>
              <w:t>ë</w:t>
            </w:r>
            <w:r w:rsidRPr="0032048B">
              <w:rPr>
                <w:sz w:val="24"/>
                <w:lang w:val="sq-AL"/>
              </w:rPr>
              <w:t xml:space="preserve"> të dhënave personale. Rekomandimet e Komisionit 2022 mbeten të vlefshme n</w:t>
            </w:r>
            <w:r w:rsidR="005D3CCC" w:rsidRPr="0032048B">
              <w:rPr>
                <w:sz w:val="24"/>
                <w:lang w:val="sq-AL"/>
              </w:rPr>
              <w:t>ë</w:t>
            </w:r>
            <w:r w:rsidRPr="0032048B">
              <w:rPr>
                <w:sz w:val="24"/>
                <w:lang w:val="sq-AL"/>
              </w:rPr>
              <w:t xml:space="preserve"> shumic</w:t>
            </w:r>
            <w:r w:rsidR="005D3CCC" w:rsidRPr="0032048B">
              <w:rPr>
                <w:sz w:val="24"/>
                <w:lang w:val="sq-AL"/>
              </w:rPr>
              <w:t>ë</w:t>
            </w:r>
            <w:r w:rsidRPr="0032048B">
              <w:rPr>
                <w:sz w:val="24"/>
                <w:lang w:val="sq-AL"/>
              </w:rPr>
              <w:t>n e tyre. Në vitin e ardhshëm, Shqipëria duhet, në veçanti t</w:t>
            </w:r>
            <w:r w:rsidR="005D3CCC" w:rsidRPr="0032048B">
              <w:rPr>
                <w:sz w:val="24"/>
                <w:lang w:val="sq-AL"/>
              </w:rPr>
              <w:t>ë</w:t>
            </w:r>
            <w:r w:rsidRPr="0032048B">
              <w:rPr>
                <w:sz w:val="24"/>
                <w:lang w:val="sq-AL"/>
              </w:rPr>
              <w:t>:</w:t>
            </w:r>
          </w:p>
          <w:p w14:paraId="1F205D0A" w14:textId="76DE9939" w:rsidR="00380775" w:rsidRPr="0032048B" w:rsidRDefault="00380775" w:rsidP="00520FFA">
            <w:pPr>
              <w:ind w:left="270" w:right="195"/>
              <w:jc w:val="both"/>
              <w:rPr>
                <w:sz w:val="24"/>
                <w:lang w:val="sq-AL"/>
              </w:rPr>
            </w:pPr>
            <w:r w:rsidRPr="0032048B">
              <w:rPr>
                <w:rFonts w:ascii="Symbol" w:hAnsi="Symbol"/>
                <w:sz w:val="24"/>
                <w:lang w:val="sq-AL"/>
              </w:rPr>
              <w:t></w:t>
            </w:r>
            <w:r w:rsidRPr="0032048B">
              <w:rPr>
                <w:rFonts w:ascii="Symbol" w:hAnsi="Symbol"/>
                <w:sz w:val="24"/>
                <w:lang w:val="sq-AL"/>
              </w:rPr>
              <w:t></w:t>
            </w:r>
            <w:r w:rsidRPr="0032048B">
              <w:rPr>
                <w:sz w:val="24"/>
                <w:lang w:val="sq-AL"/>
              </w:rPr>
              <w:t>hartoj</w:t>
            </w:r>
            <w:r w:rsidR="005D3CCC" w:rsidRPr="0032048B">
              <w:rPr>
                <w:sz w:val="24"/>
                <w:lang w:val="sq-AL"/>
              </w:rPr>
              <w:t>ë</w:t>
            </w:r>
            <w:r w:rsidRPr="0032048B">
              <w:rPr>
                <w:sz w:val="24"/>
                <w:lang w:val="sq-AL"/>
              </w:rPr>
              <w:t xml:space="preserve"> një kornizë legjislative që rregullon siç duhet tipologjinë dhe kriteret për ngritjen e organeve të vart</w:t>
            </w:r>
            <w:r w:rsidR="005D3CCC" w:rsidRPr="0032048B">
              <w:rPr>
                <w:sz w:val="24"/>
                <w:lang w:val="sq-AL"/>
              </w:rPr>
              <w:t>ë</w:t>
            </w:r>
            <w:r w:rsidRPr="0032048B">
              <w:rPr>
                <w:sz w:val="24"/>
                <w:lang w:val="sq-AL"/>
              </w:rPr>
              <w:t>sis</w:t>
            </w:r>
            <w:r w:rsidR="005D3CCC" w:rsidRPr="0032048B">
              <w:rPr>
                <w:sz w:val="24"/>
                <w:lang w:val="sq-AL"/>
              </w:rPr>
              <w:t>ë</w:t>
            </w:r>
            <w:r w:rsidRPr="0032048B">
              <w:rPr>
                <w:sz w:val="24"/>
                <w:lang w:val="sq-AL"/>
              </w:rPr>
              <w:t xml:space="preserve"> dhe sqaron linjat e raportimit/përgjegjësisë;</w:t>
            </w:r>
          </w:p>
          <w:p w14:paraId="379E06F9" w14:textId="77777777" w:rsidR="00380775" w:rsidRPr="0032048B" w:rsidRDefault="00380775" w:rsidP="00520FFA">
            <w:pPr>
              <w:ind w:left="270" w:right="195"/>
              <w:jc w:val="both"/>
              <w:rPr>
                <w:sz w:val="24"/>
                <w:lang w:val="sq-AL"/>
              </w:rPr>
            </w:pPr>
          </w:p>
          <w:p w14:paraId="447E5D17" w14:textId="44C7DF63" w:rsidR="00380775" w:rsidRPr="0032048B" w:rsidRDefault="00380775" w:rsidP="00520FFA">
            <w:pPr>
              <w:ind w:left="270" w:right="195"/>
              <w:jc w:val="both"/>
              <w:rPr>
                <w:sz w:val="24"/>
                <w:lang w:val="sq-AL"/>
              </w:rPr>
            </w:pPr>
            <w:r w:rsidRPr="0032048B">
              <w:rPr>
                <w:rFonts w:ascii="Symbol" w:hAnsi="Symbol"/>
                <w:sz w:val="24"/>
                <w:lang w:val="sq-AL"/>
              </w:rPr>
              <w:t></w:t>
            </w:r>
            <w:r w:rsidRPr="0032048B">
              <w:rPr>
                <w:rFonts w:ascii="Symbol" w:hAnsi="Symbol"/>
                <w:sz w:val="24"/>
                <w:lang w:val="sq-AL"/>
              </w:rPr>
              <w:t></w:t>
            </w:r>
            <w:r w:rsidRPr="0032048B">
              <w:rPr>
                <w:sz w:val="24"/>
                <w:lang w:val="sq-AL"/>
              </w:rPr>
              <w:t>miratoj</w:t>
            </w:r>
            <w:r w:rsidR="005D3CCC" w:rsidRPr="0032048B">
              <w:rPr>
                <w:sz w:val="24"/>
                <w:lang w:val="sq-AL"/>
              </w:rPr>
              <w:t>ë</w:t>
            </w:r>
            <w:r w:rsidRPr="0032048B">
              <w:rPr>
                <w:sz w:val="24"/>
                <w:lang w:val="sq-AL"/>
              </w:rPr>
              <w:t xml:space="preserve"> dhe filloj</w:t>
            </w:r>
            <w:r w:rsidR="005D3CCC" w:rsidRPr="0032048B">
              <w:rPr>
                <w:sz w:val="24"/>
                <w:lang w:val="sq-AL"/>
              </w:rPr>
              <w:t>ë</w:t>
            </w:r>
            <w:r w:rsidRPr="0032048B">
              <w:rPr>
                <w:sz w:val="24"/>
                <w:lang w:val="sq-AL"/>
              </w:rPr>
              <w:t xml:space="preserve"> zbatimin e strategjive t</w:t>
            </w:r>
            <w:r w:rsidR="005D3CCC" w:rsidRPr="0032048B">
              <w:rPr>
                <w:sz w:val="24"/>
                <w:lang w:val="sq-AL"/>
              </w:rPr>
              <w:t>ë</w:t>
            </w:r>
            <w:r w:rsidRPr="0032048B">
              <w:rPr>
                <w:sz w:val="24"/>
                <w:lang w:val="sq-AL"/>
              </w:rPr>
              <w:t xml:space="preserve"> reja p</w:t>
            </w:r>
            <w:r w:rsidR="005D3CCC" w:rsidRPr="0032048B">
              <w:rPr>
                <w:sz w:val="24"/>
                <w:lang w:val="sq-AL"/>
              </w:rPr>
              <w:t>ë</w:t>
            </w:r>
            <w:r w:rsidRPr="0032048B">
              <w:rPr>
                <w:sz w:val="24"/>
                <w:lang w:val="sq-AL"/>
              </w:rPr>
              <w:t>r administratës publike dhe ë menaxhimit financiar publik, dhe t</w:t>
            </w:r>
            <w:r w:rsidR="005D3CCC" w:rsidRPr="0032048B">
              <w:rPr>
                <w:sz w:val="24"/>
                <w:lang w:val="sq-AL"/>
              </w:rPr>
              <w:t>ë</w:t>
            </w:r>
            <w:r w:rsidRPr="0032048B">
              <w:rPr>
                <w:sz w:val="24"/>
                <w:lang w:val="sq-AL"/>
              </w:rPr>
              <w:t xml:space="preserve"> rishikoj</w:t>
            </w:r>
            <w:r w:rsidR="005D3CCC" w:rsidRPr="0032048B">
              <w:rPr>
                <w:sz w:val="24"/>
                <w:lang w:val="sq-AL"/>
              </w:rPr>
              <w:t>ë</w:t>
            </w:r>
            <w:r w:rsidRPr="0032048B">
              <w:rPr>
                <w:sz w:val="24"/>
                <w:lang w:val="sq-AL"/>
              </w:rPr>
              <w:t xml:space="preserve"> efektivitetin e strukturave </w:t>
            </w:r>
            <w:r w:rsidR="002402C2" w:rsidRPr="0032048B">
              <w:rPr>
                <w:sz w:val="24"/>
                <w:lang w:val="sq-AL"/>
              </w:rPr>
              <w:t>ekzistuese</w:t>
            </w:r>
            <w:r w:rsidRPr="0032048B">
              <w:rPr>
                <w:sz w:val="24"/>
                <w:lang w:val="sq-AL"/>
              </w:rPr>
              <w:t xml:space="preserve"> të monitorimit;</w:t>
            </w:r>
          </w:p>
          <w:p w14:paraId="3EC62501" w14:textId="77777777" w:rsidR="00380775" w:rsidRPr="0032048B" w:rsidRDefault="00380775" w:rsidP="00520FFA">
            <w:pPr>
              <w:ind w:left="270" w:right="195"/>
              <w:jc w:val="both"/>
              <w:rPr>
                <w:sz w:val="24"/>
                <w:lang w:val="sq-AL"/>
              </w:rPr>
            </w:pPr>
          </w:p>
          <w:p w14:paraId="5286758C" w14:textId="6E12B70F" w:rsidR="00380775" w:rsidRPr="0032048B" w:rsidRDefault="00380775" w:rsidP="00520FFA">
            <w:pPr>
              <w:ind w:left="270" w:right="195"/>
              <w:jc w:val="both"/>
              <w:rPr>
                <w:sz w:val="24"/>
                <w:lang w:val="sq-AL"/>
              </w:rPr>
            </w:pPr>
            <w:r w:rsidRPr="0032048B">
              <w:rPr>
                <w:rFonts w:ascii="Symbol" w:hAnsi="Symbol"/>
                <w:sz w:val="24"/>
                <w:lang w:val="sq-AL"/>
              </w:rPr>
              <w:t></w:t>
            </w:r>
            <w:r w:rsidRPr="0032048B">
              <w:rPr>
                <w:sz w:val="24"/>
                <w:lang w:val="sq-AL"/>
              </w:rPr>
              <w:t xml:space="preserve"> zbatoj</w:t>
            </w:r>
            <w:r w:rsidR="005D3CCC" w:rsidRPr="0032048B">
              <w:rPr>
                <w:sz w:val="24"/>
                <w:lang w:val="sq-AL"/>
              </w:rPr>
              <w:t>ë</w:t>
            </w:r>
            <w:r w:rsidRPr="0032048B">
              <w:rPr>
                <w:sz w:val="24"/>
                <w:lang w:val="sq-AL"/>
              </w:rPr>
              <w:t xml:space="preserve"> n</w:t>
            </w:r>
            <w:r w:rsidR="005D3CCC" w:rsidRPr="0032048B">
              <w:rPr>
                <w:sz w:val="24"/>
                <w:lang w:val="sq-AL"/>
              </w:rPr>
              <w:t>ë</w:t>
            </w:r>
            <w:r w:rsidRPr="0032048B">
              <w:rPr>
                <w:sz w:val="24"/>
                <w:lang w:val="sq-AL"/>
              </w:rPr>
              <w:t xml:space="preserve"> vijim</w:t>
            </w:r>
            <w:r w:rsidR="005D3CCC" w:rsidRPr="0032048B">
              <w:rPr>
                <w:sz w:val="24"/>
                <w:lang w:val="sq-AL"/>
              </w:rPr>
              <w:t>ë</w:t>
            </w:r>
            <w:r w:rsidRPr="0032048B">
              <w:rPr>
                <w:sz w:val="24"/>
                <w:lang w:val="sq-AL"/>
              </w:rPr>
              <w:t>si dhe në mënyrë efektive dispozitat e ligjit p</w:t>
            </w:r>
            <w:r w:rsidR="005D3CCC" w:rsidRPr="0032048B">
              <w:rPr>
                <w:sz w:val="24"/>
                <w:lang w:val="sq-AL"/>
              </w:rPr>
              <w:t>ë</w:t>
            </w:r>
            <w:r w:rsidRPr="0032048B">
              <w:rPr>
                <w:sz w:val="24"/>
                <w:lang w:val="sq-AL"/>
              </w:rPr>
              <w:t>r shërbimin civil p</w:t>
            </w:r>
            <w:r w:rsidR="005D3CCC" w:rsidRPr="0032048B">
              <w:rPr>
                <w:sz w:val="24"/>
                <w:lang w:val="sq-AL"/>
              </w:rPr>
              <w:t>ë</w:t>
            </w:r>
            <w:r w:rsidRPr="0032048B">
              <w:rPr>
                <w:sz w:val="24"/>
                <w:lang w:val="sq-AL"/>
              </w:rPr>
              <w:t>r pun</w:t>
            </w:r>
            <w:r w:rsidR="005D3CCC" w:rsidRPr="0032048B">
              <w:rPr>
                <w:sz w:val="24"/>
                <w:lang w:val="sq-AL"/>
              </w:rPr>
              <w:t>ë</w:t>
            </w:r>
            <w:r w:rsidRPr="0032048B">
              <w:rPr>
                <w:sz w:val="24"/>
                <w:lang w:val="sq-AL"/>
              </w:rPr>
              <w:t xml:space="preserve">simin e bazuar në meritë, promovimin dhe pushimin nga puna në të gjitha nivelet, </w:t>
            </w:r>
            <w:r w:rsidRPr="0032048B">
              <w:rPr>
                <w:sz w:val="24"/>
                <w:lang w:val="sq-AL"/>
              </w:rPr>
              <w:lastRenderedPageBreak/>
              <w:t>veçanërisht në nivelin e lartë; t</w:t>
            </w:r>
            <w:r w:rsidR="005D3CCC" w:rsidRPr="0032048B">
              <w:rPr>
                <w:sz w:val="24"/>
                <w:lang w:val="sq-AL"/>
              </w:rPr>
              <w:t>ë</w:t>
            </w:r>
            <w:r w:rsidRPr="0032048B">
              <w:rPr>
                <w:sz w:val="24"/>
                <w:lang w:val="sq-AL"/>
              </w:rPr>
              <w:t xml:space="preserve"> vazhdoj</w:t>
            </w:r>
            <w:r w:rsidR="005D3CCC" w:rsidRPr="0032048B">
              <w:rPr>
                <w:sz w:val="24"/>
                <w:lang w:val="sq-AL"/>
              </w:rPr>
              <w:t>ë</w:t>
            </w:r>
            <w:r w:rsidRPr="0032048B">
              <w:rPr>
                <w:sz w:val="24"/>
                <w:lang w:val="sq-AL"/>
              </w:rPr>
              <w:t xml:space="preserve"> reformën e sistemit të pagave për nëpunësit civilë dhe ri-filloj</w:t>
            </w:r>
            <w:r w:rsidR="005D3CCC" w:rsidRPr="0032048B">
              <w:rPr>
                <w:sz w:val="24"/>
                <w:lang w:val="sq-AL"/>
              </w:rPr>
              <w:t>ë</w:t>
            </w:r>
            <w:r w:rsidRPr="0032048B">
              <w:rPr>
                <w:sz w:val="24"/>
                <w:lang w:val="sq-AL"/>
              </w:rPr>
              <w:t xml:space="preserve"> automatizimin e sistemit të pagave. </w:t>
            </w:r>
          </w:p>
        </w:tc>
      </w:tr>
    </w:tbl>
    <w:p w14:paraId="58B6D05C" w14:textId="77777777" w:rsidR="00380775" w:rsidRPr="0032048B" w:rsidRDefault="00380775" w:rsidP="00361D5A">
      <w:pPr>
        <w:tabs>
          <w:tab w:val="left" w:pos="1134"/>
        </w:tabs>
        <w:spacing w:before="121"/>
        <w:ind w:left="993" w:right="1067"/>
        <w:jc w:val="both"/>
        <w:rPr>
          <w:sz w:val="24"/>
          <w:szCs w:val="24"/>
          <w:lang w:val="sq-AL"/>
        </w:rPr>
      </w:pPr>
      <w:r w:rsidRPr="0032048B">
        <w:rPr>
          <w:sz w:val="24"/>
          <w:szCs w:val="24"/>
          <w:u w:val="single"/>
          <w:lang w:val="sq-AL"/>
        </w:rPr>
        <w:lastRenderedPageBreak/>
        <w:t>Kuadri strategjik për reformën e administratës publike</w:t>
      </w:r>
    </w:p>
    <w:p w14:paraId="78643D60" w14:textId="6E4A7DE4"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 xml:space="preserve">Qeverisja e mirë </w:t>
      </w:r>
      <w:r w:rsidR="005D3CCC" w:rsidRPr="0032048B">
        <w:rPr>
          <w:sz w:val="24"/>
          <w:szCs w:val="24"/>
          <w:lang w:val="sq-AL"/>
        </w:rPr>
        <w:t>ë</w:t>
      </w:r>
      <w:r w:rsidRPr="0032048B">
        <w:rPr>
          <w:sz w:val="24"/>
          <w:szCs w:val="24"/>
          <w:lang w:val="sq-AL"/>
        </w:rPr>
        <w:t>sht</w:t>
      </w:r>
      <w:r w:rsidR="005D3CCC" w:rsidRPr="0032048B">
        <w:rPr>
          <w:sz w:val="24"/>
          <w:szCs w:val="24"/>
          <w:lang w:val="sq-AL"/>
        </w:rPr>
        <w:t>ë</w:t>
      </w:r>
      <w:r w:rsidRPr="0032048B">
        <w:rPr>
          <w:sz w:val="24"/>
          <w:szCs w:val="24"/>
          <w:lang w:val="sq-AL"/>
        </w:rPr>
        <w:t xml:space="preserve"> objekt i Strategjisë Kombëtare të miratuar </w:t>
      </w:r>
      <w:r w:rsidR="002402C2" w:rsidRPr="0032048B">
        <w:rPr>
          <w:sz w:val="24"/>
          <w:szCs w:val="24"/>
          <w:lang w:val="sq-AL"/>
        </w:rPr>
        <w:t>rishtazi</w:t>
      </w:r>
      <w:r w:rsidRPr="0032048B">
        <w:rPr>
          <w:sz w:val="24"/>
          <w:szCs w:val="24"/>
          <w:lang w:val="sq-AL"/>
        </w:rPr>
        <w:t xml:space="preserve"> për Zhvillimin dhe Integrimin Evropian për periudh</w:t>
      </w:r>
      <w:r w:rsidR="005D3CCC" w:rsidRPr="0032048B">
        <w:rPr>
          <w:sz w:val="24"/>
          <w:szCs w:val="24"/>
          <w:lang w:val="sq-AL"/>
        </w:rPr>
        <w:t>ë</w:t>
      </w:r>
      <w:r w:rsidRPr="0032048B">
        <w:rPr>
          <w:sz w:val="24"/>
          <w:szCs w:val="24"/>
          <w:lang w:val="sq-AL"/>
        </w:rPr>
        <w:t>n 2023-2030. Qeveria ka b</w:t>
      </w:r>
      <w:r w:rsidR="005D3CCC" w:rsidRPr="0032048B">
        <w:rPr>
          <w:sz w:val="24"/>
          <w:szCs w:val="24"/>
          <w:lang w:val="sq-AL"/>
        </w:rPr>
        <w:t>ë</w:t>
      </w:r>
      <w:r w:rsidRPr="0032048B">
        <w:rPr>
          <w:sz w:val="24"/>
          <w:szCs w:val="24"/>
          <w:lang w:val="sq-AL"/>
        </w:rPr>
        <w:t>r</w:t>
      </w:r>
      <w:r w:rsidR="005D3CCC" w:rsidRPr="0032048B">
        <w:rPr>
          <w:sz w:val="24"/>
          <w:szCs w:val="24"/>
          <w:lang w:val="sq-AL"/>
        </w:rPr>
        <w:t>ë</w:t>
      </w:r>
      <w:r w:rsidRPr="0032048B">
        <w:rPr>
          <w:sz w:val="24"/>
          <w:szCs w:val="24"/>
          <w:lang w:val="sq-AL"/>
        </w:rPr>
        <w:t xml:space="preserve"> monitorimin e rregullt të zbatimit të </w:t>
      </w:r>
      <w:r w:rsidRPr="0032048B">
        <w:rPr>
          <w:b/>
          <w:sz w:val="24"/>
          <w:szCs w:val="24"/>
          <w:lang w:val="sq-AL"/>
        </w:rPr>
        <w:t xml:space="preserve">strategjisë </w:t>
      </w:r>
      <w:r w:rsidR="008B6479" w:rsidRPr="0032048B">
        <w:rPr>
          <w:b/>
          <w:sz w:val="24"/>
          <w:szCs w:val="24"/>
          <w:lang w:val="sq-AL"/>
        </w:rPr>
        <w:t>RAP</w:t>
      </w:r>
      <w:r w:rsidRPr="0032048B">
        <w:rPr>
          <w:sz w:val="24"/>
          <w:szCs w:val="24"/>
          <w:lang w:val="sq-AL"/>
        </w:rPr>
        <w:t xml:space="preserve"> 2015-2022 dhe </w:t>
      </w:r>
      <w:r w:rsidRPr="0032048B">
        <w:rPr>
          <w:b/>
          <w:sz w:val="24"/>
          <w:szCs w:val="24"/>
          <w:lang w:val="sq-AL"/>
        </w:rPr>
        <w:t xml:space="preserve">strategjisë </w:t>
      </w:r>
      <w:r w:rsidR="008B6479" w:rsidRPr="0032048B">
        <w:rPr>
          <w:b/>
          <w:sz w:val="24"/>
          <w:szCs w:val="24"/>
          <w:lang w:val="sq-AL"/>
        </w:rPr>
        <w:t>MFP</w:t>
      </w:r>
      <w:r w:rsidRPr="0032048B">
        <w:rPr>
          <w:sz w:val="24"/>
          <w:szCs w:val="24"/>
          <w:lang w:val="sq-AL"/>
        </w:rPr>
        <w:t xml:space="preserve"> 2014-2022. Përgatitjet p</w:t>
      </w:r>
      <w:r w:rsidR="005D3CCC" w:rsidRPr="0032048B">
        <w:rPr>
          <w:sz w:val="24"/>
          <w:szCs w:val="24"/>
          <w:lang w:val="sq-AL"/>
        </w:rPr>
        <w:t>ë</w:t>
      </w:r>
      <w:r w:rsidRPr="0032048B">
        <w:rPr>
          <w:sz w:val="24"/>
          <w:szCs w:val="24"/>
          <w:lang w:val="sq-AL"/>
        </w:rPr>
        <w:t>r strategjit</w:t>
      </w:r>
      <w:r w:rsidR="005D3CCC" w:rsidRPr="0032048B">
        <w:rPr>
          <w:sz w:val="24"/>
          <w:szCs w:val="24"/>
          <w:lang w:val="sq-AL"/>
        </w:rPr>
        <w:t>ë</w:t>
      </w:r>
      <w:r w:rsidRPr="0032048B">
        <w:rPr>
          <w:sz w:val="24"/>
          <w:szCs w:val="24"/>
          <w:lang w:val="sq-AL"/>
        </w:rPr>
        <w:t xml:space="preserve"> e reja </w:t>
      </w:r>
      <w:r w:rsidR="008B6479" w:rsidRPr="0032048B">
        <w:rPr>
          <w:sz w:val="24"/>
          <w:szCs w:val="24"/>
          <w:lang w:val="sq-AL"/>
        </w:rPr>
        <w:t>RAP</w:t>
      </w:r>
      <w:r w:rsidRPr="0032048B">
        <w:rPr>
          <w:sz w:val="24"/>
          <w:szCs w:val="24"/>
          <w:lang w:val="sq-AL"/>
        </w:rPr>
        <w:t xml:space="preserve"> dhe </w:t>
      </w:r>
      <w:r w:rsidR="008B6479" w:rsidRPr="0032048B">
        <w:rPr>
          <w:sz w:val="24"/>
          <w:szCs w:val="24"/>
          <w:lang w:val="sq-AL"/>
        </w:rPr>
        <w:t>MFP</w:t>
      </w:r>
      <w:r w:rsidRPr="0032048B">
        <w:rPr>
          <w:sz w:val="24"/>
          <w:szCs w:val="24"/>
          <w:lang w:val="sq-AL"/>
        </w:rPr>
        <w:t xml:space="preserve"> 2023-2030 kanë filluar. Agjenda e re digjitale 2022-2026 u miratua në qershor 2022. Strategjia e re 2023-2030 p</w:t>
      </w:r>
      <w:r w:rsidR="005D3CCC" w:rsidRPr="0032048B">
        <w:rPr>
          <w:sz w:val="24"/>
          <w:szCs w:val="24"/>
          <w:lang w:val="sq-AL"/>
        </w:rPr>
        <w:t>ë</w:t>
      </w:r>
      <w:r w:rsidRPr="0032048B">
        <w:rPr>
          <w:sz w:val="24"/>
          <w:szCs w:val="24"/>
          <w:lang w:val="sq-AL"/>
        </w:rPr>
        <w:t>r decentralizimin dhe qeverisjen lokale u miratua në prill 2023.</w:t>
      </w:r>
    </w:p>
    <w:p w14:paraId="3893718E" w14:textId="614E81BF"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 xml:space="preserve">Ministri i Shtetit për Shërbimet dhe Standardet u emërua si koordinator i përgjithshëm për qeverisjen e mirë në qershor 2022, duke siguruar një mandat të qartë politik për koordinimin e reformave. Ky post u suprimua në shtator 2023 gjatë riorganizimit të qeverisë. Ende nuk ka qartësi për strukturën e re që do të ngrihet. </w:t>
      </w:r>
      <w:r w:rsidR="005D3CCC" w:rsidRPr="0032048B">
        <w:rPr>
          <w:sz w:val="24"/>
          <w:szCs w:val="24"/>
          <w:lang w:val="sq-AL"/>
        </w:rPr>
        <w:t>Ë</w:t>
      </w:r>
      <w:r w:rsidRPr="0032048B">
        <w:rPr>
          <w:sz w:val="24"/>
          <w:szCs w:val="24"/>
          <w:lang w:val="sq-AL"/>
        </w:rPr>
        <w:t>shtë ngritur Grupi p</w:t>
      </w:r>
      <w:r w:rsidR="005D3CCC" w:rsidRPr="0032048B">
        <w:rPr>
          <w:sz w:val="24"/>
          <w:szCs w:val="24"/>
          <w:lang w:val="sq-AL"/>
        </w:rPr>
        <w:t>ë</w:t>
      </w:r>
      <w:r w:rsidRPr="0032048B">
        <w:rPr>
          <w:sz w:val="24"/>
          <w:szCs w:val="24"/>
          <w:lang w:val="sq-AL"/>
        </w:rPr>
        <w:t>r Menaxhimin e Integruar t</w:t>
      </w:r>
      <w:r w:rsidR="005D3CCC" w:rsidRPr="0032048B">
        <w:rPr>
          <w:sz w:val="24"/>
          <w:szCs w:val="24"/>
          <w:lang w:val="sq-AL"/>
        </w:rPr>
        <w:t>ë</w:t>
      </w:r>
      <w:r w:rsidRPr="0032048B">
        <w:rPr>
          <w:sz w:val="24"/>
          <w:szCs w:val="24"/>
          <w:lang w:val="sq-AL"/>
        </w:rPr>
        <w:t xml:space="preserve"> Politikave (</w:t>
      </w:r>
      <w:r w:rsidR="008B6479" w:rsidRPr="0032048B">
        <w:rPr>
          <w:sz w:val="24"/>
          <w:szCs w:val="24"/>
          <w:lang w:val="sq-AL"/>
        </w:rPr>
        <w:t>GMIP</w:t>
      </w:r>
      <w:r w:rsidRPr="0032048B">
        <w:rPr>
          <w:sz w:val="24"/>
          <w:szCs w:val="24"/>
          <w:lang w:val="sq-AL"/>
        </w:rPr>
        <w:t xml:space="preserve">) për </w:t>
      </w:r>
      <w:r w:rsidR="008B6479" w:rsidRPr="0032048B">
        <w:rPr>
          <w:sz w:val="24"/>
          <w:szCs w:val="24"/>
          <w:lang w:val="sq-AL"/>
        </w:rPr>
        <w:t>RAP</w:t>
      </w:r>
      <w:r w:rsidRPr="0032048B">
        <w:rPr>
          <w:sz w:val="24"/>
          <w:szCs w:val="24"/>
          <w:lang w:val="sq-AL"/>
        </w:rPr>
        <w:t xml:space="preserve">-in, i cili nuk </w:t>
      </w:r>
      <w:r w:rsidR="005D3CCC" w:rsidRPr="0032048B">
        <w:rPr>
          <w:sz w:val="24"/>
          <w:szCs w:val="24"/>
          <w:lang w:val="sq-AL"/>
        </w:rPr>
        <w:t>ë</w:t>
      </w:r>
      <w:r w:rsidRPr="0032048B">
        <w:rPr>
          <w:sz w:val="24"/>
          <w:szCs w:val="24"/>
          <w:lang w:val="sq-AL"/>
        </w:rPr>
        <w:t>sht</w:t>
      </w:r>
      <w:r w:rsidR="005D3CCC" w:rsidRPr="0032048B">
        <w:rPr>
          <w:sz w:val="24"/>
          <w:szCs w:val="24"/>
          <w:lang w:val="sq-AL"/>
        </w:rPr>
        <w:t>ë</w:t>
      </w:r>
      <w:r w:rsidRPr="0032048B">
        <w:rPr>
          <w:sz w:val="24"/>
          <w:szCs w:val="24"/>
          <w:lang w:val="sq-AL"/>
        </w:rPr>
        <w:t xml:space="preserve"> shumë aktiv. N</w:t>
      </w:r>
      <w:r w:rsidR="005D3CCC" w:rsidRPr="0032048B">
        <w:rPr>
          <w:sz w:val="24"/>
          <w:szCs w:val="24"/>
          <w:lang w:val="sq-AL"/>
        </w:rPr>
        <w:t>ë</w:t>
      </w:r>
      <w:r w:rsidRPr="0032048B">
        <w:rPr>
          <w:sz w:val="24"/>
          <w:szCs w:val="24"/>
          <w:lang w:val="sq-AL"/>
        </w:rPr>
        <w:t xml:space="preserve"> korrik 2023 doli nj</w:t>
      </w:r>
      <w:r w:rsidR="005D3CCC" w:rsidRPr="0032048B">
        <w:rPr>
          <w:sz w:val="24"/>
          <w:szCs w:val="24"/>
          <w:lang w:val="sq-AL"/>
        </w:rPr>
        <w:t>ë</w:t>
      </w:r>
      <w:r w:rsidRPr="0032048B">
        <w:rPr>
          <w:sz w:val="24"/>
          <w:szCs w:val="24"/>
          <w:lang w:val="sq-AL"/>
        </w:rPr>
        <w:t xml:space="preserve"> vendim qeverie p</w:t>
      </w:r>
      <w:r w:rsidR="005D3CCC" w:rsidRPr="0032048B">
        <w:rPr>
          <w:sz w:val="24"/>
          <w:szCs w:val="24"/>
          <w:lang w:val="sq-AL"/>
        </w:rPr>
        <w:t>ë</w:t>
      </w:r>
      <w:r w:rsidRPr="0032048B">
        <w:rPr>
          <w:sz w:val="24"/>
          <w:szCs w:val="24"/>
          <w:lang w:val="sq-AL"/>
        </w:rPr>
        <w:t>r struktur</w:t>
      </w:r>
      <w:r w:rsidR="005D3CCC" w:rsidRPr="0032048B">
        <w:rPr>
          <w:sz w:val="24"/>
          <w:szCs w:val="24"/>
          <w:lang w:val="sq-AL"/>
        </w:rPr>
        <w:t>ë</w:t>
      </w:r>
      <w:r w:rsidRPr="0032048B">
        <w:rPr>
          <w:sz w:val="24"/>
          <w:szCs w:val="24"/>
          <w:lang w:val="sq-AL"/>
        </w:rPr>
        <w:t xml:space="preserve">n e </w:t>
      </w:r>
      <w:r w:rsidR="008B6479" w:rsidRPr="0032048B">
        <w:rPr>
          <w:sz w:val="24"/>
          <w:szCs w:val="24"/>
          <w:lang w:val="sq-AL"/>
        </w:rPr>
        <w:t>GMIP</w:t>
      </w:r>
      <w:r w:rsidRPr="0032048B">
        <w:rPr>
          <w:sz w:val="24"/>
          <w:szCs w:val="24"/>
          <w:lang w:val="sq-AL"/>
        </w:rPr>
        <w:t>-s</w:t>
      </w:r>
      <w:r w:rsidR="005D3CCC" w:rsidRPr="0032048B">
        <w:rPr>
          <w:sz w:val="24"/>
          <w:szCs w:val="24"/>
          <w:lang w:val="sq-AL"/>
        </w:rPr>
        <w:t>ë</w:t>
      </w:r>
      <w:r w:rsidRPr="0032048B">
        <w:rPr>
          <w:sz w:val="24"/>
          <w:szCs w:val="24"/>
          <w:lang w:val="sq-AL"/>
        </w:rPr>
        <w:t>. Disa nga grupet teknike t</w:t>
      </w:r>
      <w:r w:rsidR="005D3CCC" w:rsidRPr="0032048B">
        <w:rPr>
          <w:sz w:val="24"/>
          <w:szCs w:val="24"/>
          <w:lang w:val="sq-AL"/>
        </w:rPr>
        <w:t>ë</w:t>
      </w:r>
      <w:r w:rsidRPr="0032048B">
        <w:rPr>
          <w:sz w:val="24"/>
          <w:szCs w:val="24"/>
          <w:lang w:val="sq-AL"/>
        </w:rPr>
        <w:t xml:space="preserve"> </w:t>
      </w:r>
      <w:r w:rsidR="008B6479" w:rsidRPr="0032048B">
        <w:rPr>
          <w:sz w:val="24"/>
          <w:szCs w:val="24"/>
          <w:lang w:val="sq-AL"/>
        </w:rPr>
        <w:t>GMIP</w:t>
      </w:r>
      <w:r w:rsidRPr="0032048B">
        <w:rPr>
          <w:sz w:val="24"/>
          <w:szCs w:val="24"/>
          <w:lang w:val="sq-AL"/>
        </w:rPr>
        <w:t>-s</w:t>
      </w:r>
      <w:r w:rsidR="005D3CCC" w:rsidRPr="0032048B">
        <w:rPr>
          <w:sz w:val="24"/>
          <w:szCs w:val="24"/>
          <w:lang w:val="sq-AL"/>
        </w:rPr>
        <w:t>ë</w:t>
      </w:r>
      <w:r w:rsidRPr="0032048B">
        <w:rPr>
          <w:sz w:val="24"/>
          <w:szCs w:val="24"/>
          <w:lang w:val="sq-AL"/>
        </w:rPr>
        <w:t xml:space="preserve"> përdoren më shum</w:t>
      </w:r>
      <w:r w:rsidR="005D3CCC" w:rsidRPr="0032048B">
        <w:rPr>
          <w:sz w:val="24"/>
          <w:szCs w:val="24"/>
          <w:lang w:val="sq-AL"/>
        </w:rPr>
        <w:t>ë</w:t>
      </w:r>
      <w:r w:rsidRPr="0032048B">
        <w:rPr>
          <w:sz w:val="24"/>
          <w:szCs w:val="24"/>
          <w:lang w:val="sq-AL"/>
        </w:rPr>
        <w:t xml:space="preserve"> për koordinimin e nismave </w:t>
      </w:r>
      <w:r w:rsidR="008B6479" w:rsidRPr="0032048B">
        <w:rPr>
          <w:sz w:val="24"/>
          <w:szCs w:val="24"/>
          <w:lang w:val="sq-AL"/>
        </w:rPr>
        <w:t>RAP</w:t>
      </w:r>
      <w:r w:rsidRPr="0032048B">
        <w:rPr>
          <w:sz w:val="24"/>
          <w:szCs w:val="24"/>
          <w:lang w:val="sq-AL"/>
        </w:rPr>
        <w:t xml:space="preserve">. </w:t>
      </w:r>
      <w:r w:rsidRPr="0032048B">
        <w:rPr>
          <w:b/>
          <w:sz w:val="24"/>
          <w:szCs w:val="24"/>
          <w:lang w:val="sq-AL"/>
        </w:rPr>
        <w:t>Qëndrueshmëria financiare</w:t>
      </w:r>
      <w:r w:rsidRPr="0032048B">
        <w:rPr>
          <w:sz w:val="24"/>
          <w:szCs w:val="24"/>
          <w:lang w:val="sq-AL"/>
        </w:rPr>
        <w:t xml:space="preserve"> e reformave duhet të përmirësohet duke</w:t>
      </w:r>
      <w:r w:rsidR="004D53EC">
        <w:rPr>
          <w:sz w:val="24"/>
          <w:szCs w:val="24"/>
          <w:lang w:val="sq-AL"/>
        </w:rPr>
        <w:t xml:space="preserve"> </w:t>
      </w:r>
      <w:r w:rsidRPr="0032048B">
        <w:rPr>
          <w:sz w:val="24"/>
          <w:szCs w:val="24"/>
          <w:lang w:val="sq-AL"/>
        </w:rPr>
        <w:t>shqyrtuar</w:t>
      </w:r>
      <w:r w:rsidR="004D53EC">
        <w:rPr>
          <w:sz w:val="24"/>
          <w:szCs w:val="24"/>
          <w:lang w:val="sq-AL"/>
        </w:rPr>
        <w:t xml:space="preserve"> </w:t>
      </w:r>
      <w:r w:rsidRPr="0032048B">
        <w:rPr>
          <w:sz w:val="24"/>
          <w:szCs w:val="24"/>
          <w:lang w:val="sq-AL"/>
        </w:rPr>
        <w:t>më mirë burimet e përgjithshme financiare pasi, aktualisht, zbatimi i reformave varet shumë nga fondet e donatorët t</w:t>
      </w:r>
      <w:r w:rsidR="005D3CCC" w:rsidRPr="0032048B">
        <w:rPr>
          <w:sz w:val="24"/>
          <w:szCs w:val="24"/>
          <w:lang w:val="sq-AL"/>
        </w:rPr>
        <w:t>ë</w:t>
      </w:r>
      <w:r w:rsidRPr="0032048B">
        <w:rPr>
          <w:sz w:val="24"/>
          <w:szCs w:val="24"/>
          <w:lang w:val="sq-AL"/>
        </w:rPr>
        <w:t xml:space="preserve"> jashtëm.</w:t>
      </w:r>
    </w:p>
    <w:p w14:paraId="0B781ACC" w14:textId="77777777" w:rsidR="00380775" w:rsidRPr="0032048B" w:rsidRDefault="00380775" w:rsidP="00361D5A">
      <w:pPr>
        <w:tabs>
          <w:tab w:val="left" w:pos="1134"/>
        </w:tabs>
        <w:spacing w:before="120"/>
        <w:ind w:left="993" w:right="1067"/>
        <w:jc w:val="both"/>
        <w:rPr>
          <w:sz w:val="24"/>
          <w:szCs w:val="24"/>
          <w:lang w:val="sq-AL"/>
        </w:rPr>
      </w:pPr>
      <w:r w:rsidRPr="0032048B">
        <w:rPr>
          <w:sz w:val="24"/>
          <w:szCs w:val="24"/>
          <w:u w:val="single"/>
          <w:lang w:val="sq-AL"/>
        </w:rPr>
        <w:t>Zhvillimi dhe koordinimi i politikave</w:t>
      </w:r>
    </w:p>
    <w:p w14:paraId="19A8BF28" w14:textId="440C5003"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 xml:space="preserve">Baza ligjore dhe struktura institucionale për </w:t>
      </w:r>
      <w:r w:rsidRPr="0032048B">
        <w:rPr>
          <w:b/>
          <w:sz w:val="24"/>
          <w:szCs w:val="24"/>
          <w:lang w:val="sq-AL"/>
        </w:rPr>
        <w:t>hartimin e politikave</w:t>
      </w:r>
      <w:r w:rsidRPr="0032048B">
        <w:rPr>
          <w:sz w:val="24"/>
          <w:szCs w:val="24"/>
          <w:lang w:val="sq-AL"/>
        </w:rPr>
        <w:t xml:space="preserve"> n</w:t>
      </w:r>
      <w:r w:rsidR="005D3CCC" w:rsidRPr="0032048B">
        <w:rPr>
          <w:sz w:val="24"/>
          <w:szCs w:val="24"/>
          <w:lang w:val="sq-AL"/>
        </w:rPr>
        <w:t>ë</w:t>
      </w:r>
      <w:r w:rsidRPr="0032048B">
        <w:rPr>
          <w:sz w:val="24"/>
          <w:szCs w:val="24"/>
          <w:lang w:val="sq-AL"/>
        </w:rPr>
        <w:t xml:space="preserve"> vijim</w:t>
      </w:r>
      <w:r w:rsidR="005D3CCC" w:rsidRPr="0032048B">
        <w:rPr>
          <w:sz w:val="24"/>
          <w:szCs w:val="24"/>
          <w:lang w:val="sq-AL"/>
        </w:rPr>
        <w:t>ë</w:t>
      </w:r>
      <w:r w:rsidRPr="0032048B">
        <w:rPr>
          <w:sz w:val="24"/>
          <w:szCs w:val="24"/>
          <w:lang w:val="sq-AL"/>
        </w:rPr>
        <w:t>si janë plot</w:t>
      </w:r>
      <w:r w:rsidR="005D3CCC" w:rsidRPr="0032048B">
        <w:rPr>
          <w:sz w:val="24"/>
          <w:szCs w:val="24"/>
          <w:lang w:val="sq-AL"/>
        </w:rPr>
        <w:t>ë</w:t>
      </w:r>
      <w:r w:rsidRPr="0032048B">
        <w:rPr>
          <w:sz w:val="24"/>
          <w:szCs w:val="24"/>
          <w:lang w:val="sq-AL"/>
        </w:rPr>
        <w:t>suar pjesërisht. Komiteti i Planifikimit Strategji</w:t>
      </w:r>
      <w:r w:rsidR="00104783" w:rsidRPr="0032048B">
        <w:rPr>
          <w:sz w:val="24"/>
          <w:szCs w:val="24"/>
          <w:lang w:val="sq-AL"/>
        </w:rPr>
        <w:t>k (KPS</w:t>
      </w:r>
      <w:r w:rsidRPr="0032048B">
        <w:rPr>
          <w:sz w:val="24"/>
          <w:szCs w:val="24"/>
          <w:lang w:val="sq-AL"/>
        </w:rPr>
        <w:t>), dhe Grupi i Menaxhimit të Integruar t</w:t>
      </w:r>
      <w:r w:rsidR="005D3CCC" w:rsidRPr="0032048B">
        <w:rPr>
          <w:sz w:val="24"/>
          <w:szCs w:val="24"/>
          <w:lang w:val="sq-AL"/>
        </w:rPr>
        <w:t>ë</w:t>
      </w:r>
      <w:r w:rsidRPr="0032048B">
        <w:rPr>
          <w:sz w:val="24"/>
          <w:szCs w:val="24"/>
          <w:lang w:val="sq-AL"/>
        </w:rPr>
        <w:t xml:space="preserve"> Politikave p</w:t>
      </w:r>
      <w:r w:rsidR="005D3CCC" w:rsidRPr="0032048B">
        <w:rPr>
          <w:sz w:val="24"/>
          <w:szCs w:val="24"/>
          <w:lang w:val="sq-AL"/>
        </w:rPr>
        <w:t>ë</w:t>
      </w:r>
      <w:r w:rsidRPr="0032048B">
        <w:rPr>
          <w:sz w:val="24"/>
          <w:szCs w:val="24"/>
          <w:lang w:val="sq-AL"/>
        </w:rPr>
        <w:t>rfaq</w:t>
      </w:r>
      <w:r w:rsidR="005D3CCC" w:rsidRPr="0032048B">
        <w:rPr>
          <w:sz w:val="24"/>
          <w:szCs w:val="24"/>
          <w:lang w:val="sq-AL"/>
        </w:rPr>
        <w:t>ë</w:t>
      </w:r>
      <w:r w:rsidRPr="0032048B">
        <w:rPr>
          <w:sz w:val="24"/>
          <w:szCs w:val="24"/>
          <w:lang w:val="sq-AL"/>
        </w:rPr>
        <w:t>sojn</w:t>
      </w:r>
      <w:r w:rsidR="005D3CCC" w:rsidRPr="0032048B">
        <w:rPr>
          <w:sz w:val="24"/>
          <w:szCs w:val="24"/>
          <w:lang w:val="sq-AL"/>
        </w:rPr>
        <w:t>ë</w:t>
      </w:r>
      <w:r w:rsidRPr="0032048B">
        <w:rPr>
          <w:sz w:val="24"/>
          <w:szCs w:val="24"/>
          <w:lang w:val="sq-AL"/>
        </w:rPr>
        <w:t xml:space="preserve"> nj</w:t>
      </w:r>
      <w:r w:rsidR="005D3CCC" w:rsidRPr="0032048B">
        <w:rPr>
          <w:sz w:val="24"/>
          <w:szCs w:val="24"/>
          <w:lang w:val="sq-AL"/>
        </w:rPr>
        <w:t>ë</w:t>
      </w:r>
      <w:r w:rsidRPr="0032048B">
        <w:rPr>
          <w:sz w:val="24"/>
          <w:szCs w:val="24"/>
          <w:lang w:val="sq-AL"/>
        </w:rPr>
        <w:t xml:space="preserve"> </w:t>
      </w:r>
      <w:r w:rsidRPr="0032048B">
        <w:rPr>
          <w:b/>
          <w:sz w:val="24"/>
          <w:szCs w:val="24"/>
          <w:lang w:val="sq-AL"/>
        </w:rPr>
        <w:t>struktur</w:t>
      </w:r>
      <w:r w:rsidR="005D3CCC" w:rsidRPr="0032048B">
        <w:rPr>
          <w:b/>
          <w:sz w:val="24"/>
          <w:szCs w:val="24"/>
          <w:lang w:val="sq-AL"/>
        </w:rPr>
        <w:t>ë</w:t>
      </w:r>
      <w:r w:rsidRPr="0032048B">
        <w:rPr>
          <w:b/>
          <w:sz w:val="24"/>
          <w:szCs w:val="24"/>
          <w:lang w:val="sq-AL"/>
        </w:rPr>
        <w:t xml:space="preserve"> t</w:t>
      </w:r>
      <w:r w:rsidR="005D3CCC" w:rsidRPr="0032048B">
        <w:rPr>
          <w:b/>
          <w:sz w:val="24"/>
          <w:szCs w:val="24"/>
          <w:lang w:val="sq-AL"/>
        </w:rPr>
        <w:t>ë</w:t>
      </w:r>
      <w:r w:rsidRPr="0032048B">
        <w:rPr>
          <w:b/>
          <w:sz w:val="24"/>
          <w:szCs w:val="24"/>
          <w:lang w:val="sq-AL"/>
        </w:rPr>
        <w:t xml:space="preserve"> gjer</w:t>
      </w:r>
      <w:r w:rsidR="005D3CCC" w:rsidRPr="0032048B">
        <w:rPr>
          <w:b/>
          <w:sz w:val="24"/>
          <w:szCs w:val="24"/>
          <w:lang w:val="sq-AL"/>
        </w:rPr>
        <w:t>ë</w:t>
      </w:r>
      <w:r w:rsidRPr="0032048B">
        <w:rPr>
          <w:b/>
          <w:sz w:val="24"/>
          <w:szCs w:val="24"/>
          <w:lang w:val="sq-AL"/>
        </w:rPr>
        <w:t xml:space="preserve"> p</w:t>
      </w:r>
      <w:r w:rsidR="005D3CCC" w:rsidRPr="0032048B">
        <w:rPr>
          <w:b/>
          <w:sz w:val="24"/>
          <w:szCs w:val="24"/>
          <w:lang w:val="sq-AL"/>
        </w:rPr>
        <w:t>ë</w:t>
      </w:r>
      <w:r w:rsidRPr="0032048B">
        <w:rPr>
          <w:b/>
          <w:sz w:val="24"/>
          <w:szCs w:val="24"/>
          <w:lang w:val="sq-AL"/>
        </w:rPr>
        <w:t>r</w:t>
      </w:r>
      <w:r w:rsidR="004D53EC">
        <w:rPr>
          <w:b/>
          <w:sz w:val="24"/>
          <w:szCs w:val="24"/>
          <w:lang w:val="sq-AL"/>
        </w:rPr>
        <w:t xml:space="preserve"> </w:t>
      </w:r>
      <w:r w:rsidRPr="0032048B">
        <w:rPr>
          <w:b/>
          <w:sz w:val="24"/>
          <w:szCs w:val="24"/>
          <w:lang w:val="sq-AL"/>
        </w:rPr>
        <w:t>koordinimin</w:t>
      </w:r>
      <w:r w:rsidRPr="0032048B">
        <w:rPr>
          <w:sz w:val="24"/>
          <w:szCs w:val="24"/>
          <w:lang w:val="sq-AL"/>
        </w:rPr>
        <w:t xml:space="preserve"> e politikave</w:t>
      </w:r>
      <w:r w:rsidR="004D53EC">
        <w:rPr>
          <w:sz w:val="24"/>
          <w:szCs w:val="24"/>
          <w:lang w:val="sq-AL"/>
        </w:rPr>
        <w:t xml:space="preserve"> </w:t>
      </w:r>
      <w:r w:rsidRPr="0032048B">
        <w:rPr>
          <w:sz w:val="24"/>
          <w:szCs w:val="24"/>
          <w:lang w:val="sq-AL"/>
        </w:rPr>
        <w:t>n</w:t>
      </w:r>
      <w:r w:rsidR="005D3CCC" w:rsidRPr="0032048B">
        <w:rPr>
          <w:sz w:val="24"/>
          <w:szCs w:val="24"/>
          <w:lang w:val="sq-AL"/>
        </w:rPr>
        <w:t>ë</w:t>
      </w:r>
      <w:r w:rsidRPr="0032048B">
        <w:rPr>
          <w:sz w:val="24"/>
          <w:szCs w:val="24"/>
          <w:lang w:val="sq-AL"/>
        </w:rPr>
        <w:t>n kryesimin e</w:t>
      </w:r>
      <w:r w:rsidR="004D53EC">
        <w:rPr>
          <w:sz w:val="24"/>
          <w:szCs w:val="24"/>
          <w:lang w:val="sq-AL"/>
        </w:rPr>
        <w:t xml:space="preserve"> </w:t>
      </w:r>
      <w:r w:rsidRPr="0032048B">
        <w:rPr>
          <w:sz w:val="24"/>
          <w:szCs w:val="24"/>
          <w:lang w:val="sq-AL"/>
        </w:rPr>
        <w:t xml:space="preserve">Kryeministrit. </w:t>
      </w:r>
      <w:r w:rsidR="00104783" w:rsidRPr="0032048B">
        <w:rPr>
          <w:sz w:val="24"/>
          <w:szCs w:val="24"/>
          <w:lang w:val="sq-AL"/>
        </w:rPr>
        <w:t>KPS</w:t>
      </w:r>
      <w:r w:rsidRPr="0032048B">
        <w:rPr>
          <w:sz w:val="24"/>
          <w:szCs w:val="24"/>
          <w:lang w:val="sq-AL"/>
        </w:rPr>
        <w:t xml:space="preserve">-ja </w:t>
      </w:r>
      <w:r w:rsidR="005D3CCC" w:rsidRPr="0032048B">
        <w:rPr>
          <w:sz w:val="24"/>
          <w:szCs w:val="24"/>
          <w:lang w:val="sq-AL"/>
        </w:rPr>
        <w:t>ë</w:t>
      </w:r>
      <w:r w:rsidRPr="0032048B">
        <w:rPr>
          <w:sz w:val="24"/>
          <w:szCs w:val="24"/>
          <w:lang w:val="sq-AL"/>
        </w:rPr>
        <w:t>sht</w:t>
      </w:r>
      <w:r w:rsidR="005D3CCC" w:rsidRPr="0032048B">
        <w:rPr>
          <w:sz w:val="24"/>
          <w:szCs w:val="24"/>
          <w:lang w:val="sq-AL"/>
        </w:rPr>
        <w:t>ë</w:t>
      </w:r>
      <w:r w:rsidRPr="0032048B">
        <w:rPr>
          <w:sz w:val="24"/>
          <w:szCs w:val="24"/>
          <w:lang w:val="sq-AL"/>
        </w:rPr>
        <w:t xml:space="preserve"> mbledhur rregullisht dhe ka drejtuar procesin e hartimit t</w:t>
      </w:r>
      <w:r w:rsidR="005D3CCC" w:rsidRPr="0032048B">
        <w:rPr>
          <w:sz w:val="24"/>
          <w:szCs w:val="24"/>
          <w:lang w:val="sq-AL"/>
        </w:rPr>
        <w:t>ë</w:t>
      </w:r>
      <w:r w:rsidRPr="0032048B">
        <w:rPr>
          <w:sz w:val="24"/>
          <w:szCs w:val="24"/>
          <w:lang w:val="sq-AL"/>
        </w:rPr>
        <w:t xml:space="preserve"> politikave. Aktiviteti i </w:t>
      </w:r>
      <w:r w:rsidR="008B6479" w:rsidRPr="0032048B">
        <w:rPr>
          <w:sz w:val="24"/>
          <w:szCs w:val="24"/>
          <w:lang w:val="sq-AL"/>
        </w:rPr>
        <w:t>GMIP</w:t>
      </w:r>
      <w:r w:rsidRPr="0032048B">
        <w:rPr>
          <w:sz w:val="24"/>
          <w:szCs w:val="24"/>
          <w:lang w:val="sq-AL"/>
        </w:rPr>
        <w:t>-s</w:t>
      </w:r>
      <w:r w:rsidR="005D3CCC" w:rsidRPr="0032048B">
        <w:rPr>
          <w:sz w:val="24"/>
          <w:szCs w:val="24"/>
          <w:lang w:val="sq-AL"/>
        </w:rPr>
        <w:t>ë</w:t>
      </w:r>
      <w:r w:rsidRPr="0032048B">
        <w:rPr>
          <w:sz w:val="24"/>
          <w:szCs w:val="24"/>
          <w:lang w:val="sq-AL"/>
        </w:rPr>
        <w:t xml:space="preserve"> ka ndryshuar nga sektori në</w:t>
      </w:r>
      <w:r w:rsidR="004D53EC">
        <w:rPr>
          <w:sz w:val="24"/>
          <w:szCs w:val="24"/>
          <w:lang w:val="sq-AL"/>
        </w:rPr>
        <w:t xml:space="preserve"> </w:t>
      </w:r>
      <w:r w:rsidRPr="0032048B">
        <w:rPr>
          <w:sz w:val="24"/>
          <w:szCs w:val="24"/>
          <w:lang w:val="sq-AL"/>
        </w:rPr>
        <w:t>sektor dhe ka nevoj</w:t>
      </w:r>
      <w:r w:rsidR="005D3CCC" w:rsidRPr="0032048B">
        <w:rPr>
          <w:sz w:val="24"/>
          <w:szCs w:val="24"/>
          <w:lang w:val="sq-AL"/>
        </w:rPr>
        <w:t>ë</w:t>
      </w:r>
      <w:r w:rsidRPr="0032048B">
        <w:rPr>
          <w:sz w:val="24"/>
          <w:szCs w:val="24"/>
          <w:lang w:val="sq-AL"/>
        </w:rPr>
        <w:t xml:space="preserve"> t</w:t>
      </w:r>
      <w:r w:rsidR="005D3CCC" w:rsidRPr="0032048B">
        <w:rPr>
          <w:sz w:val="24"/>
          <w:szCs w:val="24"/>
          <w:lang w:val="sq-AL"/>
        </w:rPr>
        <w:t>ë</w:t>
      </w:r>
      <w:r w:rsidRPr="0032048B">
        <w:rPr>
          <w:sz w:val="24"/>
          <w:szCs w:val="24"/>
          <w:lang w:val="sq-AL"/>
        </w:rPr>
        <w:t xml:space="preserve"> përmirësohet. Strukturat </w:t>
      </w:r>
      <w:r w:rsidR="00104783" w:rsidRPr="0032048B">
        <w:rPr>
          <w:sz w:val="24"/>
          <w:szCs w:val="24"/>
          <w:lang w:val="sq-AL"/>
        </w:rPr>
        <w:t>KPS</w:t>
      </w:r>
      <w:r w:rsidRPr="0032048B">
        <w:rPr>
          <w:sz w:val="24"/>
          <w:szCs w:val="24"/>
          <w:lang w:val="sq-AL"/>
        </w:rPr>
        <w:t xml:space="preserve"> dhe </w:t>
      </w:r>
      <w:r w:rsidR="008B6479" w:rsidRPr="0032048B">
        <w:rPr>
          <w:sz w:val="24"/>
          <w:szCs w:val="24"/>
          <w:lang w:val="sq-AL"/>
        </w:rPr>
        <w:t>GMIP</w:t>
      </w:r>
      <w:r w:rsidRPr="0032048B">
        <w:rPr>
          <w:sz w:val="24"/>
          <w:szCs w:val="24"/>
          <w:lang w:val="sq-AL"/>
        </w:rPr>
        <w:t xml:space="preserve"> tani funksionojnë në bashkëpunim, i cili leht</w:t>
      </w:r>
      <w:r w:rsidR="005D3CCC" w:rsidRPr="0032048B">
        <w:rPr>
          <w:sz w:val="24"/>
          <w:szCs w:val="24"/>
          <w:lang w:val="sq-AL"/>
        </w:rPr>
        <w:t>ë</w:t>
      </w:r>
      <w:r w:rsidRPr="0032048B">
        <w:rPr>
          <w:sz w:val="24"/>
          <w:szCs w:val="24"/>
          <w:lang w:val="sq-AL"/>
        </w:rPr>
        <w:t>sohet nga Agjencia për Programim Strategjik dhe Koordinim të Ndihmës-SASPAC – q</w:t>
      </w:r>
      <w:r w:rsidR="005D3CCC" w:rsidRPr="0032048B">
        <w:rPr>
          <w:sz w:val="24"/>
          <w:szCs w:val="24"/>
          <w:lang w:val="sq-AL"/>
        </w:rPr>
        <w:t>ë</w:t>
      </w:r>
      <w:r w:rsidRPr="0032048B">
        <w:rPr>
          <w:sz w:val="24"/>
          <w:szCs w:val="24"/>
          <w:lang w:val="sq-AL"/>
        </w:rPr>
        <w:t xml:space="preserve"> u krijua n</w:t>
      </w:r>
      <w:r w:rsidR="005D3CCC" w:rsidRPr="0032048B">
        <w:rPr>
          <w:sz w:val="24"/>
          <w:szCs w:val="24"/>
          <w:lang w:val="sq-AL"/>
        </w:rPr>
        <w:t>ë</w:t>
      </w:r>
      <w:r w:rsidRPr="0032048B">
        <w:rPr>
          <w:sz w:val="24"/>
          <w:szCs w:val="24"/>
          <w:lang w:val="sq-AL"/>
        </w:rPr>
        <w:t xml:space="preserve"> mesin e vitit 2021.</w:t>
      </w:r>
    </w:p>
    <w:p w14:paraId="79BA1A19" w14:textId="4CA01654"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Strategji e re Kombëtare për Zhvillimin dhe Integrimin Evropian u miratua në shkurt 2023, me nj</w:t>
      </w:r>
      <w:r w:rsidR="005D3CCC" w:rsidRPr="0032048B">
        <w:rPr>
          <w:sz w:val="24"/>
          <w:szCs w:val="24"/>
          <w:lang w:val="sq-AL"/>
        </w:rPr>
        <w:t>ë</w:t>
      </w:r>
      <w:r w:rsidRPr="0032048B">
        <w:rPr>
          <w:sz w:val="24"/>
          <w:szCs w:val="24"/>
          <w:lang w:val="sq-AL"/>
        </w:rPr>
        <w:t xml:space="preserve"> lloj vonese, dhe tani do të mbulojë periudhën deri në vitin 2030. Ajo</w:t>
      </w:r>
      <w:r w:rsidR="004D53EC">
        <w:rPr>
          <w:sz w:val="24"/>
          <w:szCs w:val="24"/>
          <w:lang w:val="sq-AL"/>
        </w:rPr>
        <w:t xml:space="preserve"> </w:t>
      </w:r>
      <w:r w:rsidRPr="0032048B">
        <w:rPr>
          <w:sz w:val="24"/>
          <w:szCs w:val="24"/>
          <w:lang w:val="sq-AL"/>
        </w:rPr>
        <w:t>shërben si një dokument ombrellë referimi</w:t>
      </w:r>
      <w:r w:rsidR="004D53EC">
        <w:rPr>
          <w:sz w:val="24"/>
          <w:szCs w:val="24"/>
          <w:lang w:val="sq-AL"/>
        </w:rPr>
        <w:t xml:space="preserve"> </w:t>
      </w:r>
      <w:r w:rsidRPr="0032048B">
        <w:rPr>
          <w:sz w:val="24"/>
          <w:szCs w:val="24"/>
          <w:lang w:val="sq-AL"/>
        </w:rPr>
        <w:t xml:space="preserve">për sistemin e planifikimit të integruar. </w:t>
      </w:r>
      <w:r w:rsidR="002402C2" w:rsidRPr="0032048B">
        <w:rPr>
          <w:sz w:val="24"/>
          <w:szCs w:val="24"/>
          <w:lang w:val="sq-AL"/>
        </w:rPr>
        <w:t>Përveç</w:t>
      </w:r>
      <w:r w:rsidRPr="0032048B">
        <w:rPr>
          <w:sz w:val="24"/>
          <w:szCs w:val="24"/>
          <w:lang w:val="sq-AL"/>
        </w:rPr>
        <w:t xml:space="preserve"> k</w:t>
      </w:r>
      <w:r w:rsidR="005D3CCC" w:rsidRPr="0032048B">
        <w:rPr>
          <w:sz w:val="24"/>
          <w:szCs w:val="24"/>
          <w:lang w:val="sq-AL"/>
        </w:rPr>
        <w:t>ë</w:t>
      </w:r>
      <w:r w:rsidRPr="0032048B">
        <w:rPr>
          <w:sz w:val="24"/>
          <w:szCs w:val="24"/>
          <w:lang w:val="sq-AL"/>
        </w:rPr>
        <w:t>saj,</w:t>
      </w:r>
      <w:r w:rsidR="004D53EC">
        <w:rPr>
          <w:sz w:val="24"/>
          <w:szCs w:val="24"/>
          <w:lang w:val="sq-AL"/>
        </w:rPr>
        <w:t xml:space="preserve"> </w:t>
      </w:r>
      <w:r w:rsidRPr="0032048B">
        <w:rPr>
          <w:sz w:val="24"/>
          <w:szCs w:val="24"/>
          <w:lang w:val="sq-AL"/>
        </w:rPr>
        <w:t xml:space="preserve">në Mars 2023 u miratua Plani i ri Kombëtar 2023-2025 për Integrimin Evropian. </w:t>
      </w:r>
    </w:p>
    <w:p w14:paraId="7388369A" w14:textId="0EE34063" w:rsidR="00380775" w:rsidRPr="0032048B" w:rsidRDefault="005D3CCC" w:rsidP="00361D5A">
      <w:pPr>
        <w:tabs>
          <w:tab w:val="left" w:pos="1134"/>
        </w:tabs>
        <w:spacing w:before="120"/>
        <w:ind w:left="993" w:right="1067"/>
        <w:jc w:val="both"/>
        <w:rPr>
          <w:sz w:val="24"/>
          <w:szCs w:val="24"/>
          <w:lang w:val="sq-AL"/>
        </w:rPr>
      </w:pPr>
      <w:r w:rsidRPr="0032048B">
        <w:rPr>
          <w:sz w:val="24"/>
          <w:szCs w:val="24"/>
          <w:lang w:val="sq-AL"/>
        </w:rPr>
        <w:t>Ë</w:t>
      </w:r>
      <w:r w:rsidR="00380775" w:rsidRPr="0032048B">
        <w:rPr>
          <w:sz w:val="24"/>
          <w:szCs w:val="24"/>
          <w:lang w:val="sq-AL"/>
        </w:rPr>
        <w:t>sht</w:t>
      </w:r>
      <w:r w:rsidRPr="0032048B">
        <w:rPr>
          <w:sz w:val="24"/>
          <w:szCs w:val="24"/>
          <w:lang w:val="sq-AL"/>
        </w:rPr>
        <w:t>ë</w:t>
      </w:r>
      <w:r w:rsidR="00380775" w:rsidRPr="0032048B">
        <w:rPr>
          <w:sz w:val="24"/>
          <w:szCs w:val="24"/>
          <w:lang w:val="sq-AL"/>
        </w:rPr>
        <w:t xml:space="preserve"> ngritur nj</w:t>
      </w:r>
      <w:r w:rsidRPr="0032048B">
        <w:rPr>
          <w:sz w:val="24"/>
          <w:szCs w:val="24"/>
          <w:lang w:val="sq-AL"/>
        </w:rPr>
        <w:t>ë</w:t>
      </w:r>
      <w:r w:rsidR="00380775" w:rsidRPr="0032048B">
        <w:rPr>
          <w:sz w:val="24"/>
          <w:szCs w:val="24"/>
          <w:lang w:val="sq-AL"/>
        </w:rPr>
        <w:t xml:space="preserve"> sistem i planifikimit t</w:t>
      </w:r>
      <w:r w:rsidRPr="0032048B">
        <w:rPr>
          <w:sz w:val="24"/>
          <w:szCs w:val="24"/>
          <w:lang w:val="sq-AL"/>
        </w:rPr>
        <w:t>ë</w:t>
      </w:r>
      <w:r w:rsidR="00380775" w:rsidRPr="0032048B">
        <w:rPr>
          <w:sz w:val="24"/>
          <w:szCs w:val="24"/>
          <w:lang w:val="sq-AL"/>
        </w:rPr>
        <w:t xml:space="preserve"> integruar – q</w:t>
      </w:r>
      <w:r w:rsidRPr="0032048B">
        <w:rPr>
          <w:sz w:val="24"/>
          <w:szCs w:val="24"/>
          <w:lang w:val="sq-AL"/>
        </w:rPr>
        <w:t>ë</w:t>
      </w:r>
      <w:r w:rsidR="00380775" w:rsidRPr="0032048B">
        <w:rPr>
          <w:sz w:val="24"/>
          <w:szCs w:val="24"/>
          <w:lang w:val="sq-AL"/>
        </w:rPr>
        <w:t xml:space="preserve"> përfshin edhe lidhjet me </w:t>
      </w:r>
      <w:proofErr w:type="spellStart"/>
      <w:r w:rsidR="00380775" w:rsidRPr="0032048B">
        <w:rPr>
          <w:sz w:val="24"/>
          <w:szCs w:val="24"/>
          <w:lang w:val="sq-AL"/>
        </w:rPr>
        <w:t>buxhetimin</w:t>
      </w:r>
      <w:proofErr w:type="spellEnd"/>
      <w:r w:rsidR="00380775" w:rsidRPr="0032048B">
        <w:rPr>
          <w:sz w:val="24"/>
          <w:szCs w:val="24"/>
          <w:lang w:val="sq-AL"/>
        </w:rPr>
        <w:t xml:space="preserve"> - por p</w:t>
      </w:r>
      <w:r w:rsidRPr="0032048B">
        <w:rPr>
          <w:sz w:val="24"/>
          <w:szCs w:val="24"/>
          <w:lang w:val="sq-AL"/>
        </w:rPr>
        <w:t>ë</w:t>
      </w:r>
      <w:r w:rsidR="00380775" w:rsidRPr="0032048B">
        <w:rPr>
          <w:sz w:val="24"/>
          <w:szCs w:val="24"/>
          <w:lang w:val="sq-AL"/>
        </w:rPr>
        <w:t xml:space="preserve">rdorimi i tij nuk </w:t>
      </w:r>
      <w:r w:rsidRPr="0032048B">
        <w:rPr>
          <w:sz w:val="24"/>
          <w:szCs w:val="24"/>
          <w:lang w:val="sq-AL"/>
        </w:rPr>
        <w:t>ë</w:t>
      </w:r>
      <w:r w:rsidR="00380775" w:rsidRPr="0032048B">
        <w:rPr>
          <w:sz w:val="24"/>
          <w:szCs w:val="24"/>
          <w:lang w:val="sq-AL"/>
        </w:rPr>
        <w:t>sht</w:t>
      </w:r>
      <w:r w:rsidRPr="0032048B">
        <w:rPr>
          <w:sz w:val="24"/>
          <w:szCs w:val="24"/>
          <w:lang w:val="sq-AL"/>
        </w:rPr>
        <w:t>ë</w:t>
      </w:r>
      <w:r w:rsidR="00380775" w:rsidRPr="0032048B">
        <w:rPr>
          <w:sz w:val="24"/>
          <w:szCs w:val="24"/>
          <w:lang w:val="sq-AL"/>
        </w:rPr>
        <w:t xml:space="preserve"> uniform. Përdorimi i sistemeve mbështetëse të zhvilluara për planifikimin dhe menaxhimin e fondeve të jashtme ka qenë shumë i kufizuar. Sistemi mbështetës për planifikimin e buxhetit është përdorur më aktivisht, edhe n</w:t>
      </w:r>
      <w:r w:rsidRPr="0032048B">
        <w:rPr>
          <w:sz w:val="24"/>
          <w:szCs w:val="24"/>
          <w:lang w:val="sq-AL"/>
        </w:rPr>
        <w:t>ë</w:t>
      </w:r>
      <w:r w:rsidR="00380775" w:rsidRPr="0032048B">
        <w:rPr>
          <w:sz w:val="24"/>
          <w:szCs w:val="24"/>
          <w:lang w:val="sq-AL"/>
        </w:rPr>
        <w:t xml:space="preserve"> përgatitjen e planifikimit të buxhetit afatmesëm. P</w:t>
      </w:r>
      <w:r w:rsidRPr="0032048B">
        <w:rPr>
          <w:sz w:val="24"/>
          <w:szCs w:val="24"/>
          <w:lang w:val="sq-AL"/>
        </w:rPr>
        <w:t>ë</w:t>
      </w:r>
      <w:r w:rsidR="00380775" w:rsidRPr="0032048B">
        <w:rPr>
          <w:sz w:val="24"/>
          <w:szCs w:val="24"/>
          <w:lang w:val="sq-AL"/>
        </w:rPr>
        <w:t>rputhja midis planifikimit të politikave dhe nevojave t</w:t>
      </w:r>
      <w:r w:rsidRPr="0032048B">
        <w:rPr>
          <w:sz w:val="24"/>
          <w:szCs w:val="24"/>
          <w:lang w:val="sq-AL"/>
        </w:rPr>
        <w:t>ë</w:t>
      </w:r>
      <w:r w:rsidR="00380775" w:rsidRPr="0032048B">
        <w:rPr>
          <w:sz w:val="24"/>
          <w:szCs w:val="24"/>
          <w:lang w:val="sq-AL"/>
        </w:rPr>
        <w:t xml:space="preserve"> </w:t>
      </w:r>
      <w:proofErr w:type="spellStart"/>
      <w:r w:rsidR="00380775" w:rsidRPr="0032048B">
        <w:rPr>
          <w:sz w:val="24"/>
          <w:szCs w:val="24"/>
          <w:lang w:val="sq-AL"/>
        </w:rPr>
        <w:t>buxhetimit</w:t>
      </w:r>
      <w:proofErr w:type="spellEnd"/>
      <w:r w:rsidR="00380775" w:rsidRPr="0032048B">
        <w:rPr>
          <w:sz w:val="24"/>
          <w:szCs w:val="24"/>
          <w:lang w:val="sq-AL"/>
        </w:rPr>
        <w:t xml:space="preserve"> duhet të përmirësohet më tej duke përdorur plot</w:t>
      </w:r>
      <w:r w:rsidRPr="0032048B">
        <w:rPr>
          <w:sz w:val="24"/>
          <w:szCs w:val="24"/>
          <w:lang w:val="sq-AL"/>
        </w:rPr>
        <w:t>ë</w:t>
      </w:r>
      <w:r w:rsidR="00380775" w:rsidRPr="0032048B">
        <w:rPr>
          <w:sz w:val="24"/>
          <w:szCs w:val="24"/>
          <w:lang w:val="sq-AL"/>
        </w:rPr>
        <w:t>sisht sistemet që janë zhvilluar, pas një rishikimi të funksionalitetit të tyre.</w:t>
      </w:r>
    </w:p>
    <w:p w14:paraId="4BA3A629" w14:textId="769A511C"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SASPAC-u tani është plot</w:t>
      </w:r>
      <w:r w:rsidR="005D3CCC" w:rsidRPr="0032048B">
        <w:rPr>
          <w:sz w:val="24"/>
          <w:szCs w:val="24"/>
          <w:lang w:val="sq-AL"/>
        </w:rPr>
        <w:t>ë</w:t>
      </w:r>
      <w:r w:rsidRPr="0032048B">
        <w:rPr>
          <w:sz w:val="24"/>
          <w:szCs w:val="24"/>
          <w:lang w:val="sq-AL"/>
        </w:rPr>
        <w:t>suar me personel dhe po zbaton mandatin e tij për koordinimin e politikave dhe projekteve midis Qeverisë së Shqipërisë dhe donatorëve, përfshirë institucionet e pavarura fiskale. Nevojiten përpjekje të mëtejshme për të forcuar aftësinë administrative të ministrive të linjës dhe zyrën e kryeministrit si dhe për rritur llogaridh</w:t>
      </w:r>
      <w:r w:rsidR="005D3CCC" w:rsidRPr="0032048B">
        <w:rPr>
          <w:sz w:val="24"/>
          <w:szCs w:val="24"/>
          <w:lang w:val="sq-AL"/>
        </w:rPr>
        <w:t>ë</w:t>
      </w:r>
      <w:r w:rsidRPr="0032048B">
        <w:rPr>
          <w:sz w:val="24"/>
          <w:szCs w:val="24"/>
          <w:lang w:val="sq-AL"/>
        </w:rPr>
        <w:t xml:space="preserve">nien e drejtuesve </w:t>
      </w:r>
      <w:r w:rsidRPr="0032048B">
        <w:rPr>
          <w:i/>
          <w:sz w:val="24"/>
          <w:szCs w:val="24"/>
          <w:lang w:val="sq-AL"/>
        </w:rPr>
        <w:t>(shiko Kapitullin 32 - Kontrolli Financiar).</w:t>
      </w:r>
      <w:r w:rsidRPr="0032048B">
        <w:rPr>
          <w:sz w:val="24"/>
          <w:szCs w:val="24"/>
          <w:lang w:val="sq-AL"/>
        </w:rPr>
        <w:t xml:space="preserve"> Rregullorja e Zyrës së Kryeministrit </w:t>
      </w:r>
      <w:r w:rsidR="005D3CCC" w:rsidRPr="0032048B">
        <w:rPr>
          <w:sz w:val="24"/>
          <w:szCs w:val="24"/>
          <w:lang w:val="sq-AL"/>
        </w:rPr>
        <w:t>ë</w:t>
      </w:r>
      <w:r w:rsidRPr="0032048B">
        <w:rPr>
          <w:sz w:val="24"/>
          <w:szCs w:val="24"/>
          <w:lang w:val="sq-AL"/>
        </w:rPr>
        <w:t>sht</w:t>
      </w:r>
      <w:r w:rsidR="005D3CCC" w:rsidRPr="0032048B">
        <w:rPr>
          <w:sz w:val="24"/>
          <w:szCs w:val="24"/>
          <w:lang w:val="sq-AL"/>
        </w:rPr>
        <w:t>ë</w:t>
      </w:r>
      <w:r w:rsidRPr="0032048B">
        <w:rPr>
          <w:sz w:val="24"/>
          <w:szCs w:val="24"/>
          <w:lang w:val="sq-AL"/>
        </w:rPr>
        <w:t xml:space="preserve"> n</w:t>
      </w:r>
      <w:r w:rsidR="005D3CCC" w:rsidRPr="0032048B">
        <w:rPr>
          <w:sz w:val="24"/>
          <w:szCs w:val="24"/>
          <w:lang w:val="sq-AL"/>
        </w:rPr>
        <w:t>ë</w:t>
      </w:r>
      <w:r w:rsidRPr="0032048B">
        <w:rPr>
          <w:sz w:val="24"/>
          <w:szCs w:val="24"/>
          <w:lang w:val="sq-AL"/>
        </w:rPr>
        <w:t xml:space="preserve"> pritje t</w:t>
      </w:r>
      <w:r w:rsidR="005D3CCC" w:rsidRPr="0032048B">
        <w:rPr>
          <w:sz w:val="24"/>
          <w:szCs w:val="24"/>
          <w:lang w:val="sq-AL"/>
        </w:rPr>
        <w:t>ë</w:t>
      </w:r>
      <w:r w:rsidRPr="0032048B">
        <w:rPr>
          <w:sz w:val="24"/>
          <w:szCs w:val="24"/>
          <w:lang w:val="sq-AL"/>
        </w:rPr>
        <w:t xml:space="preserve"> miratimit.</w:t>
      </w:r>
    </w:p>
    <w:p w14:paraId="602A423E" w14:textId="7FC77521"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lastRenderedPageBreak/>
        <w:t xml:space="preserve">Duhet të forcohet më tej kapaciteti administrativ për hartimin e </w:t>
      </w:r>
      <w:r w:rsidRPr="0032048B">
        <w:rPr>
          <w:b/>
          <w:sz w:val="24"/>
          <w:szCs w:val="24"/>
          <w:lang w:val="sq-AL"/>
        </w:rPr>
        <w:t>politikave gjithëpërfshirëse dhe të bazuara në t</w:t>
      </w:r>
      <w:r w:rsidR="005D3CCC" w:rsidRPr="0032048B">
        <w:rPr>
          <w:b/>
          <w:sz w:val="24"/>
          <w:szCs w:val="24"/>
          <w:lang w:val="sq-AL"/>
        </w:rPr>
        <w:t>ë</w:t>
      </w:r>
      <w:r w:rsidRPr="0032048B">
        <w:rPr>
          <w:b/>
          <w:sz w:val="24"/>
          <w:szCs w:val="24"/>
          <w:lang w:val="sq-AL"/>
        </w:rPr>
        <w:t xml:space="preserve"> dh</w:t>
      </w:r>
      <w:r w:rsidR="005D3CCC" w:rsidRPr="0032048B">
        <w:rPr>
          <w:b/>
          <w:sz w:val="24"/>
          <w:szCs w:val="24"/>
          <w:lang w:val="sq-AL"/>
        </w:rPr>
        <w:t>ë</w:t>
      </w:r>
      <w:r w:rsidRPr="0032048B">
        <w:rPr>
          <w:b/>
          <w:sz w:val="24"/>
          <w:szCs w:val="24"/>
          <w:lang w:val="sq-AL"/>
        </w:rPr>
        <w:t>na si dhe p</w:t>
      </w:r>
      <w:r w:rsidR="005D3CCC" w:rsidRPr="0032048B">
        <w:rPr>
          <w:b/>
          <w:sz w:val="24"/>
          <w:szCs w:val="24"/>
          <w:lang w:val="sq-AL"/>
        </w:rPr>
        <w:t>ë</w:t>
      </w:r>
      <w:r w:rsidRPr="0032048B">
        <w:rPr>
          <w:b/>
          <w:sz w:val="24"/>
          <w:szCs w:val="24"/>
          <w:lang w:val="sq-AL"/>
        </w:rPr>
        <w:t>r zhvillimin e legjislacionit</w:t>
      </w:r>
      <w:r w:rsidRPr="0032048B">
        <w:rPr>
          <w:sz w:val="24"/>
          <w:szCs w:val="24"/>
          <w:lang w:val="sq-AL"/>
        </w:rPr>
        <w:t xml:space="preserve">. </w:t>
      </w:r>
      <w:r w:rsidR="005D3CCC" w:rsidRPr="0032048B">
        <w:rPr>
          <w:sz w:val="24"/>
          <w:szCs w:val="24"/>
          <w:lang w:val="sq-AL"/>
        </w:rPr>
        <w:t>Ë</w:t>
      </w:r>
      <w:r w:rsidRPr="0032048B">
        <w:rPr>
          <w:sz w:val="24"/>
          <w:szCs w:val="24"/>
          <w:lang w:val="sq-AL"/>
        </w:rPr>
        <w:t>sht</w:t>
      </w:r>
      <w:r w:rsidR="005D3CCC" w:rsidRPr="0032048B">
        <w:rPr>
          <w:sz w:val="24"/>
          <w:szCs w:val="24"/>
          <w:lang w:val="sq-AL"/>
        </w:rPr>
        <w:t>ë</w:t>
      </w:r>
      <w:r w:rsidRPr="0032048B">
        <w:rPr>
          <w:sz w:val="24"/>
          <w:szCs w:val="24"/>
          <w:lang w:val="sq-AL"/>
        </w:rPr>
        <w:t xml:space="preserve"> raportuar progres n</w:t>
      </w:r>
      <w:r w:rsidR="005D3CCC" w:rsidRPr="0032048B">
        <w:rPr>
          <w:sz w:val="24"/>
          <w:szCs w:val="24"/>
          <w:lang w:val="sq-AL"/>
        </w:rPr>
        <w:t>ë</w:t>
      </w:r>
      <w:r w:rsidRPr="0032048B">
        <w:rPr>
          <w:sz w:val="24"/>
          <w:szCs w:val="24"/>
          <w:lang w:val="sq-AL"/>
        </w:rPr>
        <w:t xml:space="preserve"> rritjen e përdorimit të vlerësimit t</w:t>
      </w:r>
      <w:r w:rsidR="005D3CCC" w:rsidRPr="0032048B">
        <w:rPr>
          <w:sz w:val="24"/>
          <w:szCs w:val="24"/>
          <w:lang w:val="sq-AL"/>
        </w:rPr>
        <w:t>ë</w:t>
      </w:r>
      <w:r w:rsidRPr="0032048B">
        <w:rPr>
          <w:sz w:val="24"/>
          <w:szCs w:val="24"/>
          <w:lang w:val="sq-AL"/>
        </w:rPr>
        <w:t xml:space="preserve"> ndikimit rregullator, dhe jan</w:t>
      </w:r>
      <w:r w:rsidR="005D3CCC" w:rsidRPr="0032048B">
        <w:rPr>
          <w:sz w:val="24"/>
          <w:szCs w:val="24"/>
          <w:lang w:val="sq-AL"/>
        </w:rPr>
        <w:t>ë</w:t>
      </w:r>
      <w:r w:rsidRPr="0032048B">
        <w:rPr>
          <w:sz w:val="24"/>
          <w:szCs w:val="24"/>
          <w:lang w:val="sq-AL"/>
        </w:rPr>
        <w:t xml:space="preserve"> zhvilluar trajnime praktike për subjektet e përfshira, por </w:t>
      </w:r>
      <w:r w:rsidR="002402C2" w:rsidRPr="0032048B">
        <w:rPr>
          <w:sz w:val="24"/>
          <w:szCs w:val="24"/>
          <w:lang w:val="sq-AL"/>
        </w:rPr>
        <w:t>nevojiten</w:t>
      </w:r>
      <w:r w:rsidRPr="0032048B">
        <w:rPr>
          <w:sz w:val="24"/>
          <w:szCs w:val="24"/>
          <w:lang w:val="sq-AL"/>
        </w:rPr>
        <w:t xml:space="preserve"> përpjekje t</w:t>
      </w:r>
      <w:r w:rsidR="005D3CCC" w:rsidRPr="0032048B">
        <w:rPr>
          <w:sz w:val="24"/>
          <w:szCs w:val="24"/>
          <w:lang w:val="sq-AL"/>
        </w:rPr>
        <w:t>ë</w:t>
      </w:r>
      <w:r w:rsidRPr="0032048B">
        <w:rPr>
          <w:sz w:val="24"/>
          <w:szCs w:val="24"/>
          <w:lang w:val="sq-AL"/>
        </w:rPr>
        <w:t xml:space="preserve"> mëtejshme për të përmirësuar cilësinë e tyre. Për </w:t>
      </w:r>
      <w:r w:rsidRPr="0032048B">
        <w:rPr>
          <w:b/>
          <w:sz w:val="24"/>
          <w:szCs w:val="24"/>
          <w:lang w:val="sq-AL"/>
        </w:rPr>
        <w:t>konsultimin publik</w:t>
      </w:r>
      <w:r w:rsidRPr="0032048B">
        <w:rPr>
          <w:sz w:val="24"/>
          <w:szCs w:val="24"/>
          <w:lang w:val="sq-AL"/>
        </w:rPr>
        <w:t xml:space="preserve">, ekziston një kornizë </w:t>
      </w:r>
      <w:proofErr w:type="spellStart"/>
      <w:r w:rsidRPr="0032048B">
        <w:rPr>
          <w:sz w:val="24"/>
          <w:szCs w:val="24"/>
          <w:lang w:val="sq-AL"/>
        </w:rPr>
        <w:t>rregullatore</w:t>
      </w:r>
      <w:proofErr w:type="spellEnd"/>
      <w:r w:rsidRPr="0032048B">
        <w:rPr>
          <w:sz w:val="24"/>
          <w:szCs w:val="24"/>
          <w:lang w:val="sq-AL"/>
        </w:rPr>
        <w:t>. Portali elektronik n</w:t>
      </w:r>
      <w:r w:rsidR="005D3CCC" w:rsidRPr="0032048B">
        <w:rPr>
          <w:sz w:val="24"/>
          <w:szCs w:val="24"/>
          <w:lang w:val="sq-AL"/>
        </w:rPr>
        <w:t>ë</w:t>
      </w:r>
      <w:r w:rsidRPr="0032048B">
        <w:rPr>
          <w:sz w:val="24"/>
          <w:szCs w:val="24"/>
          <w:lang w:val="sq-AL"/>
        </w:rPr>
        <w:t xml:space="preserve"> internet funksionon</w:t>
      </w:r>
      <w:r w:rsidR="004D53EC">
        <w:rPr>
          <w:sz w:val="24"/>
          <w:szCs w:val="24"/>
          <w:lang w:val="sq-AL"/>
        </w:rPr>
        <w:t xml:space="preserve"> </w:t>
      </w:r>
      <w:r w:rsidRPr="0032048B">
        <w:rPr>
          <w:sz w:val="24"/>
          <w:szCs w:val="24"/>
          <w:lang w:val="sq-AL"/>
        </w:rPr>
        <w:t>dhe është azhurnuar. Sidoqoftë, përqindja e akteve ligjore që i nënshtrohen konsultimeve publike në internet mbetet shumë e ulët. Aktet n</w:t>
      </w:r>
      <w:r w:rsidR="005D3CCC" w:rsidRPr="0032048B">
        <w:rPr>
          <w:sz w:val="24"/>
          <w:szCs w:val="24"/>
          <w:lang w:val="sq-AL"/>
        </w:rPr>
        <w:t>ë</w:t>
      </w:r>
      <w:r w:rsidRPr="0032048B">
        <w:rPr>
          <w:sz w:val="24"/>
          <w:szCs w:val="24"/>
          <w:lang w:val="sq-AL"/>
        </w:rPr>
        <w:t xml:space="preserve">nligjore ende nuk u nënshtrohen konsultimeve publike. Në vitin 2022, 48 akte iu nënshtruan konsultimit publik, nga gjithsej 866 akte të miratuara. Kontrolli i cilësisë së konsultimeve duhet të forcohet si dhe të </w:t>
      </w:r>
      <w:proofErr w:type="spellStart"/>
      <w:r w:rsidRPr="0032048B">
        <w:rPr>
          <w:sz w:val="24"/>
          <w:szCs w:val="24"/>
          <w:lang w:val="sq-AL"/>
        </w:rPr>
        <w:t>t</w:t>
      </w:r>
      <w:r w:rsidR="005D3CCC" w:rsidRPr="0032048B">
        <w:rPr>
          <w:sz w:val="24"/>
          <w:szCs w:val="24"/>
          <w:lang w:val="sq-AL"/>
        </w:rPr>
        <w:t>ë</w:t>
      </w:r>
      <w:proofErr w:type="spellEnd"/>
      <w:r w:rsidRPr="0032048B">
        <w:rPr>
          <w:sz w:val="24"/>
          <w:szCs w:val="24"/>
          <w:lang w:val="sq-AL"/>
        </w:rPr>
        <w:t xml:space="preserve"> kryhet n</w:t>
      </w:r>
      <w:r w:rsidR="005D3CCC" w:rsidRPr="0032048B">
        <w:rPr>
          <w:sz w:val="24"/>
          <w:szCs w:val="24"/>
          <w:lang w:val="sq-AL"/>
        </w:rPr>
        <w:t>ë</w:t>
      </w:r>
      <w:r w:rsidRPr="0032048B">
        <w:rPr>
          <w:sz w:val="24"/>
          <w:szCs w:val="24"/>
          <w:lang w:val="sq-AL"/>
        </w:rPr>
        <w:t xml:space="preserve"> vijim</w:t>
      </w:r>
      <w:r w:rsidR="005D3CCC" w:rsidRPr="0032048B">
        <w:rPr>
          <w:sz w:val="24"/>
          <w:szCs w:val="24"/>
          <w:lang w:val="sq-AL"/>
        </w:rPr>
        <w:t>ë</w:t>
      </w:r>
      <w:r w:rsidRPr="0032048B">
        <w:rPr>
          <w:sz w:val="24"/>
          <w:szCs w:val="24"/>
          <w:lang w:val="sq-AL"/>
        </w:rPr>
        <w:t>si, krahas përpjekjeve të mëtejshme për të inkurajuar palët e interesuara të marrin pjesë, në veçanti shoqërinë civile.</w:t>
      </w:r>
    </w:p>
    <w:p w14:paraId="503C2C13" w14:textId="774D164C" w:rsidR="00380775" w:rsidRPr="0032048B" w:rsidRDefault="00380775" w:rsidP="00361D5A">
      <w:pPr>
        <w:tabs>
          <w:tab w:val="left" w:pos="1134"/>
        </w:tabs>
        <w:spacing w:before="62"/>
        <w:ind w:left="993" w:right="1067"/>
        <w:jc w:val="both"/>
        <w:rPr>
          <w:sz w:val="24"/>
          <w:szCs w:val="24"/>
          <w:lang w:val="sq-AL"/>
        </w:rPr>
      </w:pPr>
      <w:r w:rsidRPr="0032048B">
        <w:rPr>
          <w:b/>
          <w:sz w:val="24"/>
          <w:szCs w:val="24"/>
          <w:lang w:val="sq-AL"/>
        </w:rPr>
        <w:t xml:space="preserve">Kontrolli publik i punës së qeverisë </w:t>
      </w:r>
      <w:r w:rsidRPr="0032048B">
        <w:rPr>
          <w:sz w:val="24"/>
          <w:szCs w:val="24"/>
          <w:lang w:val="sq-AL"/>
        </w:rPr>
        <w:t xml:space="preserve">duhet të përmirësohet më tej. Mbikëqyrja parlamentare e </w:t>
      </w:r>
      <w:proofErr w:type="spellStart"/>
      <w:r w:rsidRPr="0032048B">
        <w:rPr>
          <w:sz w:val="24"/>
          <w:szCs w:val="24"/>
          <w:lang w:val="sq-AL"/>
        </w:rPr>
        <w:t>performancës</w:t>
      </w:r>
      <w:proofErr w:type="spellEnd"/>
      <w:r w:rsidRPr="0032048B">
        <w:rPr>
          <w:sz w:val="24"/>
          <w:szCs w:val="24"/>
          <w:lang w:val="sq-AL"/>
        </w:rPr>
        <w:t xml:space="preserve"> së qeverisë, përfshirë agjencitë e vart</w:t>
      </w:r>
      <w:r w:rsidR="005D3CCC" w:rsidRPr="0032048B">
        <w:rPr>
          <w:sz w:val="24"/>
          <w:szCs w:val="24"/>
          <w:lang w:val="sq-AL"/>
        </w:rPr>
        <w:t>ë</w:t>
      </w:r>
      <w:r w:rsidRPr="0032048B">
        <w:rPr>
          <w:sz w:val="24"/>
          <w:szCs w:val="24"/>
          <w:lang w:val="sq-AL"/>
        </w:rPr>
        <w:t>sis</w:t>
      </w:r>
      <w:r w:rsidR="005D3CCC" w:rsidRPr="0032048B">
        <w:rPr>
          <w:sz w:val="24"/>
          <w:szCs w:val="24"/>
          <w:lang w:val="sq-AL"/>
        </w:rPr>
        <w:t>ë</w:t>
      </w:r>
      <w:r w:rsidRPr="0032048B">
        <w:rPr>
          <w:sz w:val="24"/>
          <w:szCs w:val="24"/>
          <w:lang w:val="sq-AL"/>
        </w:rPr>
        <w:t xml:space="preserve">, duhet të forcohet. Monitorimi rregullator dhe institucional, si dhe korniza e raportimit për </w:t>
      </w:r>
      <w:proofErr w:type="spellStart"/>
      <w:r w:rsidRPr="0032048B">
        <w:rPr>
          <w:sz w:val="24"/>
          <w:szCs w:val="24"/>
          <w:lang w:val="sq-AL"/>
        </w:rPr>
        <w:t>performancën</w:t>
      </w:r>
      <w:proofErr w:type="spellEnd"/>
      <w:r w:rsidRPr="0032048B">
        <w:rPr>
          <w:sz w:val="24"/>
          <w:szCs w:val="24"/>
          <w:lang w:val="sq-AL"/>
        </w:rPr>
        <w:t xml:space="preserve"> e qeverisë, vazhdojn</w:t>
      </w:r>
      <w:r w:rsidR="005D3CCC" w:rsidRPr="0032048B">
        <w:rPr>
          <w:sz w:val="24"/>
          <w:szCs w:val="24"/>
          <w:lang w:val="sq-AL"/>
        </w:rPr>
        <w:t>ë</w:t>
      </w:r>
      <w:r w:rsidRPr="0032048B">
        <w:rPr>
          <w:sz w:val="24"/>
          <w:szCs w:val="24"/>
          <w:lang w:val="sq-AL"/>
        </w:rPr>
        <w:t xml:space="preserve"> t</w:t>
      </w:r>
      <w:r w:rsidR="005D3CCC" w:rsidRPr="0032048B">
        <w:rPr>
          <w:sz w:val="24"/>
          <w:szCs w:val="24"/>
          <w:lang w:val="sq-AL"/>
        </w:rPr>
        <w:t>ë</w:t>
      </w:r>
      <w:r w:rsidRPr="0032048B">
        <w:rPr>
          <w:sz w:val="24"/>
          <w:szCs w:val="24"/>
          <w:lang w:val="sq-AL"/>
        </w:rPr>
        <w:t xml:space="preserve"> jenë të fragmentuara. Harmonizimi i praktikave të raportimit do të lehtësohej n</w:t>
      </w:r>
      <w:r w:rsidR="005D3CCC" w:rsidRPr="0032048B">
        <w:rPr>
          <w:sz w:val="24"/>
          <w:szCs w:val="24"/>
          <w:lang w:val="sq-AL"/>
        </w:rPr>
        <w:t>ë</w:t>
      </w:r>
      <w:r w:rsidRPr="0032048B">
        <w:rPr>
          <w:sz w:val="24"/>
          <w:szCs w:val="24"/>
          <w:lang w:val="sq-AL"/>
        </w:rPr>
        <w:t>p</w:t>
      </w:r>
      <w:r w:rsidR="005D3CCC" w:rsidRPr="0032048B">
        <w:rPr>
          <w:sz w:val="24"/>
          <w:szCs w:val="24"/>
          <w:lang w:val="sq-AL"/>
        </w:rPr>
        <w:t>ë</w:t>
      </w:r>
      <w:r w:rsidRPr="0032048B">
        <w:rPr>
          <w:sz w:val="24"/>
          <w:szCs w:val="24"/>
          <w:lang w:val="sq-AL"/>
        </w:rPr>
        <w:t>rmjet përdorimit t</w:t>
      </w:r>
      <w:r w:rsidR="005D3CCC" w:rsidRPr="0032048B">
        <w:rPr>
          <w:sz w:val="24"/>
          <w:szCs w:val="24"/>
          <w:lang w:val="sq-AL"/>
        </w:rPr>
        <w:t>ë</w:t>
      </w:r>
      <w:r w:rsidRPr="0032048B">
        <w:rPr>
          <w:sz w:val="24"/>
          <w:szCs w:val="24"/>
          <w:lang w:val="sq-AL"/>
        </w:rPr>
        <w:t xml:space="preserve"> sistemit t</w:t>
      </w:r>
      <w:r w:rsidR="005D3CCC" w:rsidRPr="0032048B">
        <w:rPr>
          <w:sz w:val="24"/>
          <w:szCs w:val="24"/>
          <w:lang w:val="sq-AL"/>
        </w:rPr>
        <w:t>ë</w:t>
      </w:r>
      <w:r w:rsidRPr="0032048B">
        <w:rPr>
          <w:sz w:val="24"/>
          <w:szCs w:val="24"/>
          <w:lang w:val="sq-AL"/>
        </w:rPr>
        <w:t xml:space="preserve"> informacionit të planifikimit të integruar. Duhet të përmirësohet komunikimi me qytetarët në lidhje me p</w:t>
      </w:r>
      <w:r w:rsidR="005D3CCC" w:rsidRPr="0032048B">
        <w:rPr>
          <w:sz w:val="24"/>
          <w:szCs w:val="24"/>
          <w:lang w:val="sq-AL"/>
        </w:rPr>
        <w:t>ë</w:t>
      </w:r>
      <w:r w:rsidRPr="0032048B">
        <w:rPr>
          <w:sz w:val="24"/>
          <w:szCs w:val="24"/>
          <w:lang w:val="sq-AL"/>
        </w:rPr>
        <w:t>rpjekjet n</w:t>
      </w:r>
      <w:r w:rsidR="005D3CCC" w:rsidRPr="0032048B">
        <w:rPr>
          <w:sz w:val="24"/>
          <w:szCs w:val="24"/>
          <w:lang w:val="sq-AL"/>
        </w:rPr>
        <w:t>ë</w:t>
      </w:r>
      <w:r w:rsidRPr="0032048B">
        <w:rPr>
          <w:sz w:val="24"/>
          <w:szCs w:val="24"/>
          <w:lang w:val="sq-AL"/>
        </w:rPr>
        <w:t xml:space="preserve"> kuadrin e reformave në proces.</w:t>
      </w:r>
    </w:p>
    <w:p w14:paraId="2F73AFCB" w14:textId="77777777" w:rsidR="00380775" w:rsidRPr="0032048B" w:rsidRDefault="00380775" w:rsidP="00361D5A">
      <w:pPr>
        <w:tabs>
          <w:tab w:val="left" w:pos="1134"/>
        </w:tabs>
        <w:spacing w:before="120"/>
        <w:ind w:left="993" w:right="1067"/>
        <w:jc w:val="both"/>
        <w:rPr>
          <w:sz w:val="24"/>
          <w:szCs w:val="24"/>
          <w:lang w:val="sq-AL"/>
        </w:rPr>
      </w:pPr>
      <w:r w:rsidRPr="0032048B">
        <w:rPr>
          <w:sz w:val="24"/>
          <w:szCs w:val="24"/>
          <w:u w:val="single"/>
          <w:lang w:val="sq-AL"/>
        </w:rPr>
        <w:t>Menaxhimi i financave publike</w:t>
      </w:r>
    </w:p>
    <w:p w14:paraId="042BBEE4" w14:textId="473C7E1E"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 xml:space="preserve">Strategjia </w:t>
      </w:r>
      <w:r w:rsidR="008B6479" w:rsidRPr="0032048B">
        <w:rPr>
          <w:sz w:val="24"/>
          <w:szCs w:val="24"/>
          <w:lang w:val="sq-AL"/>
        </w:rPr>
        <w:t>MFP</w:t>
      </w:r>
      <w:r w:rsidRPr="0032048B">
        <w:rPr>
          <w:sz w:val="24"/>
          <w:szCs w:val="24"/>
          <w:lang w:val="sq-AL"/>
        </w:rPr>
        <w:t xml:space="preserve"> 2014-2022 skadoi në dhjetor 2022, kurse strategjia e re është në proces përgatitjeje me afat miratimi brenda vitit 2023. Strategjia e re duhet të hartohet përmes një procesi gjithëpërfshirës. Ministria e Financave dhe Ekonomisë (MFE), e cila është institucioni kryesor për reformat e </w:t>
      </w:r>
      <w:r w:rsidR="008B6479" w:rsidRPr="0032048B">
        <w:rPr>
          <w:sz w:val="24"/>
          <w:szCs w:val="24"/>
          <w:lang w:val="sq-AL"/>
        </w:rPr>
        <w:t>MFP</w:t>
      </w:r>
      <w:r w:rsidRPr="0032048B">
        <w:rPr>
          <w:sz w:val="24"/>
          <w:szCs w:val="24"/>
          <w:lang w:val="sq-AL"/>
        </w:rPr>
        <w:t>-s</w:t>
      </w:r>
      <w:r w:rsidR="005D3CCC" w:rsidRPr="0032048B">
        <w:rPr>
          <w:sz w:val="24"/>
          <w:szCs w:val="24"/>
          <w:lang w:val="sq-AL"/>
        </w:rPr>
        <w:t>ë</w:t>
      </w:r>
      <w:r w:rsidRPr="0032048B">
        <w:rPr>
          <w:sz w:val="24"/>
          <w:szCs w:val="24"/>
          <w:lang w:val="sq-AL"/>
        </w:rPr>
        <w:t xml:space="preserve">, raporton rregullisht për zbatimin e strategjisë </w:t>
      </w:r>
      <w:r w:rsidR="008B6479" w:rsidRPr="0032048B">
        <w:rPr>
          <w:sz w:val="24"/>
          <w:szCs w:val="24"/>
          <w:lang w:val="sq-AL"/>
        </w:rPr>
        <w:t>MFP</w:t>
      </w:r>
      <w:r w:rsidRPr="0032048B">
        <w:rPr>
          <w:sz w:val="24"/>
          <w:szCs w:val="24"/>
          <w:lang w:val="sq-AL"/>
        </w:rPr>
        <w:t>.</w:t>
      </w:r>
    </w:p>
    <w:p w14:paraId="1D46D086" w14:textId="79744E28" w:rsidR="00380775" w:rsidRPr="0032048B" w:rsidRDefault="00380775" w:rsidP="00361D5A">
      <w:pPr>
        <w:tabs>
          <w:tab w:val="left" w:pos="1134"/>
        </w:tabs>
        <w:spacing w:before="120"/>
        <w:ind w:left="993" w:right="1067"/>
        <w:jc w:val="both"/>
        <w:rPr>
          <w:sz w:val="24"/>
          <w:szCs w:val="24"/>
          <w:lang w:val="sq-AL"/>
        </w:rPr>
      </w:pPr>
      <w:r w:rsidRPr="0032048B">
        <w:rPr>
          <w:b/>
          <w:bCs/>
          <w:sz w:val="24"/>
          <w:szCs w:val="24"/>
          <w:lang w:val="sq-AL"/>
        </w:rPr>
        <w:t>Ligji për buxhetin organik</w:t>
      </w:r>
      <w:r w:rsidRPr="0032048B">
        <w:rPr>
          <w:sz w:val="24"/>
          <w:szCs w:val="24"/>
          <w:lang w:val="sq-AL"/>
        </w:rPr>
        <w:t xml:space="preserve"> është zbatuar sistematikisht në përputhje me kalendarin e buxhetit për vitin 2022. Në vitet e fundit, përfshirë edhe vitin 2022, rishikimet e buxhetit janë bërë kryesisht përmes akteve normative, shpesh pa transparencë, dhe jan</w:t>
      </w:r>
      <w:r w:rsidR="005D3CCC" w:rsidRPr="0032048B">
        <w:rPr>
          <w:sz w:val="24"/>
          <w:szCs w:val="24"/>
          <w:lang w:val="sq-AL"/>
        </w:rPr>
        <w:t>ë</w:t>
      </w:r>
      <w:r w:rsidRPr="0032048B">
        <w:rPr>
          <w:sz w:val="24"/>
          <w:szCs w:val="24"/>
          <w:lang w:val="sq-AL"/>
        </w:rPr>
        <w:t xml:space="preserve"> miratuar </w:t>
      </w:r>
      <w:proofErr w:type="spellStart"/>
      <w:r w:rsidRPr="0032048B">
        <w:rPr>
          <w:i/>
          <w:iCs/>
          <w:sz w:val="24"/>
          <w:szCs w:val="24"/>
          <w:lang w:val="sq-AL"/>
        </w:rPr>
        <w:t>ex</w:t>
      </w:r>
      <w:proofErr w:type="spellEnd"/>
      <w:r w:rsidRPr="0032048B">
        <w:rPr>
          <w:i/>
          <w:iCs/>
          <w:sz w:val="24"/>
          <w:szCs w:val="24"/>
          <w:lang w:val="sq-AL"/>
        </w:rPr>
        <w:t xml:space="preserve"> post</w:t>
      </w:r>
      <w:r w:rsidRPr="0032048B">
        <w:rPr>
          <w:sz w:val="24"/>
          <w:szCs w:val="24"/>
          <w:lang w:val="sq-AL"/>
        </w:rPr>
        <w:t xml:space="preserve"> nga Parlamenti. Kushtet e pasigurta ekonomike e kanë justifikuar këtë në një farë mase, por kthimi në procedurat e rregullta të rishikimit të buxhetit duket e përshtatshme. Ende nuk </w:t>
      </w:r>
      <w:r w:rsidR="005D3CCC" w:rsidRPr="0032048B">
        <w:rPr>
          <w:sz w:val="24"/>
          <w:szCs w:val="24"/>
          <w:lang w:val="sq-AL"/>
        </w:rPr>
        <w:t>ë</w:t>
      </w:r>
      <w:r w:rsidRPr="0032048B">
        <w:rPr>
          <w:sz w:val="24"/>
          <w:szCs w:val="24"/>
          <w:lang w:val="sq-AL"/>
        </w:rPr>
        <w:t>sht</w:t>
      </w:r>
      <w:r w:rsidR="005D3CCC" w:rsidRPr="0032048B">
        <w:rPr>
          <w:sz w:val="24"/>
          <w:szCs w:val="24"/>
          <w:lang w:val="sq-AL"/>
        </w:rPr>
        <w:t>ë</w:t>
      </w:r>
      <w:r w:rsidRPr="0032048B">
        <w:rPr>
          <w:sz w:val="24"/>
          <w:szCs w:val="24"/>
          <w:lang w:val="sq-AL"/>
        </w:rPr>
        <w:t xml:space="preserve"> krijuar organi i pavarur mbikëqyrës me mandat për të vlerësuar rreziqet fiskale dhe për të monitoruar p</w:t>
      </w:r>
      <w:r w:rsidR="005D3CCC" w:rsidRPr="0032048B">
        <w:rPr>
          <w:sz w:val="24"/>
          <w:szCs w:val="24"/>
          <w:lang w:val="sq-AL"/>
        </w:rPr>
        <w:t>ë</w:t>
      </w:r>
      <w:r w:rsidRPr="0032048B">
        <w:rPr>
          <w:sz w:val="24"/>
          <w:szCs w:val="24"/>
          <w:lang w:val="sq-AL"/>
        </w:rPr>
        <w:t>rputhshm</w:t>
      </w:r>
      <w:r w:rsidR="005D3CCC" w:rsidRPr="0032048B">
        <w:rPr>
          <w:sz w:val="24"/>
          <w:szCs w:val="24"/>
          <w:lang w:val="sq-AL"/>
        </w:rPr>
        <w:t>ë</w:t>
      </w:r>
      <w:r w:rsidRPr="0032048B">
        <w:rPr>
          <w:sz w:val="24"/>
          <w:szCs w:val="24"/>
          <w:lang w:val="sq-AL"/>
        </w:rPr>
        <w:t>rin</w:t>
      </w:r>
      <w:r w:rsidR="005D3CCC" w:rsidRPr="0032048B">
        <w:rPr>
          <w:sz w:val="24"/>
          <w:szCs w:val="24"/>
          <w:lang w:val="sq-AL"/>
        </w:rPr>
        <w:t>ë</w:t>
      </w:r>
      <w:r w:rsidRPr="0032048B">
        <w:rPr>
          <w:sz w:val="24"/>
          <w:szCs w:val="24"/>
          <w:lang w:val="sq-AL"/>
        </w:rPr>
        <w:t xml:space="preserve"> me rregullat ekzistuese fiskale. Cilësia e programit të buxhetit afatmesëm është përmirësuar, por duhet të vazhdojnë përpjekjet p</w:t>
      </w:r>
      <w:r w:rsidR="005D3CCC" w:rsidRPr="0032048B">
        <w:rPr>
          <w:sz w:val="24"/>
          <w:szCs w:val="24"/>
          <w:lang w:val="sq-AL"/>
        </w:rPr>
        <w:t>ë</w:t>
      </w:r>
      <w:r w:rsidRPr="0032048B">
        <w:rPr>
          <w:sz w:val="24"/>
          <w:szCs w:val="24"/>
          <w:lang w:val="sq-AL"/>
        </w:rPr>
        <w:t>r t</w:t>
      </w:r>
      <w:r w:rsidR="005D3CCC" w:rsidRPr="0032048B">
        <w:rPr>
          <w:sz w:val="24"/>
          <w:szCs w:val="24"/>
          <w:lang w:val="sq-AL"/>
        </w:rPr>
        <w:t>ë</w:t>
      </w:r>
      <w:r w:rsidRPr="0032048B">
        <w:rPr>
          <w:sz w:val="24"/>
          <w:szCs w:val="24"/>
          <w:lang w:val="sq-AL"/>
        </w:rPr>
        <w:t xml:space="preserve"> përmirësuar n</w:t>
      </w:r>
      <w:r w:rsidR="005D3CCC" w:rsidRPr="0032048B">
        <w:rPr>
          <w:sz w:val="24"/>
          <w:szCs w:val="24"/>
          <w:lang w:val="sq-AL"/>
        </w:rPr>
        <w:t>ë</w:t>
      </w:r>
      <w:r w:rsidRPr="0032048B">
        <w:rPr>
          <w:sz w:val="24"/>
          <w:szCs w:val="24"/>
          <w:lang w:val="sq-AL"/>
        </w:rPr>
        <w:t xml:space="preserve"> vazhdim</w:t>
      </w:r>
      <w:r w:rsidR="005D3CCC" w:rsidRPr="0032048B">
        <w:rPr>
          <w:sz w:val="24"/>
          <w:szCs w:val="24"/>
          <w:lang w:val="sq-AL"/>
        </w:rPr>
        <w:t>ë</w:t>
      </w:r>
      <w:r w:rsidRPr="0032048B">
        <w:rPr>
          <w:sz w:val="24"/>
          <w:szCs w:val="24"/>
          <w:lang w:val="sq-AL"/>
        </w:rPr>
        <w:t>si p</w:t>
      </w:r>
      <w:r w:rsidR="005D3CCC" w:rsidRPr="0032048B">
        <w:rPr>
          <w:sz w:val="24"/>
          <w:szCs w:val="24"/>
          <w:lang w:val="sq-AL"/>
        </w:rPr>
        <w:t>ë</w:t>
      </w:r>
      <w:r w:rsidRPr="0032048B">
        <w:rPr>
          <w:sz w:val="24"/>
          <w:szCs w:val="24"/>
          <w:lang w:val="sq-AL"/>
        </w:rPr>
        <w:t>rllogaritjen e t</w:t>
      </w:r>
      <w:r w:rsidR="005D3CCC" w:rsidRPr="0032048B">
        <w:rPr>
          <w:sz w:val="24"/>
          <w:szCs w:val="24"/>
          <w:lang w:val="sq-AL"/>
        </w:rPr>
        <w:t>ë</w:t>
      </w:r>
      <w:r w:rsidRPr="0032048B">
        <w:rPr>
          <w:sz w:val="24"/>
          <w:szCs w:val="24"/>
          <w:lang w:val="sq-AL"/>
        </w:rPr>
        <w:t xml:space="preserve"> ardhurave dhe p</w:t>
      </w:r>
      <w:r w:rsidR="005D3CCC" w:rsidRPr="0032048B">
        <w:rPr>
          <w:sz w:val="24"/>
          <w:szCs w:val="24"/>
          <w:lang w:val="sq-AL"/>
        </w:rPr>
        <w:t>ë</w:t>
      </w:r>
      <w:r w:rsidRPr="0032048B">
        <w:rPr>
          <w:sz w:val="24"/>
          <w:szCs w:val="24"/>
          <w:lang w:val="sq-AL"/>
        </w:rPr>
        <w:t>r t</w:t>
      </w:r>
      <w:r w:rsidR="005D3CCC" w:rsidRPr="0032048B">
        <w:rPr>
          <w:sz w:val="24"/>
          <w:szCs w:val="24"/>
          <w:lang w:val="sq-AL"/>
        </w:rPr>
        <w:t>ë</w:t>
      </w:r>
      <w:r w:rsidRPr="0032048B">
        <w:rPr>
          <w:sz w:val="24"/>
          <w:szCs w:val="24"/>
          <w:lang w:val="sq-AL"/>
        </w:rPr>
        <w:t xml:space="preserve"> forcuar tavanet e sektorit në mbështet</w:t>
      </w:r>
      <w:r w:rsidR="002402C2" w:rsidRPr="0032048B">
        <w:rPr>
          <w:sz w:val="24"/>
          <w:szCs w:val="24"/>
          <w:lang w:val="sq-AL"/>
        </w:rPr>
        <w:t>je</w:t>
      </w:r>
      <w:r w:rsidRPr="0032048B">
        <w:rPr>
          <w:sz w:val="24"/>
          <w:szCs w:val="24"/>
          <w:lang w:val="sq-AL"/>
        </w:rPr>
        <w:t xml:space="preserve"> t</w:t>
      </w:r>
      <w:r w:rsidR="005D3CCC" w:rsidRPr="0032048B">
        <w:rPr>
          <w:sz w:val="24"/>
          <w:szCs w:val="24"/>
          <w:lang w:val="sq-AL"/>
        </w:rPr>
        <w:t>ë</w:t>
      </w:r>
      <w:r w:rsidRPr="0032048B">
        <w:rPr>
          <w:sz w:val="24"/>
          <w:szCs w:val="24"/>
          <w:lang w:val="sq-AL"/>
        </w:rPr>
        <w:t xml:space="preserve"> ministrive t</w:t>
      </w:r>
      <w:r w:rsidR="005D3CCC" w:rsidRPr="0032048B">
        <w:rPr>
          <w:sz w:val="24"/>
          <w:szCs w:val="24"/>
          <w:lang w:val="sq-AL"/>
        </w:rPr>
        <w:t>ë</w:t>
      </w:r>
      <w:r w:rsidRPr="0032048B">
        <w:rPr>
          <w:sz w:val="24"/>
          <w:szCs w:val="24"/>
          <w:lang w:val="sq-AL"/>
        </w:rPr>
        <w:t xml:space="preserve"> linjës lidhur me zbatimin e politikave p</w:t>
      </w:r>
      <w:r w:rsidR="005D3CCC" w:rsidRPr="0032048B">
        <w:rPr>
          <w:sz w:val="24"/>
          <w:szCs w:val="24"/>
          <w:lang w:val="sq-AL"/>
        </w:rPr>
        <w:t>ë</w:t>
      </w:r>
      <w:r w:rsidRPr="0032048B">
        <w:rPr>
          <w:sz w:val="24"/>
          <w:szCs w:val="24"/>
          <w:lang w:val="sq-AL"/>
        </w:rPr>
        <w:t>rkat</w:t>
      </w:r>
      <w:r w:rsidR="005D3CCC" w:rsidRPr="0032048B">
        <w:rPr>
          <w:sz w:val="24"/>
          <w:szCs w:val="24"/>
          <w:lang w:val="sq-AL"/>
        </w:rPr>
        <w:t>ë</w:t>
      </w:r>
      <w:r w:rsidRPr="0032048B">
        <w:rPr>
          <w:sz w:val="24"/>
          <w:szCs w:val="24"/>
          <w:lang w:val="sq-AL"/>
        </w:rPr>
        <w:t>se. Përpjekjet q</w:t>
      </w:r>
      <w:r w:rsidR="005D3CCC" w:rsidRPr="0032048B">
        <w:rPr>
          <w:sz w:val="24"/>
          <w:szCs w:val="24"/>
          <w:lang w:val="sq-AL"/>
        </w:rPr>
        <w:t>ë</w:t>
      </w:r>
      <w:r w:rsidRPr="0032048B">
        <w:rPr>
          <w:sz w:val="24"/>
          <w:szCs w:val="24"/>
          <w:lang w:val="sq-AL"/>
        </w:rPr>
        <w:t xml:space="preserve"> sapo kan</w:t>
      </w:r>
      <w:r w:rsidR="005D3CCC" w:rsidRPr="0032048B">
        <w:rPr>
          <w:sz w:val="24"/>
          <w:szCs w:val="24"/>
          <w:lang w:val="sq-AL"/>
        </w:rPr>
        <w:t>ë</w:t>
      </w:r>
      <w:r w:rsidRPr="0032048B">
        <w:rPr>
          <w:sz w:val="24"/>
          <w:szCs w:val="24"/>
          <w:lang w:val="sq-AL"/>
        </w:rPr>
        <w:t xml:space="preserve"> filluar për </w:t>
      </w:r>
      <w:proofErr w:type="spellStart"/>
      <w:r w:rsidRPr="0032048B">
        <w:rPr>
          <w:sz w:val="24"/>
          <w:szCs w:val="24"/>
          <w:lang w:val="sq-AL"/>
        </w:rPr>
        <w:t>buxhetimin</w:t>
      </w:r>
      <w:proofErr w:type="spellEnd"/>
      <w:r w:rsidRPr="0032048B">
        <w:rPr>
          <w:sz w:val="24"/>
          <w:szCs w:val="24"/>
          <w:lang w:val="sq-AL"/>
        </w:rPr>
        <w:t xml:space="preserve"> e përgjegjshëm ndaj gjinisë duhet të vazhdojn</w:t>
      </w:r>
      <w:r w:rsidR="005D3CCC" w:rsidRPr="0032048B">
        <w:rPr>
          <w:sz w:val="24"/>
          <w:szCs w:val="24"/>
          <w:lang w:val="sq-AL"/>
        </w:rPr>
        <w:t>ë</w:t>
      </w:r>
      <w:r w:rsidRPr="0032048B">
        <w:rPr>
          <w:sz w:val="24"/>
          <w:szCs w:val="24"/>
          <w:lang w:val="sq-AL"/>
        </w:rPr>
        <w:t xml:space="preserve"> dhe t</w:t>
      </w:r>
      <w:r w:rsidR="005D3CCC" w:rsidRPr="0032048B">
        <w:rPr>
          <w:sz w:val="24"/>
          <w:szCs w:val="24"/>
          <w:lang w:val="sq-AL"/>
        </w:rPr>
        <w:t>ë</w:t>
      </w:r>
      <w:r w:rsidRPr="0032048B">
        <w:rPr>
          <w:sz w:val="24"/>
          <w:szCs w:val="24"/>
          <w:lang w:val="sq-AL"/>
        </w:rPr>
        <w:t xml:space="preserve"> zgjerohen.</w:t>
      </w:r>
    </w:p>
    <w:p w14:paraId="40BA7826" w14:textId="77777777"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 xml:space="preserve">Transparenca e buxhetit mbetet e kënaqshme, në përgjithësi, me publikimin e të gjitha dokumenteve kryesore të buxhetit. Sidoqoftë, ende nevojitet përmirësimi i mëtejshëm i cilësisë dhe formatit të dokumenteve, përfshirë botimin e raporteve të </w:t>
      </w:r>
      <w:proofErr w:type="spellStart"/>
      <w:r w:rsidRPr="0032048B">
        <w:rPr>
          <w:sz w:val="24"/>
          <w:szCs w:val="24"/>
          <w:lang w:val="sq-AL"/>
        </w:rPr>
        <w:t>auditimit</w:t>
      </w:r>
      <w:proofErr w:type="spellEnd"/>
      <w:r w:rsidRPr="0032048B">
        <w:rPr>
          <w:sz w:val="24"/>
          <w:szCs w:val="24"/>
          <w:lang w:val="sq-AL"/>
        </w:rPr>
        <w:t xml:space="preserve"> në internet në kohën e duhur.</w:t>
      </w:r>
    </w:p>
    <w:p w14:paraId="4CA030FB" w14:textId="77777777" w:rsidR="00380775" w:rsidRPr="0032048B" w:rsidRDefault="00380775" w:rsidP="00361D5A">
      <w:pPr>
        <w:tabs>
          <w:tab w:val="left" w:pos="1134"/>
        </w:tabs>
        <w:spacing w:before="120"/>
        <w:ind w:left="993" w:right="1067"/>
        <w:jc w:val="both"/>
        <w:rPr>
          <w:sz w:val="24"/>
          <w:szCs w:val="24"/>
          <w:lang w:val="sq-AL"/>
        </w:rPr>
      </w:pPr>
      <w:r w:rsidRPr="0032048B">
        <w:rPr>
          <w:sz w:val="24"/>
          <w:szCs w:val="24"/>
          <w:u w:val="single"/>
          <w:lang w:val="sq-AL"/>
        </w:rPr>
        <w:t>Menaxhimi i shërbimeve publike dhe burimeve njerëzore</w:t>
      </w:r>
    </w:p>
    <w:p w14:paraId="3883EB98" w14:textId="0207D1CA" w:rsidR="00380775" w:rsidRPr="0032048B" w:rsidRDefault="00380775" w:rsidP="00361D5A">
      <w:pPr>
        <w:tabs>
          <w:tab w:val="left" w:pos="1134"/>
        </w:tabs>
        <w:spacing w:before="120"/>
        <w:ind w:left="993" w:right="1067"/>
        <w:jc w:val="both"/>
        <w:rPr>
          <w:sz w:val="24"/>
          <w:lang w:val="sq-AL"/>
        </w:rPr>
      </w:pPr>
      <w:r w:rsidRPr="0032048B">
        <w:rPr>
          <w:sz w:val="24"/>
          <w:lang w:val="sq-AL"/>
        </w:rPr>
        <w:t>Progresi i b</w:t>
      </w:r>
      <w:r w:rsidR="005D3CCC" w:rsidRPr="0032048B">
        <w:rPr>
          <w:sz w:val="24"/>
          <w:lang w:val="sq-AL"/>
        </w:rPr>
        <w:t>ë</w:t>
      </w:r>
      <w:r w:rsidRPr="0032048B">
        <w:rPr>
          <w:sz w:val="24"/>
          <w:lang w:val="sq-AL"/>
        </w:rPr>
        <w:t>r</w:t>
      </w:r>
      <w:r w:rsidR="005D3CCC" w:rsidRPr="0032048B">
        <w:rPr>
          <w:sz w:val="24"/>
          <w:lang w:val="sq-AL"/>
        </w:rPr>
        <w:t>ë</w:t>
      </w:r>
      <w:r w:rsidRPr="0032048B">
        <w:rPr>
          <w:sz w:val="24"/>
          <w:lang w:val="sq-AL"/>
        </w:rPr>
        <w:t xml:space="preserve"> në </w:t>
      </w:r>
      <w:r w:rsidRPr="0032048B">
        <w:rPr>
          <w:b/>
          <w:bCs/>
          <w:sz w:val="24"/>
          <w:lang w:val="sq-AL"/>
        </w:rPr>
        <w:t>pun</w:t>
      </w:r>
      <w:r w:rsidR="005D3CCC" w:rsidRPr="0032048B">
        <w:rPr>
          <w:b/>
          <w:bCs/>
          <w:sz w:val="24"/>
          <w:lang w:val="sq-AL"/>
        </w:rPr>
        <w:t>ë</w:t>
      </w:r>
      <w:r w:rsidRPr="0032048B">
        <w:rPr>
          <w:b/>
          <w:bCs/>
          <w:sz w:val="24"/>
          <w:lang w:val="sq-AL"/>
        </w:rPr>
        <w:t xml:space="preserve">simin e bazuar në meritë, promovimin dhe pushimin nga puna </w:t>
      </w:r>
      <w:r w:rsidRPr="0032048B">
        <w:rPr>
          <w:sz w:val="24"/>
          <w:lang w:val="sq-AL"/>
        </w:rPr>
        <w:t>duhet të konsolidohet duke p</w:t>
      </w:r>
      <w:r w:rsidR="005D3CCC" w:rsidRPr="0032048B">
        <w:rPr>
          <w:sz w:val="24"/>
          <w:lang w:val="sq-AL"/>
        </w:rPr>
        <w:t>ë</w:t>
      </w:r>
      <w:r w:rsidRPr="0032048B">
        <w:rPr>
          <w:sz w:val="24"/>
          <w:lang w:val="sq-AL"/>
        </w:rPr>
        <w:t>rdorur standarde të qëndrueshme në të gjithë administratën publike dhe në të gjitha nivelet e saj.</w:t>
      </w:r>
    </w:p>
    <w:p w14:paraId="37F1FAF7" w14:textId="2AE7348A" w:rsidR="00380775" w:rsidRPr="0032048B" w:rsidRDefault="00380775" w:rsidP="00361D5A">
      <w:pPr>
        <w:tabs>
          <w:tab w:val="left" w:pos="1134"/>
        </w:tabs>
        <w:spacing w:before="120"/>
        <w:ind w:left="993" w:right="1067"/>
        <w:jc w:val="both"/>
        <w:rPr>
          <w:sz w:val="24"/>
          <w:lang w:val="sq-AL"/>
        </w:rPr>
      </w:pPr>
      <w:r w:rsidRPr="0032048B">
        <w:rPr>
          <w:sz w:val="24"/>
          <w:lang w:val="sq-AL"/>
        </w:rPr>
        <w:t>Procedurat e pun</w:t>
      </w:r>
      <w:r w:rsidR="005D3CCC" w:rsidRPr="0032048B">
        <w:rPr>
          <w:sz w:val="24"/>
          <w:lang w:val="sq-AL"/>
        </w:rPr>
        <w:t>ë</w:t>
      </w:r>
      <w:r w:rsidRPr="0032048B">
        <w:rPr>
          <w:sz w:val="24"/>
          <w:lang w:val="sq-AL"/>
        </w:rPr>
        <w:t>simit duhet t</w:t>
      </w:r>
      <w:r w:rsidR="005D3CCC" w:rsidRPr="0032048B">
        <w:rPr>
          <w:sz w:val="24"/>
          <w:lang w:val="sq-AL"/>
        </w:rPr>
        <w:t>ë</w:t>
      </w:r>
      <w:r w:rsidRPr="0032048B">
        <w:rPr>
          <w:sz w:val="24"/>
          <w:lang w:val="sq-AL"/>
        </w:rPr>
        <w:t xml:space="preserve"> rrisin shkall</w:t>
      </w:r>
      <w:r w:rsidR="005D3CCC" w:rsidRPr="0032048B">
        <w:rPr>
          <w:sz w:val="24"/>
          <w:lang w:val="sq-AL"/>
        </w:rPr>
        <w:t>ë</w:t>
      </w:r>
      <w:r w:rsidRPr="0032048B">
        <w:rPr>
          <w:sz w:val="24"/>
          <w:lang w:val="sq-AL"/>
        </w:rPr>
        <w:t>n e respektimit t</w:t>
      </w:r>
      <w:r w:rsidR="005D3CCC" w:rsidRPr="0032048B">
        <w:rPr>
          <w:sz w:val="24"/>
          <w:lang w:val="sq-AL"/>
        </w:rPr>
        <w:t>ë</w:t>
      </w:r>
      <w:r w:rsidRPr="0032048B">
        <w:rPr>
          <w:sz w:val="24"/>
          <w:lang w:val="sq-AL"/>
        </w:rPr>
        <w:t xml:space="preserve"> ligjit. Ekzistojn</w:t>
      </w:r>
      <w:r w:rsidR="005D3CCC" w:rsidRPr="0032048B">
        <w:rPr>
          <w:sz w:val="24"/>
          <w:lang w:val="sq-AL"/>
        </w:rPr>
        <w:t>ë</w:t>
      </w:r>
      <w:r w:rsidRPr="0032048B">
        <w:rPr>
          <w:sz w:val="24"/>
          <w:lang w:val="sq-AL"/>
        </w:rPr>
        <w:t xml:space="preserve"> procedura t</w:t>
      </w:r>
      <w:r w:rsidR="005D3CCC" w:rsidRPr="0032048B">
        <w:rPr>
          <w:sz w:val="24"/>
          <w:lang w:val="sq-AL"/>
        </w:rPr>
        <w:t>ë</w:t>
      </w:r>
      <w:r w:rsidRPr="0032048B">
        <w:rPr>
          <w:sz w:val="24"/>
          <w:lang w:val="sq-AL"/>
        </w:rPr>
        <w:t xml:space="preserve"> qarta p</w:t>
      </w:r>
      <w:r w:rsidR="005D3CCC" w:rsidRPr="0032048B">
        <w:rPr>
          <w:sz w:val="24"/>
          <w:lang w:val="sq-AL"/>
        </w:rPr>
        <w:t>ë</w:t>
      </w:r>
      <w:r w:rsidRPr="0032048B">
        <w:rPr>
          <w:sz w:val="24"/>
          <w:lang w:val="sq-AL"/>
        </w:rPr>
        <w:t>r p</w:t>
      </w:r>
      <w:r w:rsidR="005D3CCC" w:rsidRPr="0032048B">
        <w:rPr>
          <w:sz w:val="24"/>
          <w:lang w:val="sq-AL"/>
        </w:rPr>
        <w:t>ë</w:t>
      </w:r>
      <w:r w:rsidRPr="0032048B">
        <w:rPr>
          <w:sz w:val="24"/>
          <w:lang w:val="sq-AL"/>
        </w:rPr>
        <w:t>rz</w:t>
      </w:r>
      <w:r w:rsidR="002402C2" w:rsidRPr="0032048B">
        <w:rPr>
          <w:sz w:val="24"/>
          <w:lang w:val="sq-AL"/>
        </w:rPr>
        <w:t>gj</w:t>
      </w:r>
      <w:r w:rsidRPr="0032048B">
        <w:rPr>
          <w:sz w:val="24"/>
          <w:lang w:val="sq-AL"/>
        </w:rPr>
        <w:t>edhjen e punonj</w:t>
      </w:r>
      <w:r w:rsidR="005D3CCC" w:rsidRPr="0032048B">
        <w:rPr>
          <w:sz w:val="24"/>
          <w:lang w:val="sq-AL"/>
        </w:rPr>
        <w:t>ë</w:t>
      </w:r>
      <w:r w:rsidRPr="0032048B">
        <w:rPr>
          <w:sz w:val="24"/>
          <w:lang w:val="sq-AL"/>
        </w:rPr>
        <w:t>sve nga grupi i kandidat</w:t>
      </w:r>
      <w:r w:rsidR="005D3CCC" w:rsidRPr="0032048B">
        <w:rPr>
          <w:sz w:val="24"/>
          <w:lang w:val="sq-AL"/>
        </w:rPr>
        <w:t>ë</w:t>
      </w:r>
      <w:r w:rsidRPr="0032048B">
        <w:rPr>
          <w:sz w:val="24"/>
          <w:lang w:val="sq-AL"/>
        </w:rPr>
        <w:t>ve, por ato ende nuk zbatohen plotësisht. Parimi i meritës duhet të respektohet si për pozicionet e nivelit të lartë, ashtu edhe të nivelit të hyrjes n</w:t>
      </w:r>
      <w:r w:rsidR="005D3CCC" w:rsidRPr="0032048B">
        <w:rPr>
          <w:sz w:val="24"/>
          <w:lang w:val="sq-AL"/>
        </w:rPr>
        <w:t>ë</w:t>
      </w:r>
      <w:r w:rsidRPr="0032048B">
        <w:rPr>
          <w:sz w:val="24"/>
          <w:lang w:val="sq-AL"/>
        </w:rPr>
        <w:t xml:space="preserve"> pun</w:t>
      </w:r>
      <w:r w:rsidR="005D3CCC" w:rsidRPr="0032048B">
        <w:rPr>
          <w:sz w:val="24"/>
          <w:lang w:val="sq-AL"/>
        </w:rPr>
        <w:t>ë</w:t>
      </w:r>
      <w:r w:rsidRPr="0032048B">
        <w:rPr>
          <w:sz w:val="24"/>
          <w:lang w:val="sq-AL"/>
        </w:rPr>
        <w:t>. Administrata arrin të plotësojë shumicën e posteve të lira; nga 855 pozicione të lira të hapura për pun</w:t>
      </w:r>
      <w:r w:rsidR="005D3CCC" w:rsidRPr="0032048B">
        <w:rPr>
          <w:sz w:val="24"/>
          <w:lang w:val="sq-AL"/>
        </w:rPr>
        <w:t>ë</w:t>
      </w:r>
      <w:r w:rsidRPr="0032048B">
        <w:rPr>
          <w:sz w:val="24"/>
          <w:lang w:val="sq-AL"/>
        </w:rPr>
        <w:t>sim nga jashtë, 830 u plot</w:t>
      </w:r>
      <w:r w:rsidR="005D3CCC" w:rsidRPr="0032048B">
        <w:rPr>
          <w:sz w:val="24"/>
          <w:lang w:val="sq-AL"/>
        </w:rPr>
        <w:t>ë</w:t>
      </w:r>
      <w:r w:rsidRPr="0032048B">
        <w:rPr>
          <w:sz w:val="24"/>
          <w:lang w:val="sq-AL"/>
        </w:rPr>
        <w:t>suan gjat</w:t>
      </w:r>
      <w:r w:rsidR="005D3CCC" w:rsidRPr="0032048B">
        <w:rPr>
          <w:sz w:val="24"/>
          <w:lang w:val="sq-AL"/>
        </w:rPr>
        <w:t>ë</w:t>
      </w:r>
      <w:r w:rsidRPr="0032048B">
        <w:rPr>
          <w:sz w:val="24"/>
          <w:lang w:val="sq-AL"/>
        </w:rPr>
        <w:t xml:space="preserve"> vitit 2022. Nga janari </w:t>
      </w:r>
      <w:r w:rsidRPr="0032048B">
        <w:rPr>
          <w:sz w:val="24"/>
          <w:lang w:val="sq-AL"/>
        </w:rPr>
        <w:lastRenderedPageBreak/>
        <w:t>deri në shtator 2023, 303 pozicione u plotësuan nga 585 poste të lira të shpallura. Në të gjithë administratën publike, përshkrimet e punës nuk janë ende plotësisht në përputhje me kategoritë e përcaktuara në ligjin e shërbimit civil. Nga 830 t</w:t>
      </w:r>
      <w:r w:rsidR="005D3CCC" w:rsidRPr="0032048B">
        <w:rPr>
          <w:sz w:val="24"/>
          <w:lang w:val="sq-AL"/>
        </w:rPr>
        <w:t>ë</w:t>
      </w:r>
      <w:r w:rsidRPr="0032048B">
        <w:rPr>
          <w:sz w:val="24"/>
          <w:lang w:val="sq-AL"/>
        </w:rPr>
        <w:t xml:space="preserve"> pun</w:t>
      </w:r>
      <w:r w:rsidR="005D3CCC" w:rsidRPr="0032048B">
        <w:rPr>
          <w:sz w:val="24"/>
          <w:lang w:val="sq-AL"/>
        </w:rPr>
        <w:t>ë</w:t>
      </w:r>
      <w:r w:rsidRPr="0032048B">
        <w:rPr>
          <w:sz w:val="24"/>
          <w:lang w:val="sq-AL"/>
        </w:rPr>
        <w:t>suar në 2022, 66% ishin gra dhe 34% - burra. Nga 303 t</w:t>
      </w:r>
      <w:r w:rsidR="005D3CCC" w:rsidRPr="0032048B">
        <w:rPr>
          <w:sz w:val="24"/>
          <w:lang w:val="sq-AL"/>
        </w:rPr>
        <w:t>ë</w:t>
      </w:r>
      <w:r w:rsidRPr="0032048B">
        <w:rPr>
          <w:sz w:val="24"/>
          <w:lang w:val="sq-AL"/>
        </w:rPr>
        <w:t xml:space="preserve"> pun</w:t>
      </w:r>
      <w:r w:rsidR="005D3CCC" w:rsidRPr="0032048B">
        <w:rPr>
          <w:sz w:val="24"/>
          <w:lang w:val="sq-AL"/>
        </w:rPr>
        <w:t>ë</w:t>
      </w:r>
      <w:r w:rsidRPr="0032048B">
        <w:rPr>
          <w:sz w:val="24"/>
          <w:lang w:val="sq-AL"/>
        </w:rPr>
        <w:t>suar nga janari deri në shtator 2023, 66% ishin gra dhe 34% - burra.</w:t>
      </w:r>
    </w:p>
    <w:p w14:paraId="593599EA" w14:textId="437F938C" w:rsidR="00380775" w:rsidRPr="0032048B" w:rsidRDefault="00380775" w:rsidP="00361D5A">
      <w:pPr>
        <w:tabs>
          <w:tab w:val="left" w:pos="1134"/>
        </w:tabs>
        <w:spacing w:before="120"/>
        <w:ind w:left="993" w:right="1067"/>
        <w:jc w:val="both"/>
        <w:rPr>
          <w:sz w:val="24"/>
          <w:lang w:val="sq-AL"/>
        </w:rPr>
      </w:pPr>
      <w:r w:rsidRPr="0032048B">
        <w:rPr>
          <w:sz w:val="24"/>
          <w:lang w:val="sq-AL"/>
        </w:rPr>
        <w:t xml:space="preserve">Në vitin 2022, pati 19 </w:t>
      </w:r>
      <w:r w:rsidRPr="0032048B">
        <w:rPr>
          <w:b/>
          <w:bCs/>
          <w:sz w:val="24"/>
          <w:lang w:val="sq-AL"/>
        </w:rPr>
        <w:t xml:space="preserve">largime </w:t>
      </w:r>
      <w:r w:rsidRPr="0032048B">
        <w:rPr>
          <w:sz w:val="24"/>
          <w:lang w:val="sq-AL"/>
        </w:rPr>
        <w:t>nga shërbimi civil, një numër dukshëm më i ulët sesa vitet e kaluara (346 në 2021, 619 në 2020) dhe autoritetet kanë deklaruar se këto shkarkime u b</w:t>
      </w:r>
      <w:r w:rsidR="005D3CCC" w:rsidRPr="0032048B">
        <w:rPr>
          <w:sz w:val="24"/>
          <w:lang w:val="sq-AL"/>
        </w:rPr>
        <w:t>ë</w:t>
      </w:r>
      <w:r w:rsidRPr="0032048B">
        <w:rPr>
          <w:sz w:val="24"/>
          <w:lang w:val="sq-AL"/>
        </w:rPr>
        <w:t>n</w:t>
      </w:r>
      <w:r w:rsidR="005D3CCC" w:rsidRPr="0032048B">
        <w:rPr>
          <w:sz w:val="24"/>
          <w:lang w:val="sq-AL"/>
        </w:rPr>
        <w:t>ë</w:t>
      </w:r>
      <w:r w:rsidRPr="0032048B">
        <w:rPr>
          <w:sz w:val="24"/>
          <w:lang w:val="sq-AL"/>
        </w:rPr>
        <w:t xml:space="preserve"> në përputhje me ligjin e shërbimit civil. Qeveria raporton se shkalla e ekzekutimit të vendimeve gjyq</w:t>
      </w:r>
      <w:r w:rsidR="005D3CCC" w:rsidRPr="0032048B">
        <w:rPr>
          <w:sz w:val="24"/>
          <w:lang w:val="sq-AL"/>
        </w:rPr>
        <w:t>ë</w:t>
      </w:r>
      <w:r w:rsidRPr="0032048B">
        <w:rPr>
          <w:sz w:val="24"/>
          <w:lang w:val="sq-AL"/>
        </w:rPr>
        <w:t>sore t</w:t>
      </w:r>
      <w:r w:rsidR="005D3CCC" w:rsidRPr="0032048B">
        <w:rPr>
          <w:sz w:val="24"/>
          <w:lang w:val="sq-AL"/>
        </w:rPr>
        <w:t>ë</w:t>
      </w:r>
      <w:r w:rsidRPr="0032048B">
        <w:rPr>
          <w:sz w:val="24"/>
          <w:lang w:val="sq-AL"/>
        </w:rPr>
        <w:t xml:space="preserve"> form</w:t>
      </w:r>
      <w:r w:rsidR="005D3CCC" w:rsidRPr="0032048B">
        <w:rPr>
          <w:sz w:val="24"/>
          <w:lang w:val="sq-AL"/>
        </w:rPr>
        <w:t>ë</w:t>
      </w:r>
      <w:r w:rsidRPr="0032048B">
        <w:rPr>
          <w:sz w:val="24"/>
          <w:lang w:val="sq-AL"/>
        </w:rPr>
        <w:t>s s</w:t>
      </w:r>
      <w:r w:rsidR="005D3CCC" w:rsidRPr="0032048B">
        <w:rPr>
          <w:sz w:val="24"/>
          <w:lang w:val="sq-AL"/>
        </w:rPr>
        <w:t>ë</w:t>
      </w:r>
      <w:r w:rsidRPr="0032048B">
        <w:rPr>
          <w:sz w:val="24"/>
          <w:lang w:val="sq-AL"/>
        </w:rPr>
        <w:t xml:space="preserve"> prer</w:t>
      </w:r>
      <w:r w:rsidR="005D3CCC" w:rsidRPr="0032048B">
        <w:rPr>
          <w:sz w:val="24"/>
          <w:lang w:val="sq-AL"/>
        </w:rPr>
        <w:t>ë</w:t>
      </w:r>
      <w:r w:rsidRPr="0032048B">
        <w:rPr>
          <w:sz w:val="24"/>
          <w:lang w:val="sq-AL"/>
        </w:rPr>
        <w:t xml:space="preserve"> për rikthimin n</w:t>
      </w:r>
      <w:r w:rsidR="005D3CCC" w:rsidRPr="0032048B">
        <w:rPr>
          <w:sz w:val="24"/>
          <w:lang w:val="sq-AL"/>
        </w:rPr>
        <w:t>ë</w:t>
      </w:r>
      <w:r w:rsidRPr="0032048B">
        <w:rPr>
          <w:sz w:val="24"/>
          <w:lang w:val="sq-AL"/>
        </w:rPr>
        <w:t xml:space="preserve"> pun</w:t>
      </w:r>
      <w:r w:rsidR="005D3CCC" w:rsidRPr="0032048B">
        <w:rPr>
          <w:sz w:val="24"/>
          <w:lang w:val="sq-AL"/>
        </w:rPr>
        <w:t>ë</w:t>
      </w:r>
      <w:r w:rsidRPr="0032048B">
        <w:rPr>
          <w:sz w:val="24"/>
          <w:lang w:val="sq-AL"/>
        </w:rPr>
        <w:t xml:space="preserve"> u përmirësua nga 79.5% në 2021 në 81.5% në 2022. Koha e gjatë që merr zbatimi i vendimeve t</w:t>
      </w:r>
      <w:r w:rsidR="005D3CCC" w:rsidRPr="0032048B">
        <w:rPr>
          <w:sz w:val="24"/>
          <w:lang w:val="sq-AL"/>
        </w:rPr>
        <w:t>ë</w:t>
      </w:r>
      <w:r w:rsidRPr="0032048B">
        <w:rPr>
          <w:sz w:val="24"/>
          <w:lang w:val="sq-AL"/>
        </w:rPr>
        <w:t xml:space="preserve"> rikthimit n</w:t>
      </w:r>
      <w:r w:rsidR="005D3CCC" w:rsidRPr="0032048B">
        <w:rPr>
          <w:sz w:val="24"/>
          <w:lang w:val="sq-AL"/>
        </w:rPr>
        <w:t>ë</w:t>
      </w:r>
      <w:r w:rsidRPr="0032048B">
        <w:rPr>
          <w:sz w:val="24"/>
          <w:lang w:val="sq-AL"/>
        </w:rPr>
        <w:t xml:space="preserve"> pun</w:t>
      </w:r>
      <w:r w:rsidR="005D3CCC" w:rsidRPr="0032048B">
        <w:rPr>
          <w:sz w:val="24"/>
          <w:lang w:val="sq-AL"/>
        </w:rPr>
        <w:t>ë</w:t>
      </w:r>
      <w:r w:rsidRPr="0032048B">
        <w:rPr>
          <w:sz w:val="24"/>
          <w:lang w:val="sq-AL"/>
        </w:rPr>
        <w:t xml:space="preserve"> ka një kosto të konsiderueshme për qeverinë, prandaj v</w:t>
      </w:r>
      <w:r w:rsidR="005D3CCC" w:rsidRPr="0032048B">
        <w:rPr>
          <w:sz w:val="24"/>
          <w:lang w:val="sq-AL"/>
        </w:rPr>
        <w:t>ë</w:t>
      </w:r>
      <w:r w:rsidRPr="0032048B">
        <w:rPr>
          <w:sz w:val="24"/>
          <w:lang w:val="sq-AL"/>
        </w:rPr>
        <w:t>mendja duhet t</w:t>
      </w:r>
      <w:r w:rsidR="005D3CCC" w:rsidRPr="0032048B">
        <w:rPr>
          <w:sz w:val="24"/>
          <w:lang w:val="sq-AL"/>
        </w:rPr>
        <w:t>ë</w:t>
      </w:r>
      <w:r w:rsidRPr="0032048B">
        <w:rPr>
          <w:sz w:val="24"/>
          <w:lang w:val="sq-AL"/>
        </w:rPr>
        <w:t xml:space="preserve"> p</w:t>
      </w:r>
      <w:r w:rsidR="005D3CCC" w:rsidRPr="0032048B">
        <w:rPr>
          <w:sz w:val="24"/>
          <w:lang w:val="sq-AL"/>
        </w:rPr>
        <w:t>ë</w:t>
      </w:r>
      <w:r w:rsidRPr="0032048B">
        <w:rPr>
          <w:sz w:val="24"/>
          <w:lang w:val="sq-AL"/>
        </w:rPr>
        <w:t>rqendrohet n</w:t>
      </w:r>
      <w:r w:rsidR="005D3CCC" w:rsidRPr="0032048B">
        <w:rPr>
          <w:sz w:val="24"/>
          <w:lang w:val="sq-AL"/>
        </w:rPr>
        <w:t>ë</w:t>
      </w:r>
      <w:r w:rsidRPr="0032048B">
        <w:rPr>
          <w:sz w:val="24"/>
          <w:lang w:val="sq-AL"/>
        </w:rPr>
        <w:t xml:space="preserve"> zbatimin sa m</w:t>
      </w:r>
      <w:r w:rsidR="005D3CCC" w:rsidRPr="0032048B">
        <w:rPr>
          <w:sz w:val="24"/>
          <w:lang w:val="sq-AL"/>
        </w:rPr>
        <w:t>ë</w:t>
      </w:r>
      <w:r w:rsidRPr="0032048B">
        <w:rPr>
          <w:sz w:val="24"/>
          <w:lang w:val="sq-AL"/>
        </w:rPr>
        <w:t xml:space="preserve"> t</w:t>
      </w:r>
      <w:r w:rsidR="005D3CCC" w:rsidRPr="0032048B">
        <w:rPr>
          <w:sz w:val="24"/>
          <w:lang w:val="sq-AL"/>
        </w:rPr>
        <w:t>ë</w:t>
      </w:r>
      <w:r w:rsidRPr="0032048B">
        <w:rPr>
          <w:sz w:val="24"/>
          <w:lang w:val="sq-AL"/>
        </w:rPr>
        <w:t xml:space="preserve"> shpejt</w:t>
      </w:r>
      <w:r w:rsidR="005D3CCC" w:rsidRPr="0032048B">
        <w:rPr>
          <w:sz w:val="24"/>
          <w:lang w:val="sq-AL"/>
        </w:rPr>
        <w:t>ë</w:t>
      </w:r>
      <w:r w:rsidRPr="0032048B">
        <w:rPr>
          <w:sz w:val="24"/>
          <w:lang w:val="sq-AL"/>
        </w:rPr>
        <w:t xml:space="preserve"> t</w:t>
      </w:r>
      <w:r w:rsidR="005D3CCC" w:rsidRPr="0032048B">
        <w:rPr>
          <w:sz w:val="24"/>
          <w:lang w:val="sq-AL"/>
        </w:rPr>
        <w:t>ë</w:t>
      </w:r>
      <w:r w:rsidRPr="0032048B">
        <w:rPr>
          <w:sz w:val="24"/>
          <w:lang w:val="sq-AL"/>
        </w:rPr>
        <w:t xml:space="preserve"> tyre.</w:t>
      </w:r>
    </w:p>
    <w:p w14:paraId="785E8B15" w14:textId="602839ED" w:rsidR="00380775" w:rsidRPr="0032048B" w:rsidRDefault="00380775" w:rsidP="00361D5A">
      <w:pPr>
        <w:tabs>
          <w:tab w:val="left" w:pos="1134"/>
        </w:tabs>
        <w:spacing w:before="120"/>
        <w:ind w:left="993" w:right="1067"/>
        <w:jc w:val="both"/>
        <w:rPr>
          <w:sz w:val="24"/>
          <w:szCs w:val="24"/>
          <w:lang w:val="sq-AL"/>
        </w:rPr>
      </w:pPr>
      <w:r w:rsidRPr="0032048B">
        <w:rPr>
          <w:sz w:val="24"/>
          <w:lang w:val="sq-AL"/>
        </w:rPr>
        <w:t xml:space="preserve">Sistemi i informacionit për </w:t>
      </w:r>
      <w:r w:rsidRPr="0032048B">
        <w:rPr>
          <w:b/>
          <w:bCs/>
          <w:sz w:val="24"/>
          <w:lang w:val="sq-AL"/>
        </w:rPr>
        <w:t>menaxhimin e burimeve njerëzore</w:t>
      </w:r>
      <w:r w:rsidRPr="0032048B">
        <w:rPr>
          <w:sz w:val="24"/>
          <w:lang w:val="sq-AL"/>
        </w:rPr>
        <w:t xml:space="preserve"> vazhdon të mbushet me të dhënat e nevojshme, megjithëse me një ritëm të ngadaltë. Ende nuk e mbulon të gjithë sektorin publik, nuk është plotësisht i azhurnuar dhe akoma nuk </w:t>
      </w:r>
      <w:r w:rsidR="005D3CCC" w:rsidRPr="0032048B">
        <w:rPr>
          <w:sz w:val="24"/>
          <w:lang w:val="sq-AL"/>
        </w:rPr>
        <w:t>ë</w:t>
      </w:r>
      <w:r w:rsidRPr="0032048B">
        <w:rPr>
          <w:sz w:val="24"/>
          <w:lang w:val="sq-AL"/>
        </w:rPr>
        <w:t>sht</w:t>
      </w:r>
      <w:r w:rsidR="005D3CCC" w:rsidRPr="0032048B">
        <w:rPr>
          <w:sz w:val="24"/>
          <w:lang w:val="sq-AL"/>
        </w:rPr>
        <w:t>ë</w:t>
      </w:r>
      <w:r w:rsidRPr="0032048B">
        <w:rPr>
          <w:sz w:val="24"/>
          <w:lang w:val="sq-AL"/>
        </w:rPr>
        <w:t xml:space="preserve"> shtrir</w:t>
      </w:r>
      <w:r w:rsidR="005D3CCC" w:rsidRPr="0032048B">
        <w:rPr>
          <w:sz w:val="24"/>
          <w:lang w:val="sq-AL"/>
        </w:rPr>
        <w:t>ë</w:t>
      </w:r>
      <w:r w:rsidRPr="0032048B">
        <w:rPr>
          <w:sz w:val="24"/>
          <w:lang w:val="sq-AL"/>
        </w:rPr>
        <w:t xml:space="preserve"> në nivelin lokal</w:t>
      </w:r>
      <w:r w:rsidRPr="0032048B">
        <w:rPr>
          <w:sz w:val="24"/>
          <w:szCs w:val="24"/>
          <w:lang w:val="sq-AL"/>
        </w:rPr>
        <w:t>.</w:t>
      </w:r>
    </w:p>
    <w:p w14:paraId="5E0AA61A" w14:textId="346BD977"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 xml:space="preserve">Në kuadrin e </w:t>
      </w:r>
      <w:r w:rsidRPr="0032048B">
        <w:rPr>
          <w:b/>
          <w:bCs/>
          <w:sz w:val="24"/>
          <w:szCs w:val="24"/>
          <w:lang w:val="sq-AL"/>
        </w:rPr>
        <w:t>reformës s</w:t>
      </w:r>
      <w:r w:rsidR="005D3CCC" w:rsidRPr="0032048B">
        <w:rPr>
          <w:b/>
          <w:bCs/>
          <w:sz w:val="24"/>
          <w:szCs w:val="24"/>
          <w:lang w:val="sq-AL"/>
        </w:rPr>
        <w:t>ë</w:t>
      </w:r>
      <w:r w:rsidRPr="0032048B">
        <w:rPr>
          <w:b/>
          <w:bCs/>
          <w:sz w:val="24"/>
          <w:szCs w:val="24"/>
          <w:lang w:val="sq-AL"/>
        </w:rPr>
        <w:t xml:space="preserve"> pagave</w:t>
      </w:r>
      <w:r w:rsidRPr="0032048B">
        <w:rPr>
          <w:sz w:val="24"/>
          <w:szCs w:val="24"/>
          <w:lang w:val="sq-AL"/>
        </w:rPr>
        <w:t>, në maj 2023, u miratuan dy ligje të reja dhe paketa e akteve nënligjore. Pagat u rrit</w:t>
      </w:r>
      <w:r w:rsidR="005D3CCC" w:rsidRPr="0032048B">
        <w:rPr>
          <w:sz w:val="24"/>
          <w:szCs w:val="24"/>
          <w:lang w:val="sq-AL"/>
        </w:rPr>
        <w:t>ë</w:t>
      </w:r>
      <w:r w:rsidRPr="0032048B">
        <w:rPr>
          <w:sz w:val="24"/>
          <w:szCs w:val="24"/>
          <w:lang w:val="sq-AL"/>
        </w:rPr>
        <w:t>n edhe p</w:t>
      </w:r>
      <w:r w:rsidR="005D3CCC" w:rsidRPr="0032048B">
        <w:rPr>
          <w:sz w:val="24"/>
          <w:szCs w:val="24"/>
          <w:lang w:val="sq-AL"/>
        </w:rPr>
        <w:t>ë</w:t>
      </w:r>
      <w:r w:rsidRPr="0032048B">
        <w:rPr>
          <w:sz w:val="24"/>
          <w:szCs w:val="24"/>
          <w:lang w:val="sq-AL"/>
        </w:rPr>
        <w:t>r zyrtar</w:t>
      </w:r>
      <w:r w:rsidR="005D3CCC" w:rsidRPr="0032048B">
        <w:rPr>
          <w:sz w:val="24"/>
          <w:szCs w:val="24"/>
          <w:lang w:val="sq-AL"/>
        </w:rPr>
        <w:t>ë</w:t>
      </w:r>
      <w:r w:rsidRPr="0032048B">
        <w:rPr>
          <w:sz w:val="24"/>
          <w:szCs w:val="24"/>
          <w:lang w:val="sq-AL"/>
        </w:rPr>
        <w:t>t e zgjedhur, duke ndikuar n</w:t>
      </w:r>
      <w:r w:rsidR="005D3CCC" w:rsidRPr="0032048B">
        <w:rPr>
          <w:sz w:val="24"/>
          <w:szCs w:val="24"/>
          <w:lang w:val="sq-AL"/>
        </w:rPr>
        <w:t>ë</w:t>
      </w:r>
      <w:r w:rsidRPr="0032048B">
        <w:rPr>
          <w:sz w:val="24"/>
          <w:szCs w:val="24"/>
          <w:lang w:val="sq-AL"/>
        </w:rPr>
        <w:t xml:space="preserve"> rritjen e pagave për organet kushtetuese. Reforma gjithashtu prezanton një numër ndryshimesh në strukturën e pagave të shërbimit civil, duke përfshirë një peshë më të madhe p</w:t>
      </w:r>
      <w:r w:rsidR="005D3CCC" w:rsidRPr="0032048B">
        <w:rPr>
          <w:sz w:val="24"/>
          <w:szCs w:val="24"/>
          <w:lang w:val="sq-AL"/>
        </w:rPr>
        <w:t>ë</w:t>
      </w:r>
      <w:r w:rsidRPr="0032048B">
        <w:rPr>
          <w:sz w:val="24"/>
          <w:szCs w:val="24"/>
          <w:lang w:val="sq-AL"/>
        </w:rPr>
        <w:t>r vjetërsinë n</w:t>
      </w:r>
      <w:r w:rsidR="005D3CCC" w:rsidRPr="0032048B">
        <w:rPr>
          <w:sz w:val="24"/>
          <w:szCs w:val="24"/>
          <w:lang w:val="sq-AL"/>
        </w:rPr>
        <w:t>ë</w:t>
      </w:r>
      <w:r w:rsidRPr="0032048B">
        <w:rPr>
          <w:sz w:val="24"/>
          <w:szCs w:val="24"/>
          <w:lang w:val="sq-AL"/>
        </w:rPr>
        <w:t xml:space="preserve"> pun</w:t>
      </w:r>
      <w:r w:rsidR="005D3CCC" w:rsidRPr="0032048B">
        <w:rPr>
          <w:sz w:val="24"/>
          <w:szCs w:val="24"/>
          <w:lang w:val="sq-AL"/>
        </w:rPr>
        <w:t>ë</w:t>
      </w:r>
      <w:r w:rsidRPr="0032048B">
        <w:rPr>
          <w:sz w:val="24"/>
          <w:szCs w:val="24"/>
          <w:lang w:val="sq-AL"/>
        </w:rPr>
        <w:t xml:space="preserve"> dhe një diapazon më të gjerë të klasave të pagave. Rritja e pagës do t</w:t>
      </w:r>
      <w:r w:rsidR="005D3CCC" w:rsidRPr="0032048B">
        <w:rPr>
          <w:sz w:val="24"/>
          <w:szCs w:val="24"/>
          <w:lang w:val="sq-AL"/>
        </w:rPr>
        <w:t>ë</w:t>
      </w:r>
      <w:r w:rsidRPr="0032048B">
        <w:rPr>
          <w:sz w:val="24"/>
          <w:szCs w:val="24"/>
          <w:lang w:val="sq-AL"/>
        </w:rPr>
        <w:t xml:space="preserve"> realizohet në dy faza, në 2023 dhe 2024. Më herët, në 2022 dhe 2023, ishin marrë një numër vendimesh të tjera që ndikuan në pagat, përfshirë rritjen e pagave të sektorit publik në sektorët kryesorë dhe rritjen e pagës minimale. Reforma t</w:t>
      </w:r>
      <w:r w:rsidR="005D3CCC" w:rsidRPr="0032048B">
        <w:rPr>
          <w:sz w:val="24"/>
          <w:szCs w:val="24"/>
          <w:lang w:val="sq-AL"/>
        </w:rPr>
        <w:t>ë</w:t>
      </w:r>
      <w:r w:rsidRPr="0032048B">
        <w:rPr>
          <w:sz w:val="24"/>
          <w:szCs w:val="24"/>
          <w:lang w:val="sq-AL"/>
        </w:rPr>
        <w:t>r</w:t>
      </w:r>
      <w:r w:rsidR="005D3CCC" w:rsidRPr="0032048B">
        <w:rPr>
          <w:sz w:val="24"/>
          <w:szCs w:val="24"/>
          <w:lang w:val="sq-AL"/>
        </w:rPr>
        <w:t>ë</w:t>
      </w:r>
      <w:r w:rsidRPr="0032048B">
        <w:rPr>
          <w:sz w:val="24"/>
          <w:szCs w:val="24"/>
          <w:lang w:val="sq-AL"/>
        </w:rPr>
        <w:t>sore e pagave nuk është përfunduar ende dhe masat e reja nuk ofrojn</w:t>
      </w:r>
      <w:r w:rsidR="005D3CCC" w:rsidRPr="0032048B">
        <w:rPr>
          <w:sz w:val="24"/>
          <w:szCs w:val="24"/>
          <w:lang w:val="sq-AL"/>
        </w:rPr>
        <w:t>ë</w:t>
      </w:r>
      <w:r w:rsidRPr="0032048B">
        <w:rPr>
          <w:sz w:val="24"/>
          <w:szCs w:val="24"/>
          <w:lang w:val="sq-AL"/>
        </w:rPr>
        <w:t xml:space="preserve"> zgjidhje p</w:t>
      </w:r>
      <w:r w:rsidR="005D3CCC" w:rsidRPr="0032048B">
        <w:rPr>
          <w:sz w:val="24"/>
          <w:szCs w:val="24"/>
          <w:lang w:val="sq-AL"/>
        </w:rPr>
        <w:t>ë</w:t>
      </w:r>
      <w:r w:rsidRPr="0032048B">
        <w:rPr>
          <w:sz w:val="24"/>
          <w:szCs w:val="24"/>
          <w:lang w:val="sq-AL"/>
        </w:rPr>
        <w:t xml:space="preserve">r të gjitha çështjet e pazgjidhura. Sistemi i pagave mbetet kompleks dhe jo plotësisht transparent. Reforma më e fundit siguron disa stimuj të kufizuar për përparimin në karrierë, por stimujt e </w:t>
      </w:r>
      <w:proofErr w:type="spellStart"/>
      <w:r w:rsidRPr="0032048B">
        <w:rPr>
          <w:sz w:val="24"/>
          <w:szCs w:val="24"/>
          <w:lang w:val="sq-AL"/>
        </w:rPr>
        <w:t>performancës</w:t>
      </w:r>
      <w:proofErr w:type="spellEnd"/>
      <w:r w:rsidRPr="0032048B">
        <w:rPr>
          <w:sz w:val="24"/>
          <w:szCs w:val="24"/>
          <w:lang w:val="sq-AL"/>
        </w:rPr>
        <w:t xml:space="preserve"> nuk kan</w:t>
      </w:r>
      <w:r w:rsidR="005D3CCC" w:rsidRPr="0032048B">
        <w:rPr>
          <w:sz w:val="24"/>
          <w:szCs w:val="24"/>
          <w:lang w:val="sq-AL"/>
        </w:rPr>
        <w:t>ë</w:t>
      </w:r>
      <w:r w:rsidRPr="0032048B">
        <w:rPr>
          <w:sz w:val="24"/>
          <w:szCs w:val="24"/>
          <w:lang w:val="sq-AL"/>
        </w:rPr>
        <w:t xml:space="preserve"> filluar t</w:t>
      </w:r>
      <w:r w:rsidR="005D3CCC" w:rsidRPr="0032048B">
        <w:rPr>
          <w:sz w:val="24"/>
          <w:szCs w:val="24"/>
          <w:lang w:val="sq-AL"/>
        </w:rPr>
        <w:t>ë</w:t>
      </w:r>
      <w:r w:rsidRPr="0032048B">
        <w:rPr>
          <w:sz w:val="24"/>
          <w:szCs w:val="24"/>
          <w:lang w:val="sq-AL"/>
        </w:rPr>
        <w:t xml:space="preserve"> zbatohen ende. Reforma e sistemit të shpërblimit duhet të lidhet me procesin e harmonizimit të përshkrimeve të punës. Automatizimi i llogaritjes së pagave u bllokua n</w:t>
      </w:r>
      <w:r w:rsidR="005D3CCC" w:rsidRPr="0032048B">
        <w:rPr>
          <w:sz w:val="24"/>
          <w:szCs w:val="24"/>
          <w:lang w:val="sq-AL"/>
        </w:rPr>
        <w:t>ë</w:t>
      </w:r>
      <w:r w:rsidRPr="0032048B">
        <w:rPr>
          <w:sz w:val="24"/>
          <w:szCs w:val="24"/>
          <w:lang w:val="sq-AL"/>
        </w:rPr>
        <w:t xml:space="preserve"> vitin 2022 dhe </w:t>
      </w:r>
      <w:r w:rsidR="000C6EFC" w:rsidRPr="0032048B">
        <w:rPr>
          <w:sz w:val="24"/>
          <w:szCs w:val="24"/>
          <w:lang w:val="sq-AL"/>
        </w:rPr>
        <w:t>shkak u konsiderua</w:t>
      </w:r>
      <w:r w:rsidRPr="0032048B">
        <w:rPr>
          <w:sz w:val="24"/>
          <w:szCs w:val="24"/>
          <w:lang w:val="sq-AL"/>
        </w:rPr>
        <w:t xml:space="preserve"> paaftësi</w:t>
      </w:r>
      <w:r w:rsidR="000C6EFC" w:rsidRPr="0032048B">
        <w:rPr>
          <w:sz w:val="24"/>
          <w:szCs w:val="24"/>
          <w:lang w:val="sq-AL"/>
        </w:rPr>
        <w:t>a</w:t>
      </w:r>
      <w:r w:rsidRPr="0032048B">
        <w:rPr>
          <w:sz w:val="24"/>
          <w:szCs w:val="24"/>
          <w:lang w:val="sq-AL"/>
        </w:rPr>
        <w:t xml:space="preserve"> </w:t>
      </w:r>
      <w:r w:rsidR="000C6EFC" w:rsidRPr="0032048B">
        <w:rPr>
          <w:sz w:val="24"/>
          <w:szCs w:val="24"/>
          <w:lang w:val="sq-AL"/>
        </w:rPr>
        <w:t>e</w:t>
      </w:r>
      <w:r w:rsidRPr="0032048B">
        <w:rPr>
          <w:sz w:val="24"/>
          <w:szCs w:val="24"/>
          <w:lang w:val="sq-AL"/>
        </w:rPr>
        <w:t xml:space="preserve"> sistemit të TI-s</w:t>
      </w:r>
      <w:r w:rsidR="005D3CCC" w:rsidRPr="0032048B">
        <w:rPr>
          <w:sz w:val="24"/>
          <w:szCs w:val="24"/>
          <w:lang w:val="sq-AL"/>
        </w:rPr>
        <w:t>ë</w:t>
      </w:r>
      <w:r w:rsidRPr="0032048B">
        <w:rPr>
          <w:sz w:val="24"/>
          <w:szCs w:val="24"/>
          <w:lang w:val="sq-AL"/>
        </w:rPr>
        <w:t xml:space="preserve"> në vend për të kryer këtë funksion</w:t>
      </w:r>
      <w:r w:rsidR="000C6EFC" w:rsidRPr="0032048B">
        <w:rPr>
          <w:sz w:val="24"/>
          <w:szCs w:val="24"/>
          <w:lang w:val="sq-AL"/>
        </w:rPr>
        <w:t xml:space="preserve">, si dhe </w:t>
      </w:r>
      <w:proofErr w:type="spellStart"/>
      <w:r w:rsidR="000C6EFC" w:rsidRPr="0032048B">
        <w:rPr>
          <w:sz w:val="24"/>
          <w:szCs w:val="24"/>
          <w:lang w:val="sq-AL"/>
        </w:rPr>
        <w:t>kompleksiteti</w:t>
      </w:r>
      <w:proofErr w:type="spellEnd"/>
      <w:r w:rsidR="000C6EFC" w:rsidRPr="0032048B">
        <w:rPr>
          <w:sz w:val="24"/>
          <w:szCs w:val="24"/>
          <w:lang w:val="sq-AL"/>
        </w:rPr>
        <w:t xml:space="preserve"> i</w:t>
      </w:r>
      <w:r w:rsidRPr="0032048B">
        <w:rPr>
          <w:sz w:val="24"/>
          <w:szCs w:val="24"/>
          <w:lang w:val="sq-AL"/>
        </w:rPr>
        <w:t xml:space="preserve"> sistemit aktual të shpërblimit. Kërkohen përpjekje më të mëdha për të bërë të mundur llogaritjen automatike t</w:t>
      </w:r>
      <w:r w:rsidR="005D3CCC" w:rsidRPr="0032048B">
        <w:rPr>
          <w:sz w:val="24"/>
          <w:szCs w:val="24"/>
          <w:lang w:val="sq-AL"/>
        </w:rPr>
        <w:t>ë</w:t>
      </w:r>
      <w:r w:rsidRPr="0032048B">
        <w:rPr>
          <w:sz w:val="24"/>
          <w:szCs w:val="24"/>
          <w:lang w:val="sq-AL"/>
        </w:rPr>
        <w:t xml:space="preserve"> pagave dhe lidhjen e </w:t>
      </w:r>
      <w:proofErr w:type="spellStart"/>
      <w:r w:rsidRPr="0032048B">
        <w:rPr>
          <w:sz w:val="24"/>
          <w:szCs w:val="24"/>
          <w:lang w:val="sq-AL"/>
        </w:rPr>
        <w:t>listpages</w:t>
      </w:r>
      <w:r w:rsidR="005D3CCC" w:rsidRPr="0032048B">
        <w:rPr>
          <w:sz w:val="24"/>
          <w:szCs w:val="24"/>
          <w:lang w:val="sq-AL"/>
        </w:rPr>
        <w:t>ë</w:t>
      </w:r>
      <w:r w:rsidRPr="0032048B">
        <w:rPr>
          <w:sz w:val="24"/>
          <w:szCs w:val="24"/>
          <w:lang w:val="sq-AL"/>
        </w:rPr>
        <w:t>s</w:t>
      </w:r>
      <w:proofErr w:type="spellEnd"/>
      <w:r w:rsidRPr="0032048B">
        <w:rPr>
          <w:sz w:val="24"/>
          <w:szCs w:val="24"/>
          <w:lang w:val="sq-AL"/>
        </w:rPr>
        <w:t xml:space="preserve"> me thesarin.</w:t>
      </w:r>
    </w:p>
    <w:p w14:paraId="59932EDA" w14:textId="25BDD0FE" w:rsidR="00380775" w:rsidRPr="0032048B" w:rsidRDefault="00104783" w:rsidP="00361D5A">
      <w:pPr>
        <w:tabs>
          <w:tab w:val="left" w:pos="1134"/>
        </w:tabs>
        <w:spacing w:before="120"/>
        <w:ind w:left="993" w:right="1067"/>
        <w:jc w:val="both"/>
        <w:rPr>
          <w:sz w:val="24"/>
          <w:szCs w:val="24"/>
          <w:lang w:val="sq-AL"/>
        </w:rPr>
      </w:pPr>
      <w:r w:rsidRPr="0032048B">
        <w:rPr>
          <w:sz w:val="24"/>
          <w:szCs w:val="24"/>
          <w:lang w:val="sq-AL"/>
        </w:rPr>
        <w:t>Shkolla S</w:t>
      </w:r>
      <w:r w:rsidR="00380775" w:rsidRPr="0032048B">
        <w:rPr>
          <w:sz w:val="24"/>
          <w:szCs w:val="24"/>
          <w:lang w:val="sq-AL"/>
        </w:rPr>
        <w:t xml:space="preserve">hqiptare e Administratës Publike (ASPA) vazhdoi të </w:t>
      </w:r>
      <w:r w:rsidR="002402C2" w:rsidRPr="0032048B">
        <w:rPr>
          <w:sz w:val="24"/>
          <w:szCs w:val="24"/>
          <w:lang w:val="sq-AL"/>
        </w:rPr>
        <w:t>përshtatë</w:t>
      </w:r>
      <w:r w:rsidR="00380775" w:rsidRPr="0032048B">
        <w:rPr>
          <w:sz w:val="24"/>
          <w:szCs w:val="24"/>
          <w:lang w:val="sq-AL"/>
        </w:rPr>
        <w:t xml:space="preserve"> programet e saj të trajnimit për z</w:t>
      </w:r>
      <w:r w:rsidR="00380775" w:rsidRPr="0032048B">
        <w:rPr>
          <w:b/>
          <w:bCs/>
          <w:sz w:val="24"/>
          <w:szCs w:val="24"/>
          <w:lang w:val="sq-AL"/>
        </w:rPr>
        <w:t>hvillimin profesional</w:t>
      </w:r>
      <w:r w:rsidR="00380775" w:rsidRPr="0032048B">
        <w:rPr>
          <w:sz w:val="24"/>
          <w:szCs w:val="24"/>
          <w:lang w:val="sq-AL"/>
        </w:rPr>
        <w:t>, me një fokus më të fortë në integrimin evropian. Në 2022, u trajnuan 5 397 persona. Përmirësimi i infrastrukturës fizike dhe digjitale të ASPA-s k</w:t>
      </w:r>
      <w:r w:rsidR="005D3CCC" w:rsidRPr="0032048B">
        <w:rPr>
          <w:sz w:val="24"/>
          <w:szCs w:val="24"/>
          <w:lang w:val="sq-AL"/>
        </w:rPr>
        <w:t>ë</w:t>
      </w:r>
      <w:r w:rsidR="00380775" w:rsidRPr="0032048B">
        <w:rPr>
          <w:sz w:val="24"/>
          <w:szCs w:val="24"/>
          <w:lang w:val="sq-AL"/>
        </w:rPr>
        <w:t>rkon përpjekje t</w:t>
      </w:r>
      <w:r w:rsidR="005D3CCC" w:rsidRPr="0032048B">
        <w:rPr>
          <w:sz w:val="24"/>
          <w:szCs w:val="24"/>
          <w:lang w:val="sq-AL"/>
        </w:rPr>
        <w:t>ë</w:t>
      </w:r>
      <w:r w:rsidR="00380775" w:rsidRPr="0032048B">
        <w:rPr>
          <w:sz w:val="24"/>
          <w:szCs w:val="24"/>
          <w:lang w:val="sq-AL"/>
        </w:rPr>
        <w:t xml:space="preserve"> m</w:t>
      </w:r>
      <w:r w:rsidR="005D3CCC" w:rsidRPr="0032048B">
        <w:rPr>
          <w:sz w:val="24"/>
          <w:szCs w:val="24"/>
          <w:lang w:val="sq-AL"/>
        </w:rPr>
        <w:t>ë</w:t>
      </w:r>
      <w:r w:rsidR="00380775" w:rsidRPr="0032048B">
        <w:rPr>
          <w:sz w:val="24"/>
          <w:szCs w:val="24"/>
          <w:lang w:val="sq-AL"/>
        </w:rPr>
        <w:t>tejshme.</w:t>
      </w:r>
    </w:p>
    <w:p w14:paraId="7E794140" w14:textId="30A07C8C" w:rsidR="00380775" w:rsidRPr="0032048B" w:rsidRDefault="00380775" w:rsidP="00361D5A">
      <w:pPr>
        <w:tabs>
          <w:tab w:val="left" w:pos="1134"/>
        </w:tabs>
        <w:spacing w:before="120"/>
        <w:ind w:left="993" w:right="1067"/>
        <w:jc w:val="both"/>
        <w:rPr>
          <w:sz w:val="24"/>
          <w:szCs w:val="24"/>
          <w:lang w:val="sq-AL"/>
        </w:rPr>
      </w:pPr>
      <w:r w:rsidRPr="0032048B">
        <w:rPr>
          <w:sz w:val="24"/>
          <w:szCs w:val="24"/>
          <w:u w:val="single"/>
          <w:lang w:val="sq-AL"/>
        </w:rPr>
        <w:t>Llogaridhënia e administrat</w:t>
      </w:r>
      <w:r w:rsidR="005D3CCC" w:rsidRPr="0032048B">
        <w:rPr>
          <w:sz w:val="24"/>
          <w:szCs w:val="24"/>
          <w:u w:val="single"/>
          <w:lang w:val="sq-AL"/>
        </w:rPr>
        <w:t>ë</w:t>
      </w:r>
      <w:r w:rsidRPr="0032048B">
        <w:rPr>
          <w:sz w:val="24"/>
          <w:szCs w:val="24"/>
          <w:u w:val="single"/>
          <w:lang w:val="sq-AL"/>
        </w:rPr>
        <w:t>s</w:t>
      </w:r>
    </w:p>
    <w:p w14:paraId="0CC92F36" w14:textId="7AC8CD3C"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Kuadri ligjor për organizimin e administratës qendrore nuk ofron një bazë t</w:t>
      </w:r>
      <w:r w:rsidR="005D3CCC" w:rsidRPr="0032048B">
        <w:rPr>
          <w:sz w:val="24"/>
          <w:szCs w:val="24"/>
          <w:lang w:val="sq-AL"/>
        </w:rPr>
        <w:t>ë</w:t>
      </w:r>
      <w:r w:rsidRPr="0032048B">
        <w:rPr>
          <w:sz w:val="24"/>
          <w:szCs w:val="24"/>
          <w:lang w:val="sq-AL"/>
        </w:rPr>
        <w:t xml:space="preserve"> plot</w:t>
      </w:r>
      <w:r w:rsidR="005D3CCC" w:rsidRPr="0032048B">
        <w:rPr>
          <w:sz w:val="24"/>
          <w:szCs w:val="24"/>
          <w:lang w:val="sq-AL"/>
        </w:rPr>
        <w:t>ë</w:t>
      </w:r>
      <w:r w:rsidRPr="0032048B">
        <w:rPr>
          <w:sz w:val="24"/>
          <w:szCs w:val="24"/>
          <w:lang w:val="sq-AL"/>
        </w:rPr>
        <w:t xml:space="preserve"> dhe të qëndrueshme për krijimin dhe llogaridh</w:t>
      </w:r>
      <w:r w:rsidR="005D3CCC" w:rsidRPr="0032048B">
        <w:rPr>
          <w:sz w:val="24"/>
          <w:szCs w:val="24"/>
          <w:lang w:val="sq-AL"/>
        </w:rPr>
        <w:t>ë</w:t>
      </w:r>
      <w:r w:rsidRPr="0032048B">
        <w:rPr>
          <w:sz w:val="24"/>
          <w:szCs w:val="24"/>
          <w:lang w:val="sq-AL"/>
        </w:rPr>
        <w:t>nien</w:t>
      </w:r>
      <w:r w:rsidR="004D53EC">
        <w:rPr>
          <w:sz w:val="24"/>
          <w:szCs w:val="24"/>
          <w:lang w:val="sq-AL"/>
        </w:rPr>
        <w:t xml:space="preserve"> </w:t>
      </w:r>
      <w:r w:rsidRPr="0032048B">
        <w:rPr>
          <w:sz w:val="24"/>
          <w:szCs w:val="24"/>
          <w:lang w:val="sq-AL"/>
        </w:rPr>
        <w:t>e institucioneve të vart</w:t>
      </w:r>
      <w:r w:rsidR="005D3CCC" w:rsidRPr="0032048B">
        <w:rPr>
          <w:sz w:val="24"/>
          <w:szCs w:val="24"/>
          <w:lang w:val="sq-AL"/>
        </w:rPr>
        <w:t>ë</w:t>
      </w:r>
      <w:r w:rsidRPr="0032048B">
        <w:rPr>
          <w:sz w:val="24"/>
          <w:szCs w:val="24"/>
          <w:lang w:val="sq-AL"/>
        </w:rPr>
        <w:t>sis</w:t>
      </w:r>
      <w:r w:rsidR="005D3CCC" w:rsidRPr="0032048B">
        <w:rPr>
          <w:sz w:val="24"/>
          <w:szCs w:val="24"/>
          <w:lang w:val="sq-AL"/>
        </w:rPr>
        <w:t>ë</w:t>
      </w:r>
      <w:r w:rsidRPr="0032048B">
        <w:rPr>
          <w:sz w:val="24"/>
          <w:szCs w:val="24"/>
          <w:lang w:val="sq-AL"/>
        </w:rPr>
        <w:t xml:space="preserve"> dhe agjencive autonome. Kjo ka </w:t>
      </w:r>
      <w:r w:rsidR="002402C2" w:rsidRPr="0032048B">
        <w:rPr>
          <w:sz w:val="24"/>
          <w:szCs w:val="24"/>
          <w:lang w:val="sq-AL"/>
        </w:rPr>
        <w:t>çuar</w:t>
      </w:r>
      <w:r w:rsidRPr="0032048B">
        <w:rPr>
          <w:sz w:val="24"/>
          <w:szCs w:val="24"/>
          <w:lang w:val="sq-AL"/>
        </w:rPr>
        <w:t xml:space="preserve"> n</w:t>
      </w:r>
      <w:r w:rsidR="005D3CCC" w:rsidRPr="0032048B">
        <w:rPr>
          <w:sz w:val="24"/>
          <w:szCs w:val="24"/>
          <w:lang w:val="sq-AL"/>
        </w:rPr>
        <w:t>ë</w:t>
      </w:r>
      <w:r w:rsidRPr="0032048B">
        <w:rPr>
          <w:sz w:val="24"/>
          <w:szCs w:val="24"/>
          <w:lang w:val="sq-AL"/>
        </w:rPr>
        <w:t xml:space="preserve"> ngritjen </w:t>
      </w:r>
      <w:proofErr w:type="spellStart"/>
      <w:r w:rsidRPr="0032048B">
        <w:rPr>
          <w:i/>
          <w:iCs/>
          <w:sz w:val="24"/>
          <w:szCs w:val="24"/>
          <w:lang w:val="sq-AL"/>
        </w:rPr>
        <w:t>ad</w:t>
      </w:r>
      <w:proofErr w:type="spellEnd"/>
      <w:r w:rsidRPr="0032048B">
        <w:rPr>
          <w:i/>
          <w:iCs/>
          <w:sz w:val="24"/>
          <w:szCs w:val="24"/>
          <w:lang w:val="sq-AL"/>
        </w:rPr>
        <w:t xml:space="preserve"> </w:t>
      </w:r>
      <w:proofErr w:type="spellStart"/>
      <w:r w:rsidRPr="0032048B">
        <w:rPr>
          <w:i/>
          <w:iCs/>
          <w:sz w:val="24"/>
          <w:szCs w:val="24"/>
          <w:lang w:val="sq-AL"/>
        </w:rPr>
        <w:t>hoc</w:t>
      </w:r>
      <w:proofErr w:type="spellEnd"/>
      <w:r w:rsidRPr="0032048B">
        <w:rPr>
          <w:sz w:val="24"/>
          <w:szCs w:val="24"/>
          <w:lang w:val="sq-AL"/>
        </w:rPr>
        <w:t xml:space="preserve"> t</w:t>
      </w:r>
      <w:r w:rsidR="005D3CCC" w:rsidRPr="0032048B">
        <w:rPr>
          <w:sz w:val="24"/>
          <w:szCs w:val="24"/>
          <w:lang w:val="sq-AL"/>
        </w:rPr>
        <w:t>ë</w:t>
      </w:r>
      <w:r w:rsidRPr="0032048B">
        <w:rPr>
          <w:sz w:val="24"/>
          <w:szCs w:val="24"/>
          <w:lang w:val="sq-AL"/>
        </w:rPr>
        <w:t xml:space="preserve"> disa agjencive të reja. Ligji duhet të përcaktojë tipologji dhe kritere të qartë për krijimin e organeve të vart</w:t>
      </w:r>
      <w:r w:rsidR="005D3CCC" w:rsidRPr="0032048B">
        <w:rPr>
          <w:sz w:val="24"/>
          <w:szCs w:val="24"/>
          <w:lang w:val="sq-AL"/>
        </w:rPr>
        <w:t>ë</w:t>
      </w:r>
      <w:r w:rsidRPr="0032048B">
        <w:rPr>
          <w:sz w:val="24"/>
          <w:szCs w:val="24"/>
          <w:lang w:val="sq-AL"/>
        </w:rPr>
        <w:t>sis</w:t>
      </w:r>
      <w:r w:rsidR="005D3CCC" w:rsidRPr="0032048B">
        <w:rPr>
          <w:sz w:val="24"/>
          <w:szCs w:val="24"/>
          <w:lang w:val="sq-AL"/>
        </w:rPr>
        <w:t>ë</w:t>
      </w:r>
      <w:r w:rsidRPr="0032048B">
        <w:rPr>
          <w:sz w:val="24"/>
          <w:szCs w:val="24"/>
          <w:lang w:val="sq-AL"/>
        </w:rPr>
        <w:t xml:space="preserve"> dhe, si dhe të sqarojë përgjegjësitë dhe linjat e raportimit. Proceset e punës dhe vendimmarrjes në administratën publike duhet të jenë më transparente. Kuadri ligjor për të garantuar llogaridh</w:t>
      </w:r>
      <w:r w:rsidR="005D3CCC" w:rsidRPr="0032048B">
        <w:rPr>
          <w:sz w:val="24"/>
          <w:szCs w:val="24"/>
          <w:lang w:val="sq-AL"/>
        </w:rPr>
        <w:t>ë</w:t>
      </w:r>
      <w:r w:rsidRPr="0032048B">
        <w:rPr>
          <w:sz w:val="24"/>
          <w:szCs w:val="24"/>
          <w:lang w:val="sq-AL"/>
        </w:rPr>
        <w:t>nien e administrimit dhe menaxhimit ka nevoj</w:t>
      </w:r>
      <w:r w:rsidR="005D3CCC" w:rsidRPr="0032048B">
        <w:rPr>
          <w:sz w:val="24"/>
          <w:szCs w:val="24"/>
          <w:lang w:val="sq-AL"/>
        </w:rPr>
        <w:t>ë</w:t>
      </w:r>
      <w:r w:rsidRPr="0032048B">
        <w:rPr>
          <w:sz w:val="24"/>
          <w:szCs w:val="24"/>
          <w:lang w:val="sq-AL"/>
        </w:rPr>
        <w:t xml:space="preserve"> të përmirësohet.</w:t>
      </w:r>
    </w:p>
    <w:p w14:paraId="1D24E0F1" w14:textId="4E589AE6" w:rsidR="00380775" w:rsidRPr="0032048B" w:rsidRDefault="00380775" w:rsidP="00361D5A">
      <w:pPr>
        <w:tabs>
          <w:tab w:val="left" w:pos="1134"/>
        </w:tabs>
        <w:spacing w:before="120"/>
        <w:ind w:left="993" w:right="1067"/>
        <w:jc w:val="both"/>
        <w:rPr>
          <w:sz w:val="24"/>
          <w:szCs w:val="24"/>
          <w:lang w:val="sq-AL"/>
        </w:rPr>
      </w:pPr>
      <w:r w:rsidRPr="0032048B">
        <w:rPr>
          <w:b/>
          <w:bCs/>
          <w:sz w:val="24"/>
          <w:szCs w:val="24"/>
          <w:lang w:val="sq-AL"/>
        </w:rPr>
        <w:t>E drejta e qytetarëve për administrim të mirë</w:t>
      </w:r>
      <w:r w:rsidRPr="0032048B">
        <w:rPr>
          <w:sz w:val="24"/>
          <w:szCs w:val="24"/>
          <w:lang w:val="sq-AL"/>
        </w:rPr>
        <w:t xml:space="preserve"> duhet të forcohet më tej. Shkalla e zbatimit të rekomandimeve të Avokatit t</w:t>
      </w:r>
      <w:r w:rsidR="005D3CCC" w:rsidRPr="0032048B">
        <w:rPr>
          <w:sz w:val="24"/>
          <w:szCs w:val="24"/>
          <w:lang w:val="sq-AL"/>
        </w:rPr>
        <w:t>ë</w:t>
      </w:r>
      <w:r w:rsidRPr="0032048B">
        <w:rPr>
          <w:sz w:val="24"/>
          <w:szCs w:val="24"/>
          <w:lang w:val="sq-AL"/>
        </w:rPr>
        <w:t xml:space="preserve"> Popullit vazhdon të luhatet në 50-60%. Nga 249 rekomandimet në 2022, 17% u zbatuan plotësisht dhe 36%, pjesërisht, duke dh</w:t>
      </w:r>
      <w:r w:rsidR="005D3CCC" w:rsidRPr="0032048B">
        <w:rPr>
          <w:sz w:val="24"/>
          <w:szCs w:val="24"/>
          <w:lang w:val="sq-AL"/>
        </w:rPr>
        <w:t>ë</w:t>
      </w:r>
      <w:r w:rsidRPr="0032048B">
        <w:rPr>
          <w:sz w:val="24"/>
          <w:szCs w:val="24"/>
          <w:lang w:val="sq-AL"/>
        </w:rPr>
        <w:t>n</w:t>
      </w:r>
      <w:r w:rsidR="005D3CCC" w:rsidRPr="0032048B">
        <w:rPr>
          <w:sz w:val="24"/>
          <w:szCs w:val="24"/>
          <w:lang w:val="sq-AL"/>
        </w:rPr>
        <w:t>ë</w:t>
      </w:r>
      <w:r w:rsidRPr="0032048B">
        <w:rPr>
          <w:sz w:val="24"/>
          <w:szCs w:val="24"/>
          <w:lang w:val="sq-AL"/>
        </w:rPr>
        <w:t xml:space="preserve"> s</w:t>
      </w:r>
      <w:r w:rsidR="005D3CCC" w:rsidRPr="0032048B">
        <w:rPr>
          <w:sz w:val="24"/>
          <w:szCs w:val="24"/>
          <w:lang w:val="sq-AL"/>
        </w:rPr>
        <w:t>ë</w:t>
      </w:r>
      <w:r w:rsidRPr="0032048B">
        <w:rPr>
          <w:sz w:val="24"/>
          <w:szCs w:val="24"/>
          <w:lang w:val="sq-AL"/>
        </w:rPr>
        <w:t xml:space="preserve"> bashku një shif</w:t>
      </w:r>
      <w:r w:rsidR="005D3CCC" w:rsidRPr="0032048B">
        <w:rPr>
          <w:sz w:val="24"/>
          <w:szCs w:val="24"/>
          <w:lang w:val="sq-AL"/>
        </w:rPr>
        <w:t>ë</w:t>
      </w:r>
      <w:r w:rsidRPr="0032048B">
        <w:rPr>
          <w:sz w:val="24"/>
          <w:szCs w:val="24"/>
          <w:lang w:val="sq-AL"/>
        </w:rPr>
        <w:t>r prej 53%, (50% në 2021). Nga 30 rekomandimet e b</w:t>
      </w:r>
      <w:r w:rsidR="005D3CCC" w:rsidRPr="0032048B">
        <w:rPr>
          <w:sz w:val="24"/>
          <w:szCs w:val="24"/>
          <w:lang w:val="sq-AL"/>
        </w:rPr>
        <w:t>ë</w:t>
      </w:r>
      <w:r w:rsidRPr="0032048B">
        <w:rPr>
          <w:sz w:val="24"/>
          <w:szCs w:val="24"/>
          <w:lang w:val="sq-AL"/>
        </w:rPr>
        <w:t xml:space="preserve">ra midis janarit dhe prillit </w:t>
      </w:r>
      <w:r w:rsidRPr="0032048B">
        <w:rPr>
          <w:sz w:val="24"/>
          <w:szCs w:val="24"/>
          <w:lang w:val="sq-AL"/>
        </w:rPr>
        <w:lastRenderedPageBreak/>
        <w:t>2023, 17% u zbatuan plotësisht dhe 17% pjesërisht, duke dh</w:t>
      </w:r>
      <w:r w:rsidR="005D3CCC" w:rsidRPr="0032048B">
        <w:rPr>
          <w:sz w:val="24"/>
          <w:szCs w:val="24"/>
          <w:lang w:val="sq-AL"/>
        </w:rPr>
        <w:t>ë</w:t>
      </w:r>
      <w:r w:rsidRPr="0032048B">
        <w:rPr>
          <w:sz w:val="24"/>
          <w:szCs w:val="24"/>
          <w:lang w:val="sq-AL"/>
        </w:rPr>
        <w:t>n</w:t>
      </w:r>
      <w:r w:rsidR="005D3CCC" w:rsidRPr="0032048B">
        <w:rPr>
          <w:sz w:val="24"/>
          <w:szCs w:val="24"/>
          <w:lang w:val="sq-AL"/>
        </w:rPr>
        <w:t>ë</w:t>
      </w:r>
      <w:r w:rsidRPr="0032048B">
        <w:rPr>
          <w:sz w:val="24"/>
          <w:szCs w:val="24"/>
          <w:lang w:val="sq-AL"/>
        </w:rPr>
        <w:t xml:space="preserve"> s</w:t>
      </w:r>
      <w:r w:rsidR="005D3CCC" w:rsidRPr="0032048B">
        <w:rPr>
          <w:sz w:val="24"/>
          <w:szCs w:val="24"/>
          <w:lang w:val="sq-AL"/>
        </w:rPr>
        <w:t>ë</w:t>
      </w:r>
      <w:r w:rsidRPr="0032048B">
        <w:rPr>
          <w:sz w:val="24"/>
          <w:szCs w:val="24"/>
          <w:lang w:val="sq-AL"/>
        </w:rPr>
        <w:t xml:space="preserve"> bashku një shif</w:t>
      </w:r>
      <w:r w:rsidR="005D3CCC" w:rsidRPr="0032048B">
        <w:rPr>
          <w:sz w:val="24"/>
          <w:szCs w:val="24"/>
          <w:lang w:val="sq-AL"/>
        </w:rPr>
        <w:t>ë</w:t>
      </w:r>
      <w:r w:rsidRPr="0032048B">
        <w:rPr>
          <w:sz w:val="24"/>
          <w:szCs w:val="24"/>
          <w:lang w:val="sq-AL"/>
        </w:rPr>
        <w:t>r prej 34%. Parlamenti duhet të forcojë bashkëpunimin e tij me Avokatin e Popullit dhe të trajtoj</w:t>
      </w:r>
      <w:r w:rsidR="005D3CCC" w:rsidRPr="0032048B">
        <w:rPr>
          <w:sz w:val="24"/>
          <w:szCs w:val="24"/>
          <w:lang w:val="sq-AL"/>
        </w:rPr>
        <w:t>ë</w:t>
      </w:r>
      <w:r w:rsidRPr="0032048B">
        <w:rPr>
          <w:sz w:val="24"/>
          <w:szCs w:val="24"/>
          <w:lang w:val="sq-AL"/>
        </w:rPr>
        <w:t xml:space="preserve"> problemin e mungesës së reagimit të organeve të administratës publike.</w:t>
      </w:r>
    </w:p>
    <w:p w14:paraId="2AD64B7A" w14:textId="517D98C7"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 xml:space="preserve">Lidhur me </w:t>
      </w:r>
      <w:r w:rsidRPr="0032048B">
        <w:rPr>
          <w:b/>
          <w:bCs/>
          <w:sz w:val="24"/>
          <w:szCs w:val="24"/>
          <w:lang w:val="sq-AL"/>
        </w:rPr>
        <w:t>transparencën dhe qasjen në informacion</w:t>
      </w:r>
      <w:r w:rsidR="000C6EFC" w:rsidRPr="0032048B">
        <w:rPr>
          <w:sz w:val="24"/>
          <w:szCs w:val="24"/>
          <w:lang w:val="sq-AL"/>
        </w:rPr>
        <w:t xml:space="preserve">, </w:t>
      </w:r>
      <w:proofErr w:type="spellStart"/>
      <w:r w:rsidR="000C6EFC" w:rsidRPr="0032048B">
        <w:rPr>
          <w:sz w:val="24"/>
          <w:szCs w:val="24"/>
          <w:lang w:val="sq-AL"/>
        </w:rPr>
        <w:t>Komisioneri</w:t>
      </w:r>
      <w:proofErr w:type="spellEnd"/>
      <w:r w:rsidR="000C6EFC" w:rsidRPr="0032048B">
        <w:rPr>
          <w:sz w:val="24"/>
          <w:szCs w:val="24"/>
          <w:lang w:val="sq-AL"/>
        </w:rPr>
        <w:t xml:space="preserve"> për të Drejtën e I</w:t>
      </w:r>
      <w:r w:rsidRPr="0032048B">
        <w:rPr>
          <w:sz w:val="24"/>
          <w:szCs w:val="24"/>
          <w:lang w:val="sq-AL"/>
        </w:rPr>
        <w:t>nformimit raporton se një numër i madh i institucioneve (391) kanë botuar programet e transparenc</w:t>
      </w:r>
      <w:r w:rsidR="005D3CCC" w:rsidRPr="0032048B">
        <w:rPr>
          <w:sz w:val="24"/>
          <w:szCs w:val="24"/>
          <w:lang w:val="sq-AL"/>
        </w:rPr>
        <w:t>ë</w:t>
      </w:r>
      <w:r w:rsidRPr="0032048B">
        <w:rPr>
          <w:sz w:val="24"/>
          <w:szCs w:val="24"/>
          <w:lang w:val="sq-AL"/>
        </w:rPr>
        <w:t>s dhe një numër në rritje i subjekteve qeveritare kanë krijuar një regjistër elektronik p</w:t>
      </w:r>
      <w:r w:rsidR="005D3CCC" w:rsidRPr="0032048B">
        <w:rPr>
          <w:sz w:val="24"/>
          <w:szCs w:val="24"/>
          <w:lang w:val="sq-AL"/>
        </w:rPr>
        <w:t>ë</w:t>
      </w:r>
      <w:r w:rsidRPr="0032048B">
        <w:rPr>
          <w:sz w:val="24"/>
          <w:szCs w:val="24"/>
          <w:lang w:val="sq-AL"/>
        </w:rPr>
        <w:t>r kërkesat e informacionit. Numri i ankesave q</w:t>
      </w:r>
      <w:r w:rsidR="005D3CCC" w:rsidRPr="0032048B">
        <w:rPr>
          <w:sz w:val="24"/>
          <w:szCs w:val="24"/>
          <w:lang w:val="sq-AL"/>
        </w:rPr>
        <w:t>ë</w:t>
      </w:r>
      <w:r w:rsidRPr="0032048B">
        <w:rPr>
          <w:sz w:val="24"/>
          <w:szCs w:val="24"/>
          <w:lang w:val="sq-AL"/>
        </w:rPr>
        <w:t xml:space="preserve"> mori</w:t>
      </w:r>
      <w:r w:rsidR="004D53EC">
        <w:rPr>
          <w:sz w:val="24"/>
          <w:szCs w:val="24"/>
          <w:lang w:val="sq-AL"/>
        </w:rPr>
        <w:t xml:space="preserve"> </w:t>
      </w:r>
      <w:proofErr w:type="spellStart"/>
      <w:r w:rsidRPr="0032048B">
        <w:rPr>
          <w:sz w:val="24"/>
          <w:szCs w:val="24"/>
          <w:lang w:val="sq-AL"/>
        </w:rPr>
        <w:t>Komisioneri</w:t>
      </w:r>
      <w:proofErr w:type="spellEnd"/>
      <w:r w:rsidRPr="0032048B">
        <w:rPr>
          <w:sz w:val="24"/>
          <w:szCs w:val="24"/>
          <w:lang w:val="sq-AL"/>
        </w:rPr>
        <w:t xml:space="preserve"> u rrit (992) nga qy</w:t>
      </w:r>
      <w:r w:rsidR="002402C2" w:rsidRPr="0032048B">
        <w:rPr>
          <w:sz w:val="24"/>
          <w:szCs w:val="24"/>
          <w:lang w:val="sq-AL"/>
        </w:rPr>
        <w:t>t</w:t>
      </w:r>
      <w:r w:rsidRPr="0032048B">
        <w:rPr>
          <w:sz w:val="24"/>
          <w:szCs w:val="24"/>
          <w:lang w:val="sq-AL"/>
        </w:rPr>
        <w:t>etar</w:t>
      </w:r>
      <w:r w:rsidR="005D3CCC" w:rsidRPr="0032048B">
        <w:rPr>
          <w:sz w:val="24"/>
          <w:szCs w:val="24"/>
          <w:lang w:val="sq-AL"/>
        </w:rPr>
        <w:t>ë</w:t>
      </w:r>
      <w:r w:rsidRPr="0032048B">
        <w:rPr>
          <w:sz w:val="24"/>
          <w:szCs w:val="24"/>
          <w:lang w:val="sq-AL"/>
        </w:rPr>
        <w:t xml:space="preserve"> q</w:t>
      </w:r>
      <w:r w:rsidR="005D3CCC" w:rsidRPr="0032048B">
        <w:rPr>
          <w:sz w:val="24"/>
          <w:szCs w:val="24"/>
          <w:lang w:val="sq-AL"/>
        </w:rPr>
        <w:t>ë</w:t>
      </w:r>
      <w:r w:rsidRPr="0032048B">
        <w:rPr>
          <w:sz w:val="24"/>
          <w:szCs w:val="24"/>
          <w:lang w:val="sq-AL"/>
        </w:rPr>
        <w:t xml:space="preserve"> ankoheshin p</w:t>
      </w:r>
      <w:r w:rsidR="005D3CCC" w:rsidRPr="0032048B">
        <w:rPr>
          <w:sz w:val="24"/>
          <w:szCs w:val="24"/>
          <w:lang w:val="sq-AL"/>
        </w:rPr>
        <w:t>ë</w:t>
      </w:r>
      <w:r w:rsidRPr="0032048B">
        <w:rPr>
          <w:sz w:val="24"/>
          <w:szCs w:val="24"/>
          <w:lang w:val="sq-AL"/>
        </w:rPr>
        <w:t>r mosdh</w:t>
      </w:r>
      <w:r w:rsidR="005D3CCC" w:rsidRPr="0032048B">
        <w:rPr>
          <w:sz w:val="24"/>
          <w:szCs w:val="24"/>
          <w:lang w:val="sq-AL"/>
        </w:rPr>
        <w:t>ë</w:t>
      </w:r>
      <w:r w:rsidRPr="0032048B">
        <w:rPr>
          <w:sz w:val="24"/>
          <w:szCs w:val="24"/>
          <w:lang w:val="sq-AL"/>
        </w:rPr>
        <w:t xml:space="preserve">nie informacioni nga administrata, shpesh të zgjidhura pas ndërhyrjes së tij. Rishikimi i ligjit për qasjen në informacion duhet të plotësohet për të siguruar përgjegjësi </w:t>
      </w:r>
      <w:proofErr w:type="spellStart"/>
      <w:r w:rsidRPr="0032048B">
        <w:rPr>
          <w:sz w:val="24"/>
          <w:szCs w:val="24"/>
          <w:lang w:val="sq-AL"/>
        </w:rPr>
        <w:t>menaxheriale</w:t>
      </w:r>
      <w:proofErr w:type="spellEnd"/>
      <w:r w:rsidRPr="0032048B">
        <w:rPr>
          <w:sz w:val="24"/>
          <w:szCs w:val="24"/>
          <w:lang w:val="sq-AL"/>
        </w:rPr>
        <w:t xml:space="preserve"> për mosrespektimin e dispozitave të tij. Shqipëria ratifikoi Konventën e Këshillit të Evropës për qasjen në dokumentet zyrtare në vitin 2022. Ligji për të dhënat e hapura dhe ndër-p</w:t>
      </w:r>
      <w:r w:rsidR="005D3CCC" w:rsidRPr="0032048B">
        <w:rPr>
          <w:sz w:val="24"/>
          <w:szCs w:val="24"/>
          <w:lang w:val="sq-AL"/>
        </w:rPr>
        <w:t>ë</w:t>
      </w:r>
      <w:r w:rsidRPr="0032048B">
        <w:rPr>
          <w:sz w:val="24"/>
          <w:szCs w:val="24"/>
          <w:lang w:val="sq-AL"/>
        </w:rPr>
        <w:t>rdorimin, i cili synon përafrimin e legjislacionit kombëtar me Direktivën e BE -së 2019/1024 për të dhënat e hapura dhe ripërdorimin e informacionit të sektorit publik, hyri në fuqi në prill 2023.</w:t>
      </w:r>
    </w:p>
    <w:p w14:paraId="7A1A5D8F" w14:textId="22F59064" w:rsidR="00380775" w:rsidRPr="0032048B" w:rsidRDefault="005D3CCC" w:rsidP="00361D5A">
      <w:pPr>
        <w:tabs>
          <w:tab w:val="left" w:pos="1134"/>
        </w:tabs>
        <w:spacing w:before="120"/>
        <w:ind w:left="993" w:right="1067"/>
        <w:jc w:val="both"/>
        <w:rPr>
          <w:sz w:val="24"/>
          <w:szCs w:val="24"/>
          <w:lang w:val="sq-AL"/>
        </w:rPr>
      </w:pPr>
      <w:r w:rsidRPr="0032048B">
        <w:rPr>
          <w:sz w:val="24"/>
          <w:szCs w:val="24"/>
          <w:lang w:val="sq-AL"/>
        </w:rPr>
        <w:t>Ë</w:t>
      </w:r>
      <w:r w:rsidR="00380775" w:rsidRPr="0032048B">
        <w:rPr>
          <w:sz w:val="24"/>
          <w:szCs w:val="24"/>
          <w:lang w:val="sq-AL"/>
        </w:rPr>
        <w:t>sht</w:t>
      </w:r>
      <w:r w:rsidRPr="0032048B">
        <w:rPr>
          <w:sz w:val="24"/>
          <w:szCs w:val="24"/>
          <w:lang w:val="sq-AL"/>
        </w:rPr>
        <w:t>ë</w:t>
      </w:r>
      <w:r w:rsidR="00380775" w:rsidRPr="0032048B">
        <w:rPr>
          <w:sz w:val="24"/>
          <w:szCs w:val="24"/>
          <w:lang w:val="sq-AL"/>
        </w:rPr>
        <w:t xml:space="preserve"> krijuar kuadri ligjor p</w:t>
      </w:r>
      <w:r w:rsidRPr="0032048B">
        <w:rPr>
          <w:sz w:val="24"/>
          <w:szCs w:val="24"/>
          <w:lang w:val="sq-AL"/>
        </w:rPr>
        <w:t>ë</w:t>
      </w:r>
      <w:r w:rsidR="00380775" w:rsidRPr="0032048B">
        <w:rPr>
          <w:sz w:val="24"/>
          <w:szCs w:val="24"/>
          <w:lang w:val="sq-AL"/>
        </w:rPr>
        <w:t>r t</w:t>
      </w:r>
      <w:r w:rsidRPr="0032048B">
        <w:rPr>
          <w:sz w:val="24"/>
          <w:szCs w:val="24"/>
          <w:lang w:val="sq-AL"/>
        </w:rPr>
        <w:t>ë</w:t>
      </w:r>
      <w:r w:rsidR="00380775" w:rsidRPr="0032048B">
        <w:rPr>
          <w:sz w:val="24"/>
          <w:szCs w:val="24"/>
          <w:lang w:val="sq-AL"/>
        </w:rPr>
        <w:t xml:space="preserve"> drejtën e drejt</w:t>
      </w:r>
      <w:r w:rsidRPr="0032048B">
        <w:rPr>
          <w:sz w:val="24"/>
          <w:szCs w:val="24"/>
          <w:lang w:val="sq-AL"/>
        </w:rPr>
        <w:t>ë</w:t>
      </w:r>
      <w:r w:rsidR="00380775" w:rsidRPr="0032048B">
        <w:rPr>
          <w:sz w:val="24"/>
          <w:szCs w:val="24"/>
          <w:lang w:val="sq-AL"/>
        </w:rPr>
        <w:t>sis</w:t>
      </w:r>
      <w:r w:rsidRPr="0032048B">
        <w:rPr>
          <w:sz w:val="24"/>
          <w:szCs w:val="24"/>
          <w:lang w:val="sq-AL"/>
        </w:rPr>
        <w:t>ë</w:t>
      </w:r>
      <w:r w:rsidR="00380775" w:rsidRPr="0032048B">
        <w:rPr>
          <w:sz w:val="24"/>
          <w:szCs w:val="24"/>
          <w:lang w:val="sq-AL"/>
        </w:rPr>
        <w:t xml:space="preserve"> administrative. Kapaciteti i sistemit të gjykatave administrative dhe, veçanërisht gjykatave t</w:t>
      </w:r>
      <w:r w:rsidRPr="0032048B">
        <w:rPr>
          <w:sz w:val="24"/>
          <w:szCs w:val="24"/>
          <w:lang w:val="sq-AL"/>
        </w:rPr>
        <w:t>ë</w:t>
      </w:r>
      <w:r w:rsidR="00380775" w:rsidRPr="0032048B">
        <w:rPr>
          <w:sz w:val="24"/>
          <w:szCs w:val="24"/>
          <w:lang w:val="sq-AL"/>
        </w:rPr>
        <w:t xml:space="preserve"> apelit, është i kufizuar, gjë që çoi në shtimin e stokut t</w:t>
      </w:r>
      <w:r w:rsidRPr="0032048B">
        <w:rPr>
          <w:sz w:val="24"/>
          <w:szCs w:val="24"/>
          <w:lang w:val="sq-AL"/>
        </w:rPr>
        <w:t>ë</w:t>
      </w:r>
      <w:r w:rsidR="00380775" w:rsidRPr="0032048B">
        <w:rPr>
          <w:sz w:val="24"/>
          <w:szCs w:val="24"/>
          <w:lang w:val="sq-AL"/>
        </w:rPr>
        <w:t xml:space="preserve"> prapambetur t</w:t>
      </w:r>
      <w:r w:rsidRPr="0032048B">
        <w:rPr>
          <w:sz w:val="24"/>
          <w:szCs w:val="24"/>
          <w:lang w:val="sq-AL"/>
        </w:rPr>
        <w:t>ë</w:t>
      </w:r>
      <w:r w:rsidR="00380775" w:rsidRPr="0032048B">
        <w:rPr>
          <w:sz w:val="24"/>
          <w:szCs w:val="24"/>
          <w:lang w:val="sq-AL"/>
        </w:rPr>
        <w:t xml:space="preserve"> dosjeve në vitin 2022. </w:t>
      </w:r>
      <w:r w:rsidRPr="0032048B">
        <w:rPr>
          <w:sz w:val="24"/>
          <w:szCs w:val="24"/>
          <w:lang w:val="sq-AL"/>
        </w:rPr>
        <w:t>Ë</w:t>
      </w:r>
      <w:r w:rsidR="00380775" w:rsidRPr="0032048B">
        <w:rPr>
          <w:sz w:val="24"/>
          <w:szCs w:val="24"/>
          <w:lang w:val="sq-AL"/>
        </w:rPr>
        <w:t>sht</w:t>
      </w:r>
      <w:r w:rsidRPr="0032048B">
        <w:rPr>
          <w:sz w:val="24"/>
          <w:szCs w:val="24"/>
          <w:lang w:val="sq-AL"/>
        </w:rPr>
        <w:t>ë</w:t>
      </w:r>
      <w:r w:rsidR="00380775" w:rsidRPr="0032048B">
        <w:rPr>
          <w:sz w:val="24"/>
          <w:szCs w:val="24"/>
          <w:lang w:val="sq-AL"/>
        </w:rPr>
        <w:t xml:space="preserve"> hartuar legjislacioni për të </w:t>
      </w:r>
      <w:r w:rsidR="00380775" w:rsidRPr="0032048B">
        <w:rPr>
          <w:b/>
          <w:bCs/>
          <w:sz w:val="24"/>
          <w:szCs w:val="24"/>
          <w:lang w:val="sq-AL"/>
        </w:rPr>
        <w:t>drejtën e qytetarëve për të kërkuar kompensim dhe</w:t>
      </w:r>
      <w:r w:rsidR="00380775" w:rsidRPr="0032048B">
        <w:rPr>
          <w:sz w:val="24"/>
          <w:szCs w:val="24"/>
          <w:lang w:val="sq-AL"/>
        </w:rPr>
        <w:t xml:space="preserve"> zbatohet në praktikë nga gjykatat në çështjet gjyqësore. Sidoqoftë, nuk ka asnjë mekanizëm për monitorimin dhe analizën e rregullt të praktikës administrative dhe gjyqësore në çështje të tilla, dhe qeveria nuk mbledh të dhëna për pagesat e bëra kur p</w:t>
      </w:r>
      <w:r w:rsidRPr="0032048B">
        <w:rPr>
          <w:sz w:val="24"/>
          <w:szCs w:val="24"/>
          <w:lang w:val="sq-AL"/>
        </w:rPr>
        <w:t>ë</w:t>
      </w:r>
      <w:r w:rsidR="00380775" w:rsidRPr="0032048B">
        <w:rPr>
          <w:sz w:val="24"/>
          <w:szCs w:val="24"/>
          <w:lang w:val="sq-AL"/>
        </w:rPr>
        <w:t>rgjegj</w:t>
      </w:r>
      <w:r w:rsidRPr="0032048B">
        <w:rPr>
          <w:sz w:val="24"/>
          <w:szCs w:val="24"/>
          <w:lang w:val="sq-AL"/>
        </w:rPr>
        <w:t>ë</w:t>
      </w:r>
      <w:r w:rsidR="00380775" w:rsidRPr="0032048B">
        <w:rPr>
          <w:sz w:val="24"/>
          <w:szCs w:val="24"/>
          <w:lang w:val="sq-AL"/>
        </w:rPr>
        <w:t xml:space="preserve">sia </w:t>
      </w:r>
      <w:r w:rsidRPr="0032048B">
        <w:rPr>
          <w:sz w:val="24"/>
          <w:szCs w:val="24"/>
          <w:lang w:val="sq-AL"/>
        </w:rPr>
        <w:t>ë</w:t>
      </w:r>
      <w:r w:rsidR="00380775" w:rsidRPr="0032048B">
        <w:rPr>
          <w:sz w:val="24"/>
          <w:szCs w:val="24"/>
          <w:lang w:val="sq-AL"/>
        </w:rPr>
        <w:t>sht</w:t>
      </w:r>
      <w:r w:rsidRPr="0032048B">
        <w:rPr>
          <w:sz w:val="24"/>
          <w:szCs w:val="24"/>
          <w:lang w:val="sq-AL"/>
        </w:rPr>
        <w:t>ë</w:t>
      </w:r>
      <w:r w:rsidR="00380775" w:rsidRPr="0032048B">
        <w:rPr>
          <w:sz w:val="24"/>
          <w:szCs w:val="24"/>
          <w:lang w:val="sq-AL"/>
        </w:rPr>
        <w:t xml:space="preserve"> e shtetit dhe arsyet e tyre. Sidoqoftë, zbatimi i vendimeve të gjykatës administrative nga ekzekutivi mbetet problematik, me një nivel të ulët të zbatimit vullnetar, duke </w:t>
      </w:r>
      <w:r w:rsidR="000C6EFC" w:rsidRPr="0032048B">
        <w:rPr>
          <w:sz w:val="24"/>
          <w:szCs w:val="24"/>
          <w:lang w:val="sq-AL"/>
        </w:rPr>
        <w:t>çuar</w:t>
      </w:r>
      <w:r w:rsidR="00380775" w:rsidRPr="0032048B">
        <w:rPr>
          <w:sz w:val="24"/>
          <w:szCs w:val="24"/>
          <w:lang w:val="sq-AL"/>
        </w:rPr>
        <w:t xml:space="preserve"> në nevojën e përdorimit të përmbaruesve.</w:t>
      </w:r>
    </w:p>
    <w:p w14:paraId="608439C6" w14:textId="00DE80B6"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Në nëntor 2021, Parlamenti miratoi ligjin për bashkëqeverisjen, duke i dhënë kompetenca të konsiderueshme për ndërmjetësimin dhe trajtimin e ankesave Agjencisë për Dialog dhe Bashkëqeverisje. Në vitin 2022, u miratua nj</w:t>
      </w:r>
      <w:r w:rsidR="005D3CCC" w:rsidRPr="0032048B">
        <w:rPr>
          <w:sz w:val="24"/>
          <w:szCs w:val="24"/>
          <w:lang w:val="sq-AL"/>
        </w:rPr>
        <w:t>ë</w:t>
      </w:r>
      <w:r w:rsidRPr="0032048B">
        <w:rPr>
          <w:sz w:val="24"/>
          <w:szCs w:val="24"/>
          <w:lang w:val="sq-AL"/>
        </w:rPr>
        <w:t xml:space="preserve"> vendim qeverie i cili rregullon struktur</w:t>
      </w:r>
      <w:r w:rsidR="005D3CCC" w:rsidRPr="0032048B">
        <w:rPr>
          <w:sz w:val="24"/>
          <w:szCs w:val="24"/>
          <w:lang w:val="sq-AL"/>
        </w:rPr>
        <w:t>ë</w:t>
      </w:r>
      <w:r w:rsidRPr="0032048B">
        <w:rPr>
          <w:sz w:val="24"/>
          <w:szCs w:val="24"/>
          <w:lang w:val="sq-AL"/>
        </w:rPr>
        <w:t>n e organizatës në përputhje me rrethanat. Agjen</w:t>
      </w:r>
      <w:r w:rsidR="00133ED6" w:rsidRPr="0032048B">
        <w:rPr>
          <w:sz w:val="24"/>
          <w:szCs w:val="24"/>
          <w:lang w:val="sq-AL"/>
        </w:rPr>
        <w:t>c</w:t>
      </w:r>
      <w:r w:rsidRPr="0032048B">
        <w:rPr>
          <w:sz w:val="24"/>
          <w:szCs w:val="24"/>
          <w:lang w:val="sq-AL"/>
        </w:rPr>
        <w:t>ia raporton drejtpërdrejt te Kryeministri. Ajo mund të kryejë inspektime mbi institucionet publike, bazuar në ankesat e qytetarëve, dhe të vendos</w:t>
      </w:r>
      <w:r w:rsidR="005D3CCC" w:rsidRPr="0032048B">
        <w:rPr>
          <w:sz w:val="24"/>
          <w:szCs w:val="24"/>
          <w:lang w:val="sq-AL"/>
        </w:rPr>
        <w:t>ë</w:t>
      </w:r>
      <w:r w:rsidRPr="0032048B">
        <w:rPr>
          <w:sz w:val="24"/>
          <w:szCs w:val="24"/>
          <w:lang w:val="sq-AL"/>
        </w:rPr>
        <w:t xml:space="preserve"> sanksione administrative ose të propozojë masa disiplinore apo ndërmjetësim. Ankesat merren përmes platformës ‘Shqipëria që duam’. Ekziston një platformë e veçantë për të denoncuar korrupsionin. Një numër i konsiderueshëm i ankesave merren dhe trajtohen, por ka disa shqetësime se roli i agjencisë mund të dekurajojë përdorimin e kanaleve më zyrtare dhe të pavarura p</w:t>
      </w:r>
      <w:r w:rsidR="005D3CCC" w:rsidRPr="0032048B">
        <w:rPr>
          <w:sz w:val="24"/>
          <w:szCs w:val="24"/>
          <w:lang w:val="sq-AL"/>
        </w:rPr>
        <w:t>ë</w:t>
      </w:r>
      <w:r w:rsidRPr="0032048B">
        <w:rPr>
          <w:sz w:val="24"/>
          <w:szCs w:val="24"/>
          <w:lang w:val="sq-AL"/>
        </w:rPr>
        <w:t>r apelimet dhe ankesat.</w:t>
      </w:r>
    </w:p>
    <w:p w14:paraId="4BA94076" w14:textId="77777777" w:rsidR="00380775" w:rsidRPr="0032048B" w:rsidRDefault="00380775" w:rsidP="00361D5A">
      <w:pPr>
        <w:tabs>
          <w:tab w:val="left" w:pos="1134"/>
        </w:tabs>
        <w:spacing w:before="120"/>
        <w:ind w:left="993" w:right="1067"/>
        <w:jc w:val="both"/>
        <w:rPr>
          <w:sz w:val="24"/>
          <w:szCs w:val="24"/>
          <w:lang w:val="sq-AL"/>
        </w:rPr>
      </w:pPr>
      <w:r w:rsidRPr="0032048B">
        <w:rPr>
          <w:sz w:val="24"/>
          <w:szCs w:val="24"/>
          <w:u w:val="single"/>
          <w:lang w:val="sq-AL"/>
        </w:rPr>
        <w:t>Lëvrimi i shërbimeve për individët dhe bizneset</w:t>
      </w:r>
    </w:p>
    <w:p w14:paraId="371ADF69" w14:textId="6A36F1CF"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Jan</w:t>
      </w:r>
      <w:r w:rsidR="005D3CCC" w:rsidRPr="0032048B">
        <w:rPr>
          <w:sz w:val="24"/>
          <w:szCs w:val="24"/>
          <w:lang w:val="sq-AL"/>
        </w:rPr>
        <w:t>ë</w:t>
      </w:r>
      <w:r w:rsidRPr="0032048B">
        <w:rPr>
          <w:sz w:val="24"/>
          <w:szCs w:val="24"/>
          <w:lang w:val="sq-AL"/>
        </w:rPr>
        <w:t xml:space="preserve"> krijuar kuadr</w:t>
      </w:r>
      <w:r w:rsidR="002402C2" w:rsidRPr="0032048B">
        <w:rPr>
          <w:sz w:val="24"/>
          <w:szCs w:val="24"/>
          <w:lang w:val="sq-AL"/>
        </w:rPr>
        <w:t>i</w:t>
      </w:r>
      <w:r w:rsidRPr="0032048B">
        <w:rPr>
          <w:sz w:val="24"/>
          <w:szCs w:val="24"/>
          <w:lang w:val="sq-AL"/>
        </w:rPr>
        <w:t xml:space="preserve"> institucional dhe ligjor q</w:t>
      </w:r>
      <w:r w:rsidR="005D3CCC" w:rsidRPr="0032048B">
        <w:rPr>
          <w:sz w:val="24"/>
          <w:szCs w:val="24"/>
          <w:lang w:val="sq-AL"/>
        </w:rPr>
        <w:t>ë</w:t>
      </w:r>
      <w:r w:rsidRPr="0032048B">
        <w:rPr>
          <w:sz w:val="24"/>
          <w:szCs w:val="24"/>
          <w:lang w:val="sq-AL"/>
        </w:rPr>
        <w:t xml:space="preserve"> garantojn</w:t>
      </w:r>
      <w:r w:rsidR="005D3CCC" w:rsidRPr="0032048B">
        <w:rPr>
          <w:sz w:val="24"/>
          <w:szCs w:val="24"/>
          <w:lang w:val="sq-AL"/>
        </w:rPr>
        <w:t>ë</w:t>
      </w:r>
      <w:r w:rsidRPr="0032048B">
        <w:rPr>
          <w:sz w:val="24"/>
          <w:szCs w:val="24"/>
          <w:lang w:val="sq-AL"/>
        </w:rPr>
        <w:t xml:space="preserve"> një administratë të orientuar drejt përdoruesit. Agjenda e re digjitale 2022-2026 u miratua në qershor 2022. Përafrimi me Kuadrin </w:t>
      </w:r>
      <w:r w:rsidR="002402C2" w:rsidRPr="0032048B">
        <w:rPr>
          <w:sz w:val="24"/>
          <w:szCs w:val="24"/>
          <w:lang w:val="sq-AL"/>
        </w:rPr>
        <w:t>Evropian</w:t>
      </w:r>
      <w:r w:rsidRPr="0032048B">
        <w:rPr>
          <w:sz w:val="24"/>
          <w:szCs w:val="24"/>
          <w:lang w:val="sq-AL"/>
        </w:rPr>
        <w:t xml:space="preserve"> t</w:t>
      </w:r>
      <w:r w:rsidR="005D3CCC" w:rsidRPr="0032048B">
        <w:rPr>
          <w:sz w:val="24"/>
          <w:szCs w:val="24"/>
          <w:lang w:val="sq-AL"/>
        </w:rPr>
        <w:t>ë</w:t>
      </w:r>
      <w:r w:rsidRPr="0032048B">
        <w:rPr>
          <w:sz w:val="24"/>
          <w:szCs w:val="24"/>
          <w:lang w:val="sq-AL"/>
        </w:rPr>
        <w:t xml:space="preserve"> rishikuar të Nd</w:t>
      </w:r>
      <w:r w:rsidR="005D3CCC" w:rsidRPr="0032048B">
        <w:rPr>
          <w:sz w:val="24"/>
          <w:szCs w:val="24"/>
          <w:lang w:val="sq-AL"/>
        </w:rPr>
        <w:t>ë</w:t>
      </w:r>
      <w:r w:rsidRPr="0032048B">
        <w:rPr>
          <w:sz w:val="24"/>
          <w:szCs w:val="24"/>
          <w:lang w:val="sq-AL"/>
        </w:rPr>
        <w:t xml:space="preserve">rveprimit ende nuk </w:t>
      </w:r>
      <w:r w:rsidR="005D3CCC" w:rsidRPr="0032048B">
        <w:rPr>
          <w:sz w:val="24"/>
          <w:szCs w:val="24"/>
          <w:lang w:val="sq-AL"/>
        </w:rPr>
        <w:t>ë</w:t>
      </w:r>
      <w:r w:rsidRPr="0032048B">
        <w:rPr>
          <w:sz w:val="24"/>
          <w:szCs w:val="24"/>
          <w:lang w:val="sq-AL"/>
        </w:rPr>
        <w:t>sht</w:t>
      </w:r>
      <w:r w:rsidR="005D3CCC" w:rsidRPr="0032048B">
        <w:rPr>
          <w:sz w:val="24"/>
          <w:szCs w:val="24"/>
          <w:lang w:val="sq-AL"/>
        </w:rPr>
        <w:t>ë</w:t>
      </w:r>
      <w:r w:rsidRPr="0032048B">
        <w:rPr>
          <w:sz w:val="24"/>
          <w:szCs w:val="24"/>
          <w:lang w:val="sq-AL"/>
        </w:rPr>
        <w:t xml:space="preserve"> b</w:t>
      </w:r>
      <w:r w:rsidR="005D3CCC" w:rsidRPr="0032048B">
        <w:rPr>
          <w:sz w:val="24"/>
          <w:szCs w:val="24"/>
          <w:lang w:val="sq-AL"/>
        </w:rPr>
        <w:t>ë</w:t>
      </w:r>
      <w:r w:rsidRPr="0032048B">
        <w:rPr>
          <w:sz w:val="24"/>
          <w:szCs w:val="24"/>
          <w:lang w:val="sq-AL"/>
        </w:rPr>
        <w:t>r</w:t>
      </w:r>
      <w:r w:rsidR="005D3CCC" w:rsidRPr="0032048B">
        <w:rPr>
          <w:sz w:val="24"/>
          <w:szCs w:val="24"/>
          <w:lang w:val="sq-AL"/>
        </w:rPr>
        <w:t>ë</w:t>
      </w:r>
      <w:r w:rsidRPr="0032048B">
        <w:rPr>
          <w:sz w:val="24"/>
          <w:szCs w:val="24"/>
          <w:lang w:val="sq-AL"/>
        </w:rPr>
        <w:t>.</w:t>
      </w:r>
      <w:r w:rsidR="004D53EC">
        <w:rPr>
          <w:sz w:val="24"/>
          <w:szCs w:val="24"/>
          <w:lang w:val="sq-AL"/>
        </w:rPr>
        <w:t xml:space="preserve"> </w:t>
      </w:r>
      <w:r w:rsidRPr="0032048B">
        <w:rPr>
          <w:sz w:val="24"/>
          <w:szCs w:val="24"/>
          <w:lang w:val="sq-AL"/>
        </w:rPr>
        <w:t>Duhet t</w:t>
      </w:r>
      <w:r w:rsidR="005D3CCC" w:rsidRPr="0032048B">
        <w:rPr>
          <w:sz w:val="24"/>
          <w:szCs w:val="24"/>
          <w:lang w:val="sq-AL"/>
        </w:rPr>
        <w:t>ë</w:t>
      </w:r>
      <w:r w:rsidRPr="0032048B">
        <w:rPr>
          <w:sz w:val="24"/>
          <w:szCs w:val="24"/>
          <w:lang w:val="sq-AL"/>
        </w:rPr>
        <w:t xml:space="preserve"> garantohet </w:t>
      </w:r>
      <w:proofErr w:type="spellStart"/>
      <w:r w:rsidRPr="0032048B">
        <w:rPr>
          <w:sz w:val="24"/>
          <w:szCs w:val="24"/>
          <w:lang w:val="sq-AL"/>
        </w:rPr>
        <w:t>linj</w:t>
      </w:r>
      <w:r w:rsidR="005D3CCC" w:rsidRPr="0032048B">
        <w:rPr>
          <w:sz w:val="24"/>
          <w:szCs w:val="24"/>
          <w:lang w:val="sq-AL"/>
        </w:rPr>
        <w:t>ë</w:t>
      </w:r>
      <w:r w:rsidRPr="0032048B">
        <w:rPr>
          <w:sz w:val="24"/>
          <w:szCs w:val="24"/>
          <w:lang w:val="sq-AL"/>
        </w:rPr>
        <w:t>zimi</w:t>
      </w:r>
      <w:proofErr w:type="spellEnd"/>
      <w:r w:rsidRPr="0032048B">
        <w:rPr>
          <w:sz w:val="24"/>
          <w:szCs w:val="24"/>
          <w:lang w:val="sq-AL"/>
        </w:rPr>
        <w:t xml:space="preserve"> me legjislacionin e ri, si Akti i Evropës Ndërvepruese.</w:t>
      </w:r>
    </w:p>
    <w:p w14:paraId="1CF9923E" w14:textId="4398513E"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Gjatë periudhës së raportimit, qeveria vazhdoi shtytjen për të zgjeruar ofrimin e shërbimeve në internet, kryesisht përmes platformës e-Albania. Numri i shërbimeve në internet u rrit në 1 227, që vlerësohet të jetë rreth 95% e të gjitha shërbimeve publike. Qeveria po planifikon të riorganizojë portalin për të leht</w:t>
      </w:r>
      <w:r w:rsidR="005D3CCC" w:rsidRPr="0032048B">
        <w:rPr>
          <w:sz w:val="24"/>
          <w:szCs w:val="24"/>
          <w:lang w:val="sq-AL"/>
        </w:rPr>
        <w:t>ë</w:t>
      </w:r>
      <w:r w:rsidRPr="0032048B">
        <w:rPr>
          <w:sz w:val="24"/>
          <w:szCs w:val="24"/>
          <w:lang w:val="sq-AL"/>
        </w:rPr>
        <w:t>suar p</w:t>
      </w:r>
      <w:r w:rsidR="005D3CCC" w:rsidRPr="0032048B">
        <w:rPr>
          <w:sz w:val="24"/>
          <w:szCs w:val="24"/>
          <w:lang w:val="sq-AL"/>
        </w:rPr>
        <w:t>ë</w:t>
      </w:r>
      <w:r w:rsidRPr="0032048B">
        <w:rPr>
          <w:sz w:val="24"/>
          <w:szCs w:val="24"/>
          <w:lang w:val="sq-AL"/>
        </w:rPr>
        <w:t>rdorimin nga qytetar</w:t>
      </w:r>
      <w:r w:rsidR="005D3CCC" w:rsidRPr="0032048B">
        <w:rPr>
          <w:sz w:val="24"/>
          <w:szCs w:val="24"/>
          <w:lang w:val="sq-AL"/>
        </w:rPr>
        <w:t>ë</w:t>
      </w:r>
      <w:r w:rsidRPr="0032048B">
        <w:rPr>
          <w:sz w:val="24"/>
          <w:szCs w:val="24"/>
          <w:lang w:val="sq-AL"/>
        </w:rPr>
        <w:t>t. Numri i përdoruesve të regjistruar është rritur në 2.8 milion, megjithëse vetëm rreth 1.5 milion janë përdorues aktivë. Më 1 maj 2022, qeveria vendosi me një njoftim të shkurtër të mbyll</w:t>
      </w:r>
      <w:r w:rsidR="005D3CCC" w:rsidRPr="0032048B">
        <w:rPr>
          <w:sz w:val="24"/>
          <w:szCs w:val="24"/>
          <w:lang w:val="sq-AL"/>
        </w:rPr>
        <w:t>ë</w:t>
      </w:r>
      <w:r w:rsidRPr="0032048B">
        <w:rPr>
          <w:sz w:val="24"/>
          <w:szCs w:val="24"/>
          <w:lang w:val="sq-AL"/>
        </w:rPr>
        <w:t xml:space="preserve"> ‘zyrat e pritjes’ (Qendrat ADISA), t</w:t>
      </w:r>
      <w:r w:rsidR="005D3CCC" w:rsidRPr="0032048B">
        <w:rPr>
          <w:sz w:val="24"/>
          <w:szCs w:val="24"/>
          <w:lang w:val="sq-AL"/>
        </w:rPr>
        <w:t>ë</w:t>
      </w:r>
      <w:r w:rsidRPr="0032048B">
        <w:rPr>
          <w:sz w:val="24"/>
          <w:szCs w:val="24"/>
          <w:lang w:val="sq-AL"/>
        </w:rPr>
        <w:t xml:space="preserve"> cilat shërbime të qeverisë qendrore, me qëllim të lëvizjes drejt 100% të ofrimit të shërbimit në internet. Qëllimi i kësaj mase është të përmirësojë cilësinë e shërbimeve dhe të zvogëlojë korrupsionin. Ndryshimi i shpejtë ka ngritur pik</w:t>
      </w:r>
      <w:r w:rsidR="005D3CCC" w:rsidRPr="0032048B">
        <w:rPr>
          <w:sz w:val="24"/>
          <w:szCs w:val="24"/>
          <w:lang w:val="sq-AL"/>
        </w:rPr>
        <w:t>ë</w:t>
      </w:r>
      <w:r w:rsidRPr="0032048B">
        <w:rPr>
          <w:sz w:val="24"/>
          <w:szCs w:val="24"/>
          <w:lang w:val="sq-AL"/>
        </w:rPr>
        <w:t>pyetje në lidhje me cilësinë dhe qasjen n</w:t>
      </w:r>
      <w:r w:rsidR="005D3CCC" w:rsidRPr="0032048B">
        <w:rPr>
          <w:sz w:val="24"/>
          <w:szCs w:val="24"/>
          <w:lang w:val="sq-AL"/>
        </w:rPr>
        <w:t>ë</w:t>
      </w:r>
      <w:r w:rsidRPr="0032048B">
        <w:rPr>
          <w:sz w:val="24"/>
          <w:szCs w:val="24"/>
          <w:lang w:val="sq-AL"/>
        </w:rPr>
        <w:t xml:space="preserve"> shërbimeve t</w:t>
      </w:r>
      <w:r w:rsidR="005D3CCC" w:rsidRPr="0032048B">
        <w:rPr>
          <w:sz w:val="24"/>
          <w:szCs w:val="24"/>
          <w:lang w:val="sq-AL"/>
        </w:rPr>
        <w:t>ë</w:t>
      </w:r>
      <w:r w:rsidRPr="0032048B">
        <w:rPr>
          <w:sz w:val="24"/>
          <w:szCs w:val="24"/>
          <w:lang w:val="sq-AL"/>
        </w:rPr>
        <w:t xml:space="preserve"> njerëzve me aftësi të kufizuara digjitale, mund</w:t>
      </w:r>
      <w:r w:rsidR="005D3CCC" w:rsidRPr="0032048B">
        <w:rPr>
          <w:sz w:val="24"/>
          <w:szCs w:val="24"/>
          <w:lang w:val="sq-AL"/>
        </w:rPr>
        <w:t>ë</w:t>
      </w:r>
      <w:r w:rsidRPr="0032048B">
        <w:rPr>
          <w:sz w:val="24"/>
          <w:szCs w:val="24"/>
          <w:lang w:val="sq-AL"/>
        </w:rPr>
        <w:t>sit</w:t>
      </w:r>
      <w:r w:rsidR="005D3CCC" w:rsidRPr="0032048B">
        <w:rPr>
          <w:sz w:val="24"/>
          <w:szCs w:val="24"/>
          <w:lang w:val="sq-AL"/>
        </w:rPr>
        <w:t>ë</w:t>
      </w:r>
      <w:r w:rsidRPr="0032048B">
        <w:rPr>
          <w:sz w:val="24"/>
          <w:szCs w:val="24"/>
          <w:lang w:val="sq-AL"/>
        </w:rPr>
        <w:t xml:space="preserve"> e pakta t</w:t>
      </w:r>
      <w:r w:rsidR="005D3CCC" w:rsidRPr="0032048B">
        <w:rPr>
          <w:sz w:val="24"/>
          <w:szCs w:val="24"/>
          <w:lang w:val="sq-AL"/>
        </w:rPr>
        <w:t>ë</w:t>
      </w:r>
      <w:r w:rsidR="004D53EC">
        <w:rPr>
          <w:sz w:val="24"/>
          <w:szCs w:val="24"/>
          <w:lang w:val="sq-AL"/>
        </w:rPr>
        <w:t xml:space="preserve"> </w:t>
      </w:r>
      <w:r w:rsidRPr="0032048B">
        <w:rPr>
          <w:sz w:val="24"/>
          <w:szCs w:val="24"/>
          <w:lang w:val="sq-AL"/>
        </w:rPr>
        <w:t xml:space="preserve">disa </w:t>
      </w:r>
      <w:r w:rsidR="002402C2" w:rsidRPr="0032048B">
        <w:rPr>
          <w:sz w:val="24"/>
          <w:szCs w:val="24"/>
          <w:lang w:val="sq-AL"/>
        </w:rPr>
        <w:lastRenderedPageBreak/>
        <w:t>qytetarëve</w:t>
      </w:r>
      <w:r w:rsidRPr="0032048B">
        <w:rPr>
          <w:sz w:val="24"/>
          <w:szCs w:val="24"/>
          <w:lang w:val="sq-AL"/>
        </w:rPr>
        <w:t xml:space="preserve"> p</w:t>
      </w:r>
      <w:r w:rsidR="005D3CCC" w:rsidRPr="0032048B">
        <w:rPr>
          <w:sz w:val="24"/>
          <w:szCs w:val="24"/>
          <w:lang w:val="sq-AL"/>
        </w:rPr>
        <w:t>ë</w:t>
      </w:r>
      <w:r w:rsidRPr="0032048B">
        <w:rPr>
          <w:sz w:val="24"/>
          <w:szCs w:val="24"/>
          <w:lang w:val="sq-AL"/>
        </w:rPr>
        <w:t>r lidhje n</w:t>
      </w:r>
      <w:r w:rsidR="005D3CCC" w:rsidRPr="0032048B">
        <w:rPr>
          <w:sz w:val="24"/>
          <w:szCs w:val="24"/>
          <w:lang w:val="sq-AL"/>
        </w:rPr>
        <w:t>ë</w:t>
      </w:r>
      <w:r w:rsidRPr="0032048B">
        <w:rPr>
          <w:sz w:val="24"/>
          <w:szCs w:val="24"/>
          <w:lang w:val="sq-AL"/>
        </w:rPr>
        <w:t xml:space="preserve"> internet, ose personave me aftësi të kufizuara, duke b</w:t>
      </w:r>
      <w:r w:rsidR="005D3CCC" w:rsidRPr="0032048B">
        <w:rPr>
          <w:sz w:val="24"/>
          <w:szCs w:val="24"/>
          <w:lang w:val="sq-AL"/>
        </w:rPr>
        <w:t>ë</w:t>
      </w:r>
      <w:r w:rsidRPr="0032048B">
        <w:rPr>
          <w:sz w:val="24"/>
          <w:szCs w:val="24"/>
          <w:lang w:val="sq-AL"/>
        </w:rPr>
        <w:t>r</w:t>
      </w:r>
      <w:r w:rsidR="005D3CCC" w:rsidRPr="0032048B">
        <w:rPr>
          <w:sz w:val="24"/>
          <w:szCs w:val="24"/>
          <w:lang w:val="sq-AL"/>
        </w:rPr>
        <w:t>ë</w:t>
      </w:r>
      <w:r w:rsidRPr="0032048B">
        <w:rPr>
          <w:sz w:val="24"/>
          <w:szCs w:val="24"/>
          <w:lang w:val="sq-AL"/>
        </w:rPr>
        <w:t xml:space="preserve"> q</w:t>
      </w:r>
      <w:r w:rsidR="005D3CCC" w:rsidRPr="0032048B">
        <w:rPr>
          <w:sz w:val="24"/>
          <w:szCs w:val="24"/>
          <w:lang w:val="sq-AL"/>
        </w:rPr>
        <w:t>ë</w:t>
      </w:r>
      <w:r w:rsidRPr="0032048B">
        <w:rPr>
          <w:sz w:val="24"/>
          <w:szCs w:val="24"/>
          <w:lang w:val="sq-AL"/>
        </w:rPr>
        <w:t xml:space="preserve"> kjo </w:t>
      </w:r>
      <w:r w:rsidR="002402C2" w:rsidRPr="0032048B">
        <w:rPr>
          <w:sz w:val="24"/>
          <w:szCs w:val="24"/>
          <w:lang w:val="sq-AL"/>
        </w:rPr>
        <w:t>çështje</w:t>
      </w:r>
      <w:r w:rsidRPr="0032048B">
        <w:rPr>
          <w:sz w:val="24"/>
          <w:szCs w:val="24"/>
          <w:lang w:val="sq-AL"/>
        </w:rPr>
        <w:t xml:space="preserve"> t</w:t>
      </w:r>
      <w:r w:rsidR="005D3CCC" w:rsidRPr="0032048B">
        <w:rPr>
          <w:sz w:val="24"/>
          <w:szCs w:val="24"/>
          <w:lang w:val="sq-AL"/>
        </w:rPr>
        <w:t>ë</w:t>
      </w:r>
      <w:r w:rsidRPr="0032048B">
        <w:rPr>
          <w:sz w:val="24"/>
          <w:szCs w:val="24"/>
          <w:lang w:val="sq-AL"/>
        </w:rPr>
        <w:t xml:space="preserve"> ket</w:t>
      </w:r>
      <w:r w:rsidR="005D3CCC" w:rsidRPr="0032048B">
        <w:rPr>
          <w:sz w:val="24"/>
          <w:szCs w:val="24"/>
          <w:lang w:val="sq-AL"/>
        </w:rPr>
        <w:t>ë</w:t>
      </w:r>
      <w:r w:rsidRPr="0032048B">
        <w:rPr>
          <w:sz w:val="24"/>
          <w:szCs w:val="24"/>
          <w:lang w:val="sq-AL"/>
        </w:rPr>
        <w:t xml:space="preserve"> nevoj</w:t>
      </w:r>
      <w:r w:rsidR="005D3CCC" w:rsidRPr="0032048B">
        <w:rPr>
          <w:sz w:val="24"/>
          <w:szCs w:val="24"/>
          <w:lang w:val="sq-AL"/>
        </w:rPr>
        <w:t>ë</w:t>
      </w:r>
      <w:r w:rsidRPr="0032048B">
        <w:rPr>
          <w:sz w:val="24"/>
          <w:szCs w:val="24"/>
          <w:lang w:val="sq-AL"/>
        </w:rPr>
        <w:t xml:space="preserve"> t</w:t>
      </w:r>
      <w:r w:rsidR="005D3CCC" w:rsidRPr="0032048B">
        <w:rPr>
          <w:sz w:val="24"/>
          <w:szCs w:val="24"/>
          <w:lang w:val="sq-AL"/>
        </w:rPr>
        <w:t>ë</w:t>
      </w:r>
      <w:r w:rsidRPr="0032048B">
        <w:rPr>
          <w:sz w:val="24"/>
          <w:szCs w:val="24"/>
          <w:lang w:val="sq-AL"/>
        </w:rPr>
        <w:t xml:space="preserve"> shqyrtohet. Qeveria kohët e fundit ka njoftuar qëllimin e saj për të rikthyer n</w:t>
      </w:r>
      <w:r w:rsidR="005D3CCC" w:rsidRPr="0032048B">
        <w:rPr>
          <w:sz w:val="24"/>
          <w:szCs w:val="24"/>
          <w:lang w:val="sq-AL"/>
        </w:rPr>
        <w:t>ë</w:t>
      </w:r>
      <w:r w:rsidRPr="0032048B">
        <w:rPr>
          <w:sz w:val="24"/>
          <w:szCs w:val="24"/>
          <w:lang w:val="sq-AL"/>
        </w:rPr>
        <w:t xml:space="preserve"> nj</w:t>
      </w:r>
      <w:r w:rsidR="005D3CCC" w:rsidRPr="0032048B">
        <w:rPr>
          <w:sz w:val="24"/>
          <w:szCs w:val="24"/>
          <w:lang w:val="sq-AL"/>
        </w:rPr>
        <w:t>ë</w:t>
      </w:r>
      <w:r w:rsidRPr="0032048B">
        <w:rPr>
          <w:sz w:val="24"/>
          <w:szCs w:val="24"/>
          <w:lang w:val="sq-AL"/>
        </w:rPr>
        <w:t xml:space="preserve"> form</w:t>
      </w:r>
      <w:r w:rsidR="005D3CCC" w:rsidRPr="0032048B">
        <w:rPr>
          <w:sz w:val="24"/>
          <w:szCs w:val="24"/>
          <w:lang w:val="sq-AL"/>
        </w:rPr>
        <w:t>ë</w:t>
      </w:r>
      <w:r w:rsidRPr="0032048B">
        <w:rPr>
          <w:sz w:val="24"/>
          <w:szCs w:val="24"/>
          <w:lang w:val="sq-AL"/>
        </w:rPr>
        <w:t xml:space="preserve"> t</w:t>
      </w:r>
      <w:r w:rsidR="005D3CCC" w:rsidRPr="0032048B">
        <w:rPr>
          <w:sz w:val="24"/>
          <w:szCs w:val="24"/>
          <w:lang w:val="sq-AL"/>
        </w:rPr>
        <w:t>ë</w:t>
      </w:r>
      <w:r w:rsidRPr="0032048B">
        <w:rPr>
          <w:sz w:val="24"/>
          <w:szCs w:val="24"/>
          <w:lang w:val="sq-AL"/>
        </w:rPr>
        <w:t xml:space="preserve"> caktuar zyrat e pritjes. Një numër i mirë i bashkive kanë sportele me një ndalesë për të ofruar shërbimet për komunitetin, të cilat në të kaluarën shpesh kombinoheshin me qendrat ADISA. Lidhur me mund</w:t>
      </w:r>
      <w:r w:rsidR="005D3CCC" w:rsidRPr="0032048B">
        <w:rPr>
          <w:sz w:val="24"/>
          <w:szCs w:val="24"/>
          <w:lang w:val="sq-AL"/>
        </w:rPr>
        <w:t>ë</w:t>
      </w:r>
      <w:r w:rsidRPr="0032048B">
        <w:rPr>
          <w:sz w:val="24"/>
          <w:szCs w:val="24"/>
          <w:lang w:val="sq-AL"/>
        </w:rPr>
        <w:t>sit</w:t>
      </w:r>
      <w:r w:rsidR="005D3CCC" w:rsidRPr="0032048B">
        <w:rPr>
          <w:sz w:val="24"/>
          <w:szCs w:val="24"/>
          <w:lang w:val="sq-AL"/>
        </w:rPr>
        <w:t>ë</w:t>
      </w:r>
      <w:r w:rsidRPr="0032048B">
        <w:rPr>
          <w:sz w:val="24"/>
          <w:szCs w:val="24"/>
          <w:lang w:val="sq-AL"/>
        </w:rPr>
        <w:t xml:space="preserve"> e p</w:t>
      </w:r>
      <w:r w:rsidR="005D3CCC" w:rsidRPr="0032048B">
        <w:rPr>
          <w:sz w:val="24"/>
          <w:szCs w:val="24"/>
          <w:lang w:val="sq-AL"/>
        </w:rPr>
        <w:t>ë</w:t>
      </w:r>
      <w:r w:rsidRPr="0032048B">
        <w:rPr>
          <w:sz w:val="24"/>
          <w:szCs w:val="24"/>
          <w:lang w:val="sq-AL"/>
        </w:rPr>
        <w:t>rdorimit nga personat me aftësi të kufizuara, Shqipëria duhet të përafrohet me Direktivën 2016/2102 mbi mundësinë e përdorimit të faqeve të internetit dhe aplikacioneve celulare të organeve të sektorit publik.</w:t>
      </w:r>
    </w:p>
    <w:p w14:paraId="2D6C18DC" w14:textId="666A4176"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 xml:space="preserve">Në vitin 2022, ofrimi i shërbimeve digjitale u pezullua përkohësisht pas një numri sulmesh në internet ndaj sistemeve qeveritare, megjithëse jo në vetë platformën e-Albania. Kanë ndodhur gjithashtu një numër rrjedhjesh të </w:t>
      </w:r>
      <w:proofErr w:type="spellStart"/>
      <w:r w:rsidRPr="0032048B">
        <w:rPr>
          <w:sz w:val="24"/>
          <w:szCs w:val="24"/>
          <w:lang w:val="sq-AL"/>
        </w:rPr>
        <w:t>të</w:t>
      </w:r>
      <w:proofErr w:type="spellEnd"/>
      <w:r w:rsidRPr="0032048B">
        <w:rPr>
          <w:sz w:val="24"/>
          <w:szCs w:val="24"/>
          <w:lang w:val="sq-AL"/>
        </w:rPr>
        <w:t xml:space="preserve"> dhënave nga disa sisteme publike. Prandaj, siguria digjitale, si dhe dispozitat e mbrojtjes së të dhënave, duhet të forcohen. Agjencia Kombëtare për Shoqërinë e Informacionit po përmirëson kapacitetet p</w:t>
      </w:r>
      <w:r w:rsidR="005D3CCC" w:rsidRPr="0032048B">
        <w:rPr>
          <w:sz w:val="24"/>
          <w:szCs w:val="24"/>
          <w:lang w:val="sq-AL"/>
        </w:rPr>
        <w:t>ë</w:t>
      </w:r>
      <w:r w:rsidRPr="0032048B">
        <w:rPr>
          <w:sz w:val="24"/>
          <w:szCs w:val="24"/>
          <w:lang w:val="sq-AL"/>
        </w:rPr>
        <w:t>r vlerësimin e rrezikut dhe infrastrukturën e vazhdimësisë së biznesit. Sa i takon mbrojtjes s</w:t>
      </w:r>
      <w:r w:rsidR="005D3CCC" w:rsidRPr="0032048B">
        <w:rPr>
          <w:sz w:val="24"/>
          <w:szCs w:val="24"/>
          <w:lang w:val="sq-AL"/>
        </w:rPr>
        <w:t>ë</w:t>
      </w:r>
      <w:r w:rsidRPr="0032048B">
        <w:rPr>
          <w:sz w:val="24"/>
          <w:szCs w:val="24"/>
          <w:lang w:val="sq-AL"/>
        </w:rPr>
        <w:t xml:space="preserve"> të dhënave, Shqipëria duhet të përmirësojë kuadrin e saj </w:t>
      </w:r>
      <w:proofErr w:type="spellStart"/>
      <w:r w:rsidRPr="0032048B">
        <w:rPr>
          <w:sz w:val="24"/>
          <w:szCs w:val="24"/>
          <w:lang w:val="sq-AL"/>
        </w:rPr>
        <w:t>rregullatore</w:t>
      </w:r>
      <w:proofErr w:type="spellEnd"/>
      <w:r w:rsidRPr="0032048B">
        <w:rPr>
          <w:sz w:val="24"/>
          <w:szCs w:val="24"/>
          <w:lang w:val="sq-AL"/>
        </w:rPr>
        <w:t xml:space="preserve"> për t’u përafruar me standardet e BE-së.</w:t>
      </w:r>
    </w:p>
    <w:p w14:paraId="27027C93" w14:textId="5D6B2247" w:rsidR="00380775" w:rsidRPr="0032048B" w:rsidRDefault="00380775" w:rsidP="00361D5A">
      <w:pPr>
        <w:tabs>
          <w:tab w:val="left" w:pos="1134"/>
        </w:tabs>
        <w:spacing w:before="120"/>
        <w:ind w:left="993" w:right="1067"/>
        <w:jc w:val="both"/>
        <w:rPr>
          <w:lang w:val="sq-AL"/>
        </w:rPr>
      </w:pPr>
      <w:r w:rsidRPr="0032048B">
        <w:rPr>
          <w:sz w:val="24"/>
          <w:szCs w:val="24"/>
          <w:lang w:val="sq-AL"/>
        </w:rPr>
        <w:t xml:space="preserve">Kodi i Procedurave Administrative siguron kuadrin legjislative për të </w:t>
      </w:r>
      <w:r w:rsidRPr="0032048B">
        <w:rPr>
          <w:b/>
          <w:bCs/>
          <w:sz w:val="24"/>
          <w:szCs w:val="24"/>
          <w:lang w:val="sq-AL"/>
        </w:rPr>
        <w:t>thjeshtuar procedurat administrative</w:t>
      </w:r>
      <w:r w:rsidRPr="0032048B">
        <w:rPr>
          <w:sz w:val="24"/>
          <w:szCs w:val="24"/>
          <w:lang w:val="sq-AL"/>
        </w:rPr>
        <w:t xml:space="preserve"> në përputhje me standardet ndërkombëtare. Procesi i harmonizimit t</w:t>
      </w:r>
      <w:r w:rsidR="005D3CCC" w:rsidRPr="0032048B">
        <w:rPr>
          <w:sz w:val="24"/>
          <w:szCs w:val="24"/>
          <w:lang w:val="sq-AL"/>
        </w:rPr>
        <w:t>ë</w:t>
      </w:r>
      <w:r w:rsidRPr="0032048B">
        <w:rPr>
          <w:sz w:val="24"/>
          <w:szCs w:val="24"/>
          <w:lang w:val="sq-AL"/>
        </w:rPr>
        <w:t xml:space="preserve"> ligjeve me Kodin duhet të përfundojë. Në Prill 2023, qeveria miratoi një dokument të ri politikash mbi standardet e shërbimeve publike, i cili synon të përmirësojë standardet e shërbimit</w:t>
      </w:r>
      <w:r w:rsidRPr="0032048B">
        <w:rPr>
          <w:spacing w:val="-2"/>
          <w:lang w:val="sq-AL"/>
        </w:rPr>
        <w:t>.</w:t>
      </w:r>
    </w:p>
    <w:p w14:paraId="2571E646" w14:textId="77777777" w:rsidR="00380775" w:rsidRPr="0032048B" w:rsidRDefault="00380775" w:rsidP="00361D5A">
      <w:pPr>
        <w:tabs>
          <w:tab w:val="left" w:pos="1134"/>
        </w:tabs>
        <w:spacing w:before="240"/>
        <w:ind w:left="993" w:right="1067"/>
        <w:rPr>
          <w:sz w:val="24"/>
          <w:szCs w:val="24"/>
          <w:lang w:val="sq-AL"/>
        </w:rPr>
      </w:pPr>
    </w:p>
    <w:p w14:paraId="1D9BE13A" w14:textId="77777777" w:rsidR="00380775" w:rsidRPr="0032048B" w:rsidRDefault="00380775" w:rsidP="00361D5A">
      <w:pPr>
        <w:numPr>
          <w:ilvl w:val="1"/>
          <w:numId w:val="6"/>
        </w:numPr>
        <w:tabs>
          <w:tab w:val="left" w:pos="1134"/>
          <w:tab w:val="left" w:pos="1388"/>
        </w:tabs>
        <w:ind w:left="993" w:right="1067" w:firstLine="0"/>
        <w:jc w:val="both"/>
        <w:rPr>
          <w:b/>
          <w:sz w:val="19"/>
          <w:lang w:val="sq-AL"/>
        </w:rPr>
      </w:pPr>
      <w:bookmarkStart w:id="21" w:name="2.2._Rule_of_law_and_fundamental_rights"/>
      <w:bookmarkStart w:id="22" w:name="_bookmark9"/>
      <w:bookmarkEnd w:id="21"/>
      <w:bookmarkEnd w:id="22"/>
      <w:r w:rsidRPr="0032048B">
        <w:rPr>
          <w:b/>
          <w:sz w:val="24"/>
          <w:lang w:val="sq-AL"/>
        </w:rPr>
        <w:t>SUNDIMI I LIGJIT DHE TË DREJTAT THEMELORE</w:t>
      </w:r>
    </w:p>
    <w:p w14:paraId="001C20BA" w14:textId="77777777" w:rsidR="00380775" w:rsidRPr="0032048B" w:rsidRDefault="00380775" w:rsidP="00361D5A">
      <w:pPr>
        <w:numPr>
          <w:ilvl w:val="2"/>
          <w:numId w:val="4"/>
        </w:numPr>
        <w:tabs>
          <w:tab w:val="left" w:pos="1134"/>
        </w:tabs>
        <w:spacing w:before="120"/>
        <w:ind w:left="993" w:right="1067" w:firstLine="0"/>
        <w:jc w:val="both"/>
        <w:outlineLvl w:val="0"/>
        <w:rPr>
          <w:b/>
          <w:bCs/>
          <w:sz w:val="24"/>
          <w:szCs w:val="24"/>
          <w:lang w:val="sq-AL"/>
        </w:rPr>
      </w:pPr>
      <w:bookmarkStart w:id="23" w:name="2.2.1._Chapter_23:_Judiciary_and_fundame"/>
      <w:bookmarkStart w:id="24" w:name="_bookmark10"/>
      <w:bookmarkEnd w:id="23"/>
      <w:bookmarkEnd w:id="24"/>
      <w:r w:rsidRPr="0032048B">
        <w:rPr>
          <w:b/>
          <w:bCs/>
          <w:sz w:val="24"/>
          <w:szCs w:val="24"/>
          <w:lang w:val="sq-AL"/>
        </w:rPr>
        <w:t>Kapitulli 23:</w:t>
      </w:r>
      <w:r w:rsidRPr="0032048B">
        <w:rPr>
          <w:b/>
          <w:bCs/>
          <w:spacing w:val="-2"/>
          <w:sz w:val="24"/>
          <w:szCs w:val="24"/>
          <w:lang w:val="sq-AL"/>
        </w:rPr>
        <w:t xml:space="preserve"> </w:t>
      </w:r>
      <w:r w:rsidRPr="0032048B">
        <w:rPr>
          <w:b/>
          <w:bCs/>
          <w:sz w:val="24"/>
          <w:szCs w:val="24"/>
          <w:lang w:val="sq-AL"/>
        </w:rPr>
        <w:t>Gjyqësori dhe të drejtat themelore</w:t>
      </w:r>
    </w:p>
    <w:p w14:paraId="52202AF4" w14:textId="61F15CC4" w:rsidR="00380775" w:rsidRPr="0032048B" w:rsidRDefault="00380775" w:rsidP="00361D5A">
      <w:pPr>
        <w:tabs>
          <w:tab w:val="left" w:pos="1134"/>
        </w:tabs>
        <w:spacing w:before="120"/>
        <w:ind w:left="993" w:right="1067"/>
        <w:jc w:val="both"/>
        <w:rPr>
          <w:i/>
          <w:sz w:val="24"/>
          <w:lang w:val="sq-AL"/>
        </w:rPr>
      </w:pPr>
      <w:r w:rsidRPr="0032048B">
        <w:rPr>
          <w:i/>
          <w:sz w:val="24"/>
          <w:lang w:val="sq-AL"/>
        </w:rPr>
        <w:t xml:space="preserve">Vlerat themeluese të BE -së përfshijnë sundimin e ligjit dhe respektimin e të drejtave të njeriut. Një sistem gjyqësor efektiv (i pavarur, me cilësi të lartë dhe </w:t>
      </w:r>
      <w:proofErr w:type="spellStart"/>
      <w:r w:rsidRPr="0032048B">
        <w:rPr>
          <w:i/>
          <w:sz w:val="24"/>
          <w:lang w:val="sq-AL"/>
        </w:rPr>
        <w:t>eficent</w:t>
      </w:r>
      <w:proofErr w:type="spellEnd"/>
      <w:r w:rsidRPr="0032048B">
        <w:rPr>
          <w:i/>
          <w:sz w:val="24"/>
          <w:lang w:val="sq-AL"/>
        </w:rPr>
        <w:t>) dhe lufta efektive kundër korrupsionit jan</w:t>
      </w:r>
      <w:r w:rsidR="005D3CCC" w:rsidRPr="0032048B">
        <w:rPr>
          <w:i/>
          <w:sz w:val="24"/>
          <w:lang w:val="sq-AL"/>
        </w:rPr>
        <w:t>ë</w:t>
      </w:r>
      <w:r w:rsidRPr="0032048B">
        <w:rPr>
          <w:i/>
          <w:sz w:val="24"/>
          <w:lang w:val="sq-AL"/>
        </w:rPr>
        <w:t xml:space="preserve"> shum</w:t>
      </w:r>
      <w:r w:rsidR="005D3CCC" w:rsidRPr="0032048B">
        <w:rPr>
          <w:i/>
          <w:sz w:val="24"/>
          <w:lang w:val="sq-AL"/>
        </w:rPr>
        <w:t>ë</w:t>
      </w:r>
      <w:r w:rsidRPr="0032048B">
        <w:rPr>
          <w:i/>
          <w:sz w:val="24"/>
          <w:lang w:val="sq-AL"/>
        </w:rPr>
        <w:t xml:space="preserve"> t</w:t>
      </w:r>
      <w:r w:rsidR="005D3CCC" w:rsidRPr="0032048B">
        <w:rPr>
          <w:i/>
          <w:sz w:val="24"/>
          <w:lang w:val="sq-AL"/>
        </w:rPr>
        <w:t>ë</w:t>
      </w:r>
      <w:r w:rsidRPr="0032048B">
        <w:rPr>
          <w:i/>
          <w:sz w:val="24"/>
          <w:lang w:val="sq-AL"/>
        </w:rPr>
        <w:t xml:space="preserve"> r</w:t>
      </w:r>
      <w:r w:rsidR="005D3CCC" w:rsidRPr="0032048B">
        <w:rPr>
          <w:i/>
          <w:sz w:val="24"/>
          <w:lang w:val="sq-AL"/>
        </w:rPr>
        <w:t>ë</w:t>
      </w:r>
      <w:r w:rsidRPr="0032048B">
        <w:rPr>
          <w:i/>
          <w:sz w:val="24"/>
          <w:lang w:val="sq-AL"/>
        </w:rPr>
        <w:t>nd</w:t>
      </w:r>
      <w:r w:rsidR="005D3CCC" w:rsidRPr="0032048B">
        <w:rPr>
          <w:i/>
          <w:sz w:val="24"/>
          <w:lang w:val="sq-AL"/>
        </w:rPr>
        <w:t>ë</w:t>
      </w:r>
      <w:r w:rsidRPr="0032048B">
        <w:rPr>
          <w:i/>
          <w:sz w:val="24"/>
          <w:lang w:val="sq-AL"/>
        </w:rPr>
        <w:t>sishme, siç është edhe respektimi i të drejtave themelore në ligj dhe në praktikë.</w:t>
      </w:r>
    </w:p>
    <w:p w14:paraId="371CB300" w14:textId="77777777" w:rsidR="00380775" w:rsidRPr="0032048B" w:rsidRDefault="00380775" w:rsidP="00361D5A">
      <w:pPr>
        <w:tabs>
          <w:tab w:val="left" w:pos="1134"/>
        </w:tabs>
        <w:spacing w:before="6"/>
        <w:ind w:left="993" w:right="1067"/>
        <w:rPr>
          <w:i/>
          <w:sz w:val="10"/>
          <w:szCs w:val="24"/>
          <w:lang w:val="sq-AL"/>
        </w:rPr>
      </w:pP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4"/>
      </w:tblGrid>
      <w:tr w:rsidR="00380775" w:rsidRPr="0032048B" w14:paraId="5989AC1B" w14:textId="77777777" w:rsidTr="000C6EFC">
        <w:trPr>
          <w:trHeight w:val="865"/>
        </w:trPr>
        <w:tc>
          <w:tcPr>
            <w:tcW w:w="9254" w:type="dxa"/>
            <w:shd w:val="clear" w:color="auto" w:fill="D9D9D9"/>
          </w:tcPr>
          <w:p w14:paraId="630BDF7D" w14:textId="73B6DB3F" w:rsidR="00380775" w:rsidRPr="0032048B" w:rsidRDefault="00380775" w:rsidP="00B31C99">
            <w:pPr>
              <w:tabs>
                <w:tab w:val="left" w:pos="1134"/>
              </w:tabs>
              <w:spacing w:before="18" w:line="270" w:lineRule="atLeast"/>
              <w:ind w:left="270" w:right="195"/>
              <w:jc w:val="both"/>
              <w:rPr>
                <w:sz w:val="24"/>
                <w:lang w:val="sq-AL"/>
              </w:rPr>
            </w:pPr>
            <w:r w:rsidRPr="0032048B">
              <w:rPr>
                <w:sz w:val="24"/>
                <w:lang w:val="sq-AL"/>
              </w:rPr>
              <w:t>Shqipëria gjendet midis</w:t>
            </w:r>
            <w:r w:rsidRPr="0032048B">
              <w:rPr>
                <w:b/>
                <w:sz w:val="24"/>
                <w:lang w:val="sq-AL"/>
              </w:rPr>
              <w:t xml:space="preserve"> p</w:t>
            </w:r>
            <w:r w:rsidR="005D3CCC" w:rsidRPr="0032048B">
              <w:rPr>
                <w:b/>
                <w:sz w:val="24"/>
                <w:lang w:val="sq-AL"/>
              </w:rPr>
              <w:t>ë</w:t>
            </w:r>
            <w:r w:rsidRPr="0032048B">
              <w:rPr>
                <w:b/>
                <w:sz w:val="24"/>
                <w:lang w:val="sq-AL"/>
              </w:rPr>
              <w:t>rgatitje</w:t>
            </w:r>
            <w:r w:rsidR="00B31C99" w:rsidRPr="0032048B">
              <w:rPr>
                <w:b/>
                <w:sz w:val="24"/>
                <w:lang w:val="sq-AL"/>
              </w:rPr>
              <w:t xml:space="preserve">s </w:t>
            </w:r>
            <w:r w:rsidR="000C6EFC" w:rsidRPr="0032048B">
              <w:rPr>
                <w:b/>
                <w:sz w:val="24"/>
                <w:lang w:val="sq-AL"/>
              </w:rPr>
              <w:t>së</w:t>
            </w:r>
            <w:r w:rsidR="00B31C99" w:rsidRPr="0032048B">
              <w:rPr>
                <w:b/>
                <w:sz w:val="24"/>
                <w:lang w:val="sq-AL"/>
              </w:rPr>
              <w:t xml:space="preserve"> mjaftueshme </w:t>
            </w:r>
            <w:r w:rsidRPr="0032048B">
              <w:rPr>
                <w:b/>
                <w:sz w:val="24"/>
                <w:lang w:val="sq-AL"/>
              </w:rPr>
              <w:t>dhe përgatitjes mesatare</w:t>
            </w:r>
            <w:r w:rsidRPr="0032048B">
              <w:rPr>
                <w:sz w:val="24"/>
                <w:lang w:val="sq-AL"/>
              </w:rPr>
              <w:t xml:space="preserve"> lidhur me përafrimin me </w:t>
            </w:r>
            <w:proofErr w:type="spellStart"/>
            <w:r w:rsidRPr="0032048B">
              <w:rPr>
                <w:i/>
                <w:sz w:val="24"/>
                <w:lang w:val="sq-AL"/>
              </w:rPr>
              <w:t>acquis</w:t>
            </w:r>
            <w:proofErr w:type="spellEnd"/>
            <w:r w:rsidRPr="0032048B">
              <w:rPr>
                <w:sz w:val="24"/>
                <w:lang w:val="sq-AL"/>
              </w:rPr>
              <w:t xml:space="preserve"> e BE-së dhe standardet evropiane në fushën e gjyqësorit dhe të drejtave themelore. Në periudhën e raportimit, u arrit prog</w:t>
            </w:r>
            <w:r w:rsidR="00520FFA" w:rsidRPr="0032048B">
              <w:rPr>
                <w:sz w:val="24"/>
                <w:lang w:val="sq-AL"/>
              </w:rPr>
              <w:t>r</w:t>
            </w:r>
            <w:r w:rsidRPr="0032048B">
              <w:rPr>
                <w:sz w:val="24"/>
                <w:lang w:val="sq-AL"/>
              </w:rPr>
              <w:t>es</w:t>
            </w:r>
            <w:r w:rsidR="00B31C99" w:rsidRPr="0032048B">
              <w:rPr>
                <w:sz w:val="24"/>
                <w:lang w:val="sq-AL"/>
              </w:rPr>
              <w:t xml:space="preserve"> i </w:t>
            </w:r>
            <w:r w:rsidR="000C6EFC" w:rsidRPr="0032048B">
              <w:rPr>
                <w:sz w:val="24"/>
                <w:lang w:val="sq-AL"/>
              </w:rPr>
              <w:t>mirë</w:t>
            </w:r>
            <w:r w:rsidR="00B31C99" w:rsidRPr="0032048B">
              <w:rPr>
                <w:sz w:val="24"/>
                <w:lang w:val="sq-AL"/>
              </w:rPr>
              <w:t>.</w:t>
            </w:r>
          </w:p>
        </w:tc>
      </w:tr>
    </w:tbl>
    <w:p w14:paraId="119C5EA7" w14:textId="33ADE5AF" w:rsidR="00380775" w:rsidRPr="0032048B" w:rsidRDefault="00380775" w:rsidP="00361D5A">
      <w:pPr>
        <w:tabs>
          <w:tab w:val="left" w:pos="1134"/>
        </w:tabs>
        <w:spacing w:before="122"/>
        <w:ind w:left="993" w:right="1067"/>
        <w:jc w:val="both"/>
        <w:outlineLvl w:val="0"/>
        <w:rPr>
          <w:b/>
          <w:bCs/>
          <w:sz w:val="24"/>
          <w:szCs w:val="24"/>
          <w:lang w:val="sq-AL"/>
        </w:rPr>
      </w:pPr>
      <w:r w:rsidRPr="0032048B">
        <w:rPr>
          <w:b/>
          <w:bCs/>
          <w:sz w:val="24"/>
          <w:szCs w:val="24"/>
          <w:lang w:val="sq-AL"/>
        </w:rPr>
        <w:t xml:space="preserve">Funksionimi i gjyqësorit </w:t>
      </w:r>
    </w:p>
    <w:tbl>
      <w:tblPr>
        <w:tblpPr w:leftFromText="180" w:rightFromText="180" w:vertAnchor="page" w:horzAnchor="margin" w:tblpXSpec="center" w:tblpY="105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047"/>
      </w:tblGrid>
      <w:tr w:rsidR="00F93B31" w:rsidRPr="0032048B" w14:paraId="5A937AFC" w14:textId="77777777" w:rsidTr="00F93B31">
        <w:trPr>
          <w:trHeight w:val="4763"/>
        </w:trPr>
        <w:tc>
          <w:tcPr>
            <w:tcW w:w="9047" w:type="dxa"/>
            <w:shd w:val="clear" w:color="auto" w:fill="D9D9D9"/>
          </w:tcPr>
          <w:p w14:paraId="502563FA" w14:textId="77777777" w:rsidR="00F93B31" w:rsidRPr="0032048B" w:rsidRDefault="00F93B31" w:rsidP="00F93B31">
            <w:pPr>
              <w:tabs>
                <w:tab w:val="left" w:pos="1004"/>
              </w:tabs>
              <w:ind w:left="295" w:right="238"/>
              <w:jc w:val="both"/>
              <w:rPr>
                <w:sz w:val="24"/>
                <w:lang w:val="sq-AL"/>
              </w:rPr>
            </w:pPr>
            <w:r w:rsidRPr="0032048B">
              <w:rPr>
                <w:sz w:val="24"/>
                <w:lang w:val="sq-AL"/>
              </w:rPr>
              <w:t xml:space="preserve">Shqipëria ka </w:t>
            </w:r>
            <w:r w:rsidRPr="0032048B">
              <w:rPr>
                <w:b/>
                <w:bCs/>
                <w:sz w:val="24"/>
                <w:lang w:val="sq-AL"/>
              </w:rPr>
              <w:t>përgatitje mesatare</w:t>
            </w:r>
            <w:r w:rsidRPr="0032048B">
              <w:rPr>
                <w:sz w:val="24"/>
                <w:lang w:val="sq-AL"/>
              </w:rPr>
              <w:t xml:space="preserve"> sa i takon funksionimit të gjyqësorit. Progres i mirë është bërë gjatë periudhës së raportimit, me zbatimin e vazhdueshëm të reformës në drejtësi. Procesi i rivlerësimit për gjyqtarët dhe prokurorët ka përparuar me rezultate përgjithësisht të mira, megjithëse ritmi i procedurave në apel duhet të rritet në dritën e afatit të rishikuar kushtetues, pa cenuar cilësinë e procesit. Deri në 6 tetor, 57% e dosjeve të rivlerësuara rezultuan në pushime, dorëheqje ose ndërprerje të mandatit. Institucionet shqiptare duhet të sigurojnë ndjekje sistematike gjyqësore për çështjet e vlerësimit që paraqesin elementë penalë. </w:t>
            </w:r>
            <w:proofErr w:type="spellStart"/>
            <w:r w:rsidRPr="0032048B">
              <w:rPr>
                <w:sz w:val="24"/>
                <w:lang w:val="sq-AL"/>
              </w:rPr>
              <w:t>Eficensa</w:t>
            </w:r>
            <w:proofErr w:type="spellEnd"/>
            <w:r w:rsidRPr="0032048B">
              <w:rPr>
                <w:sz w:val="24"/>
                <w:lang w:val="sq-AL"/>
              </w:rPr>
              <w:t xml:space="preserve"> e sistemit gjyqësor dhe qasja në drejtësi vazhduan të preken nga kohëzgjatja e procedurave, rritja e ngarkesës së punës dhe numri i madh i çështjeve të prapambetura, të cilat mbeten problematike. Është bërë progres në plotësimin e vendeve të lira në gjyqësor përmes emërimit të një numri të konsiderueshëm - 40 - të magjistratëve të rinj, të cilët bënë betimin përpara Këshillit të Lartë Gjyqësor në tetor 2023. Zbatimi i hartës së re gjyqësore ka filluar; sidoqoftë, ky proces duhet të bëhet në përputhje me kuadrin ligjore dhe parimet e qasjes në drejtësi. Struktura e specializuar për </w:t>
            </w:r>
            <w:proofErr w:type="spellStart"/>
            <w:r w:rsidRPr="0032048B">
              <w:rPr>
                <w:sz w:val="24"/>
                <w:lang w:val="sq-AL"/>
              </w:rPr>
              <w:t>antikorrupsionin</w:t>
            </w:r>
            <w:proofErr w:type="spellEnd"/>
            <w:r w:rsidRPr="0032048B">
              <w:rPr>
                <w:sz w:val="24"/>
                <w:lang w:val="sq-AL"/>
              </w:rPr>
              <w:t xml:space="preserve"> dhe krimin e organizuar (SPAK) arriti rezultate të mëtejshme, si dhe kreu hetime në disa raste të nivelit të lartë, ku përfshihen dy ish-ministra. Drejtuesi i </w:t>
            </w:r>
          </w:p>
          <w:p w14:paraId="457953DF" w14:textId="77777777" w:rsidR="00F93B31" w:rsidRPr="0032048B" w:rsidRDefault="00F93B31" w:rsidP="00F93B31">
            <w:pPr>
              <w:tabs>
                <w:tab w:val="left" w:pos="1004"/>
              </w:tabs>
              <w:ind w:left="295" w:right="238"/>
              <w:jc w:val="both"/>
              <w:rPr>
                <w:sz w:val="24"/>
                <w:lang w:val="sq-AL"/>
              </w:rPr>
            </w:pPr>
          </w:p>
        </w:tc>
      </w:tr>
      <w:tr w:rsidR="00F93B31" w:rsidRPr="0032048B" w14:paraId="3E886A59" w14:textId="77777777" w:rsidTr="00F93B31">
        <w:trPr>
          <w:trHeight w:val="4763"/>
        </w:trPr>
        <w:tc>
          <w:tcPr>
            <w:tcW w:w="9047" w:type="dxa"/>
            <w:shd w:val="clear" w:color="auto" w:fill="D9D9D9"/>
          </w:tcPr>
          <w:p w14:paraId="1264A762" w14:textId="77777777" w:rsidR="00F93B31" w:rsidRPr="0032048B" w:rsidRDefault="00F93B31" w:rsidP="00F93B31">
            <w:pPr>
              <w:tabs>
                <w:tab w:val="left" w:pos="1004"/>
              </w:tabs>
              <w:ind w:left="295" w:right="238"/>
              <w:jc w:val="both"/>
              <w:rPr>
                <w:sz w:val="24"/>
                <w:lang w:val="sq-AL"/>
              </w:rPr>
            </w:pPr>
            <w:r w:rsidRPr="0032048B">
              <w:rPr>
                <w:sz w:val="24"/>
                <w:lang w:val="sq-AL"/>
              </w:rPr>
              <w:lastRenderedPageBreak/>
              <w:t>Prokurorisë së Posaçme u zgjodh në dhjetor 2022 pas një procesi të shëndoshë. Në periudhën e raportimit u ndërmorën disa veprime pozitive për të përshtatur përmbajtjen e trajnimit të vazhdueshëm, megjithatë nevojitet progres i domethënës i mëtejshëm për sa i përket rekomandimit të vitit të kaluar për sistemin e trajnimit gjyqësor. Ka pasur progres edhe në sistemin e menaxhimit të çështjeve, veçanërisht me krijimin e Grupit të Punës për Ndërveprimin dhe miratimin e kuadrit së ndërveprimit që përcakton bazën për funksionimin e sistemit.</w:t>
            </w:r>
          </w:p>
          <w:p w14:paraId="3A762648" w14:textId="77777777" w:rsidR="00F93B31" w:rsidRPr="0032048B" w:rsidRDefault="00F93B31" w:rsidP="00F93B31">
            <w:pPr>
              <w:tabs>
                <w:tab w:val="left" w:pos="1004"/>
              </w:tabs>
              <w:ind w:left="295" w:right="238"/>
              <w:jc w:val="both"/>
              <w:rPr>
                <w:sz w:val="24"/>
                <w:lang w:val="sq-AL"/>
              </w:rPr>
            </w:pPr>
            <w:r w:rsidRPr="0032048B">
              <w:rPr>
                <w:sz w:val="24"/>
                <w:lang w:val="sq-AL"/>
              </w:rPr>
              <w:t>Rekomandime për vitin e ardhshëm:</w:t>
            </w:r>
          </w:p>
          <w:p w14:paraId="61A75D2A" w14:textId="766D08F5" w:rsidR="00F93B31" w:rsidRPr="0032048B" w:rsidRDefault="00F93B31" w:rsidP="00F93B31">
            <w:pPr>
              <w:tabs>
                <w:tab w:val="left" w:pos="1004"/>
              </w:tabs>
              <w:ind w:left="295" w:right="238"/>
              <w:rPr>
                <w:sz w:val="24"/>
                <w:lang w:val="sq-AL"/>
              </w:rPr>
            </w:pPr>
            <w:r w:rsidRPr="0032048B">
              <w:rPr>
                <w:rFonts w:ascii="Symbol" w:hAnsi="Symbol"/>
                <w:sz w:val="24"/>
                <w:lang w:val="sq-AL"/>
              </w:rPr>
              <w:t></w:t>
            </w:r>
            <w:r w:rsidRPr="0032048B">
              <w:rPr>
                <w:rFonts w:ascii="Symbol" w:hAnsi="Symbol"/>
                <w:sz w:val="24"/>
                <w:lang w:val="sq-AL"/>
              </w:rPr>
              <w:t></w:t>
            </w:r>
            <w:r w:rsidRPr="0032048B">
              <w:rPr>
                <w:sz w:val="24"/>
                <w:lang w:val="sq-AL"/>
              </w:rPr>
              <w:t>Të avancohet procesi i rivlerësimit të gjyqtarëve dhe prokurorëve dhe të</w:t>
            </w:r>
            <w:r w:rsidR="004D53EC">
              <w:rPr>
                <w:sz w:val="24"/>
                <w:lang w:val="sq-AL"/>
              </w:rPr>
              <w:t xml:space="preserve">  </w:t>
            </w:r>
            <w:r w:rsidRPr="0032048B">
              <w:rPr>
                <w:sz w:val="24"/>
                <w:lang w:val="sq-AL"/>
              </w:rPr>
              <w:t xml:space="preserve"> përshpejtohen procedurat, veçanërisht në apel, pa cenuar cilësinë e procesit;</w:t>
            </w:r>
          </w:p>
          <w:p w14:paraId="6CADF942" w14:textId="77777777" w:rsidR="00F93B31" w:rsidRPr="0032048B" w:rsidRDefault="00F93B31" w:rsidP="00F93B31">
            <w:pPr>
              <w:tabs>
                <w:tab w:val="left" w:pos="1004"/>
              </w:tabs>
              <w:ind w:left="295" w:right="238"/>
              <w:jc w:val="both"/>
              <w:rPr>
                <w:sz w:val="24"/>
                <w:lang w:val="sq-AL"/>
              </w:rPr>
            </w:pPr>
            <w:r w:rsidRPr="0032048B">
              <w:rPr>
                <w:rFonts w:ascii="Symbol" w:hAnsi="Symbol"/>
                <w:sz w:val="24"/>
                <w:lang w:val="sq-AL"/>
              </w:rPr>
              <w:t></w:t>
            </w:r>
            <w:r w:rsidRPr="0032048B">
              <w:rPr>
                <w:rFonts w:ascii="Symbol" w:hAnsi="Symbol"/>
                <w:sz w:val="24"/>
                <w:lang w:val="sq-AL"/>
              </w:rPr>
              <w:t></w:t>
            </w:r>
            <w:r w:rsidRPr="0032048B">
              <w:rPr>
                <w:rFonts w:ascii="Symbol" w:hAnsi="Symbol"/>
                <w:sz w:val="24"/>
                <w:lang w:val="sq-AL"/>
              </w:rPr>
              <w:t></w:t>
            </w:r>
            <w:r w:rsidRPr="0032048B">
              <w:rPr>
                <w:sz w:val="24"/>
                <w:lang w:val="sq-AL"/>
              </w:rPr>
              <w:t xml:space="preserve">ë konsolidohen përpjekjet për të përmirësuar </w:t>
            </w:r>
            <w:proofErr w:type="spellStart"/>
            <w:r w:rsidRPr="0032048B">
              <w:rPr>
                <w:sz w:val="24"/>
                <w:lang w:val="sq-AL"/>
              </w:rPr>
              <w:t>eficensën</w:t>
            </w:r>
            <w:proofErr w:type="spellEnd"/>
            <w:r w:rsidRPr="0032048B">
              <w:rPr>
                <w:sz w:val="24"/>
                <w:lang w:val="sq-AL"/>
              </w:rPr>
              <w:t xml:space="preserve"> e të gjitha gjykatave dhe shërbimeve të ndjekjes penale dhe për të zvogëluar stokun e çështjeve të prapambetura, duke përfshirë plotësimin e vendeve të lira të punës, përmirësimin e funksionimit të gjykatave dhe rregullimin/thjeshtësimin e procedurave gjyqësore; të ndërmerren veprime të mëtejshme vendimtare për të krijuar një sistem të integruar modern për menaxhimin e çështjeve dhe për të hartuar një plan të bazuar zbatimi dhe komunikimi për hartën e re gjyqësore duke siguruar respektimin e së drejtës për </w:t>
            </w:r>
            <w:proofErr w:type="spellStart"/>
            <w:r w:rsidRPr="0032048B">
              <w:rPr>
                <w:sz w:val="24"/>
                <w:lang w:val="sq-AL"/>
              </w:rPr>
              <w:t>akses</w:t>
            </w:r>
            <w:proofErr w:type="spellEnd"/>
            <w:r w:rsidRPr="0032048B">
              <w:rPr>
                <w:sz w:val="24"/>
                <w:lang w:val="sq-AL"/>
              </w:rPr>
              <w:t xml:space="preserve"> në drejtësi dhe kuadrit ligjor në fuqi, veçanërisht sa u takon transferimeve dhe promovimeve;</w:t>
            </w:r>
          </w:p>
          <w:p w14:paraId="7A8795BD" w14:textId="77777777" w:rsidR="00F93B31" w:rsidRPr="0032048B" w:rsidRDefault="00F93B31" w:rsidP="00F93B31">
            <w:pPr>
              <w:tabs>
                <w:tab w:val="left" w:pos="1004"/>
              </w:tabs>
              <w:ind w:left="295" w:right="238"/>
              <w:jc w:val="both"/>
              <w:rPr>
                <w:sz w:val="24"/>
                <w:lang w:val="sq-AL"/>
              </w:rPr>
            </w:pPr>
          </w:p>
        </w:tc>
      </w:tr>
    </w:tbl>
    <w:p w14:paraId="315138BA" w14:textId="2313820A" w:rsidR="003C157E" w:rsidRPr="0032048B" w:rsidRDefault="003C157E" w:rsidP="00361D5A">
      <w:pPr>
        <w:tabs>
          <w:tab w:val="left" w:pos="1134"/>
        </w:tabs>
        <w:spacing w:before="122"/>
        <w:ind w:left="993" w:right="1067"/>
        <w:jc w:val="both"/>
        <w:outlineLvl w:val="0"/>
        <w:rPr>
          <w:b/>
          <w:bCs/>
          <w:sz w:val="24"/>
          <w:szCs w:val="24"/>
          <w:lang w:val="sq-AL"/>
        </w:rPr>
      </w:pPr>
    </w:p>
    <w:p w14:paraId="0E8729B2" w14:textId="4E8CB4B0" w:rsidR="00380775" w:rsidRPr="0032048B" w:rsidRDefault="00380775" w:rsidP="00F93B31">
      <w:pPr>
        <w:tabs>
          <w:tab w:val="left" w:pos="1134"/>
        </w:tabs>
        <w:spacing w:before="121"/>
        <w:ind w:left="990" w:right="1067"/>
        <w:jc w:val="both"/>
        <w:rPr>
          <w:sz w:val="24"/>
          <w:szCs w:val="24"/>
          <w:lang w:val="sq-AL"/>
        </w:rPr>
      </w:pPr>
      <w:r w:rsidRPr="0032048B">
        <w:rPr>
          <w:sz w:val="24"/>
          <w:szCs w:val="24"/>
          <w:lang w:val="sq-AL"/>
        </w:rPr>
        <w:t>Rivlerësimi i p</w:t>
      </w:r>
      <w:r w:rsidR="005D3CCC" w:rsidRPr="0032048B">
        <w:rPr>
          <w:sz w:val="24"/>
          <w:szCs w:val="24"/>
          <w:lang w:val="sq-AL"/>
        </w:rPr>
        <w:t>ë</w:t>
      </w:r>
      <w:r w:rsidRPr="0032048B">
        <w:rPr>
          <w:sz w:val="24"/>
          <w:szCs w:val="24"/>
          <w:lang w:val="sq-AL"/>
        </w:rPr>
        <w:t>rgjithsh</w:t>
      </w:r>
      <w:r w:rsidR="005D3CCC" w:rsidRPr="0032048B">
        <w:rPr>
          <w:sz w:val="24"/>
          <w:szCs w:val="24"/>
          <w:lang w:val="sq-AL"/>
        </w:rPr>
        <w:t>ë</w:t>
      </w:r>
      <w:r w:rsidRPr="0032048B">
        <w:rPr>
          <w:sz w:val="24"/>
          <w:szCs w:val="24"/>
          <w:lang w:val="sq-AL"/>
        </w:rPr>
        <w:t>m kalimtar i të gjithë gjyqtarëve dhe prokurorëve vazhdoi të përparojë me një ritëm të qëndrueshëm. Operacioni Ndërkombëtar i Monitorimit, i vendosur nën kujdesin e Komisionit Evropian, vazhdoi të ushtrojë mbikëqyrjen e</w:t>
      </w:r>
      <w:r w:rsidR="004D53EC">
        <w:rPr>
          <w:sz w:val="24"/>
          <w:szCs w:val="24"/>
          <w:lang w:val="sq-AL"/>
        </w:rPr>
        <w:t xml:space="preserve"> </w:t>
      </w:r>
      <w:r w:rsidRPr="0032048B">
        <w:rPr>
          <w:sz w:val="24"/>
          <w:szCs w:val="24"/>
          <w:lang w:val="sq-AL"/>
        </w:rPr>
        <w:t>pavarur të procesit.</w:t>
      </w:r>
    </w:p>
    <w:p w14:paraId="7257401E" w14:textId="5EBD4DC1" w:rsidR="00380775" w:rsidRPr="0032048B" w:rsidRDefault="00380775" w:rsidP="00361D5A">
      <w:pPr>
        <w:tabs>
          <w:tab w:val="left" w:pos="1134"/>
        </w:tabs>
        <w:spacing w:before="121"/>
        <w:ind w:left="993" w:right="1067"/>
        <w:jc w:val="both"/>
        <w:rPr>
          <w:sz w:val="24"/>
          <w:szCs w:val="24"/>
          <w:lang w:val="sq-AL"/>
        </w:rPr>
      </w:pPr>
      <w:r w:rsidRPr="0032048B">
        <w:rPr>
          <w:sz w:val="24"/>
          <w:szCs w:val="24"/>
          <w:lang w:val="sq-AL"/>
        </w:rPr>
        <w:t>Deri në 6 tetor 2023, institucionet e rivlerësimi kalimtar kishin përfunduar 689 raste në shkallën e parë që arrin në 84% të totalit. Nga këto, 537 vendime janë t</w:t>
      </w:r>
      <w:r w:rsidR="005D3CCC" w:rsidRPr="0032048B">
        <w:rPr>
          <w:sz w:val="24"/>
          <w:szCs w:val="24"/>
          <w:lang w:val="sq-AL"/>
        </w:rPr>
        <w:t>ë</w:t>
      </w:r>
      <w:r w:rsidRPr="0032048B">
        <w:rPr>
          <w:sz w:val="24"/>
          <w:szCs w:val="24"/>
          <w:lang w:val="sq-AL"/>
        </w:rPr>
        <w:t xml:space="preserve"> form</w:t>
      </w:r>
      <w:r w:rsidR="005D3CCC" w:rsidRPr="0032048B">
        <w:rPr>
          <w:sz w:val="24"/>
          <w:szCs w:val="24"/>
          <w:lang w:val="sq-AL"/>
        </w:rPr>
        <w:t>ë</w:t>
      </w:r>
      <w:r w:rsidRPr="0032048B">
        <w:rPr>
          <w:sz w:val="24"/>
          <w:szCs w:val="24"/>
          <w:lang w:val="sq-AL"/>
        </w:rPr>
        <w:t>s s</w:t>
      </w:r>
      <w:r w:rsidR="005D3CCC" w:rsidRPr="0032048B">
        <w:rPr>
          <w:sz w:val="24"/>
          <w:szCs w:val="24"/>
          <w:lang w:val="sq-AL"/>
        </w:rPr>
        <w:t>ë</w:t>
      </w:r>
      <w:r w:rsidRPr="0032048B">
        <w:rPr>
          <w:sz w:val="24"/>
          <w:szCs w:val="24"/>
          <w:lang w:val="sq-AL"/>
        </w:rPr>
        <w:t xml:space="preserve"> prer</w:t>
      </w:r>
      <w:r w:rsidR="005D3CCC" w:rsidRPr="0032048B">
        <w:rPr>
          <w:sz w:val="24"/>
          <w:szCs w:val="24"/>
          <w:lang w:val="sq-AL"/>
        </w:rPr>
        <w:t>ë</w:t>
      </w:r>
      <w:r w:rsidRPr="0032048B">
        <w:rPr>
          <w:sz w:val="24"/>
          <w:szCs w:val="24"/>
          <w:lang w:val="sq-AL"/>
        </w:rPr>
        <w:t>. Në total, rreth 805 profesionistë jan</w:t>
      </w:r>
      <w:r w:rsidR="005D3CCC" w:rsidRPr="0032048B">
        <w:rPr>
          <w:sz w:val="24"/>
          <w:szCs w:val="24"/>
          <w:lang w:val="sq-AL"/>
        </w:rPr>
        <w:t>ë</w:t>
      </w:r>
      <w:r w:rsidRPr="0032048B">
        <w:rPr>
          <w:sz w:val="24"/>
          <w:szCs w:val="24"/>
          <w:lang w:val="sq-AL"/>
        </w:rPr>
        <w:t xml:space="preserve"> objekt i rivler</w:t>
      </w:r>
      <w:r w:rsidR="005D3CCC" w:rsidRPr="0032048B">
        <w:rPr>
          <w:sz w:val="24"/>
          <w:szCs w:val="24"/>
          <w:lang w:val="sq-AL"/>
        </w:rPr>
        <w:t>ë</w:t>
      </w:r>
      <w:r w:rsidRPr="0032048B">
        <w:rPr>
          <w:sz w:val="24"/>
          <w:szCs w:val="24"/>
          <w:lang w:val="sq-AL"/>
        </w:rPr>
        <w:t>simit. Në përgjithësi, 57% e dosjeve të rivlerësimi kalimtar të përpunuara deri më tani kanë rezultuar me shkarkim ose nd</w:t>
      </w:r>
      <w:r w:rsidR="005D3CCC" w:rsidRPr="0032048B">
        <w:rPr>
          <w:sz w:val="24"/>
          <w:szCs w:val="24"/>
          <w:lang w:val="sq-AL"/>
        </w:rPr>
        <w:t>ë</w:t>
      </w:r>
      <w:r w:rsidRPr="0032048B">
        <w:rPr>
          <w:sz w:val="24"/>
          <w:szCs w:val="24"/>
          <w:lang w:val="sq-AL"/>
        </w:rPr>
        <w:t>rprerje mandati për shkak se subjektet e rivlerësimit kan</w:t>
      </w:r>
      <w:r w:rsidR="005D3CCC" w:rsidRPr="0032048B">
        <w:rPr>
          <w:sz w:val="24"/>
          <w:szCs w:val="24"/>
          <w:lang w:val="sq-AL"/>
        </w:rPr>
        <w:t>ë</w:t>
      </w:r>
      <w:r w:rsidRPr="0032048B">
        <w:rPr>
          <w:sz w:val="24"/>
          <w:szCs w:val="24"/>
          <w:lang w:val="sq-AL"/>
        </w:rPr>
        <w:t xml:space="preserve"> dh</w:t>
      </w:r>
      <w:r w:rsidR="005D3CCC" w:rsidRPr="0032048B">
        <w:rPr>
          <w:sz w:val="24"/>
          <w:szCs w:val="24"/>
          <w:lang w:val="sq-AL"/>
        </w:rPr>
        <w:t>ë</w:t>
      </w:r>
      <w:r w:rsidRPr="0032048B">
        <w:rPr>
          <w:sz w:val="24"/>
          <w:szCs w:val="24"/>
          <w:lang w:val="sq-AL"/>
        </w:rPr>
        <w:t>n</w:t>
      </w:r>
      <w:r w:rsidR="005D3CCC" w:rsidRPr="0032048B">
        <w:rPr>
          <w:sz w:val="24"/>
          <w:szCs w:val="24"/>
          <w:lang w:val="sq-AL"/>
        </w:rPr>
        <w:t>ë</w:t>
      </w:r>
      <w:r w:rsidRPr="0032048B">
        <w:rPr>
          <w:sz w:val="24"/>
          <w:szCs w:val="24"/>
          <w:lang w:val="sq-AL"/>
        </w:rPr>
        <w:t xml:space="preserve"> dorëheqjen ose kan</w:t>
      </w:r>
      <w:r w:rsidR="005D3CCC" w:rsidRPr="0032048B">
        <w:rPr>
          <w:sz w:val="24"/>
          <w:szCs w:val="24"/>
          <w:lang w:val="sq-AL"/>
        </w:rPr>
        <w:t>ë</w:t>
      </w:r>
      <w:r w:rsidRPr="0032048B">
        <w:rPr>
          <w:sz w:val="24"/>
          <w:szCs w:val="24"/>
          <w:lang w:val="sq-AL"/>
        </w:rPr>
        <w:t xml:space="preserve"> arritur moshën e pensionit. Rezultati i vendimeve të organit të shkallës së parë, Komisionit t</w:t>
      </w:r>
      <w:r w:rsidR="005D3CCC" w:rsidRPr="0032048B">
        <w:rPr>
          <w:sz w:val="24"/>
          <w:szCs w:val="24"/>
          <w:lang w:val="sq-AL"/>
        </w:rPr>
        <w:t>ë</w:t>
      </w:r>
      <w:r w:rsidRPr="0032048B">
        <w:rPr>
          <w:sz w:val="24"/>
          <w:szCs w:val="24"/>
          <w:lang w:val="sq-AL"/>
        </w:rPr>
        <w:t xml:space="preserve"> Pavarur t</w:t>
      </w:r>
      <w:r w:rsidR="005D3CCC" w:rsidRPr="0032048B">
        <w:rPr>
          <w:sz w:val="24"/>
          <w:szCs w:val="24"/>
          <w:lang w:val="sq-AL"/>
        </w:rPr>
        <w:t>ë</w:t>
      </w:r>
      <w:r w:rsidRPr="0032048B">
        <w:rPr>
          <w:sz w:val="24"/>
          <w:szCs w:val="24"/>
          <w:lang w:val="sq-AL"/>
        </w:rPr>
        <w:t xml:space="preserve"> Kualifikimeve dhe, kur është rasti, edhe Kolegjit t</w:t>
      </w:r>
      <w:r w:rsidR="005D3CCC" w:rsidRPr="0032048B">
        <w:rPr>
          <w:sz w:val="24"/>
          <w:szCs w:val="24"/>
          <w:lang w:val="sq-AL"/>
        </w:rPr>
        <w:t>ë</w:t>
      </w:r>
      <w:r w:rsidRPr="0032048B">
        <w:rPr>
          <w:sz w:val="24"/>
          <w:szCs w:val="24"/>
          <w:lang w:val="sq-AL"/>
        </w:rPr>
        <w:t xml:space="preserve"> Apelit, çoi n</w:t>
      </w:r>
      <w:r w:rsidR="005D3CCC" w:rsidRPr="0032048B">
        <w:rPr>
          <w:sz w:val="24"/>
          <w:szCs w:val="24"/>
          <w:lang w:val="sq-AL"/>
        </w:rPr>
        <w:t>ë</w:t>
      </w:r>
      <w:r w:rsidRPr="0032048B">
        <w:rPr>
          <w:sz w:val="24"/>
          <w:szCs w:val="24"/>
          <w:lang w:val="sq-AL"/>
        </w:rPr>
        <w:t xml:space="preserve"> 257 shkarkime (kryesisht për çështje që lidhen me pasuritë e pajustifikuara); 278 konfirmime në detyrë; 152 nd</w:t>
      </w:r>
      <w:r w:rsidR="005D3CCC" w:rsidRPr="0032048B">
        <w:rPr>
          <w:sz w:val="24"/>
          <w:szCs w:val="24"/>
          <w:lang w:val="sq-AL"/>
        </w:rPr>
        <w:t>ë</w:t>
      </w:r>
      <w:r w:rsidRPr="0032048B">
        <w:rPr>
          <w:sz w:val="24"/>
          <w:szCs w:val="24"/>
          <w:lang w:val="sq-AL"/>
        </w:rPr>
        <w:t>rprerje t</w:t>
      </w:r>
      <w:r w:rsidR="005D3CCC" w:rsidRPr="0032048B">
        <w:rPr>
          <w:sz w:val="24"/>
          <w:szCs w:val="24"/>
          <w:lang w:val="sq-AL"/>
        </w:rPr>
        <w:t>ë</w:t>
      </w:r>
      <w:r w:rsidRPr="0032048B">
        <w:rPr>
          <w:sz w:val="24"/>
          <w:szCs w:val="24"/>
          <w:lang w:val="sq-AL"/>
        </w:rPr>
        <w:t xml:space="preserve"> procesit t</w:t>
      </w:r>
      <w:r w:rsidR="005D3CCC" w:rsidRPr="0032048B">
        <w:rPr>
          <w:sz w:val="24"/>
          <w:szCs w:val="24"/>
          <w:lang w:val="sq-AL"/>
        </w:rPr>
        <w:t>ë</w:t>
      </w:r>
      <w:r w:rsidRPr="0032048B">
        <w:rPr>
          <w:sz w:val="24"/>
          <w:szCs w:val="24"/>
          <w:lang w:val="sq-AL"/>
        </w:rPr>
        <w:t xml:space="preserve"> rivlerësimit kalimtar; dhe 2 pezullime, me detyrimin për t’iu nënshtruar trajnimit. Operacioni Ndërkombëtar i Monitorimit ka vazhduar të mbikëqyrë procesin e rivler</w:t>
      </w:r>
      <w:r w:rsidR="005D3CCC" w:rsidRPr="0032048B">
        <w:rPr>
          <w:sz w:val="24"/>
          <w:szCs w:val="24"/>
          <w:lang w:val="sq-AL"/>
        </w:rPr>
        <w:t>ë</w:t>
      </w:r>
      <w:r w:rsidRPr="0032048B">
        <w:rPr>
          <w:sz w:val="24"/>
          <w:szCs w:val="24"/>
          <w:lang w:val="sq-AL"/>
        </w:rPr>
        <w:t>simit dhe ka dh</w:t>
      </w:r>
      <w:r w:rsidR="005D3CCC" w:rsidRPr="0032048B">
        <w:rPr>
          <w:sz w:val="24"/>
          <w:szCs w:val="24"/>
          <w:lang w:val="sq-AL"/>
        </w:rPr>
        <w:t>ë</w:t>
      </w:r>
      <w:r w:rsidRPr="0032048B">
        <w:rPr>
          <w:sz w:val="24"/>
          <w:szCs w:val="24"/>
          <w:lang w:val="sq-AL"/>
        </w:rPr>
        <w:t>n</w:t>
      </w:r>
      <w:r w:rsidR="005D3CCC" w:rsidRPr="0032048B">
        <w:rPr>
          <w:sz w:val="24"/>
          <w:szCs w:val="24"/>
          <w:lang w:val="sq-AL"/>
        </w:rPr>
        <w:t>ë</w:t>
      </w:r>
      <w:r w:rsidRPr="0032048B">
        <w:rPr>
          <w:sz w:val="24"/>
          <w:szCs w:val="24"/>
          <w:lang w:val="sq-AL"/>
        </w:rPr>
        <w:t xml:space="preserve"> opinione për vlerësimet e instancës së parë, përfshirë 33 rekomandime për apelim, dhe 8 mendime kund</w:t>
      </w:r>
      <w:r w:rsidR="005D3CCC" w:rsidRPr="0032048B">
        <w:rPr>
          <w:sz w:val="24"/>
          <w:szCs w:val="24"/>
          <w:lang w:val="sq-AL"/>
        </w:rPr>
        <w:t>ë</w:t>
      </w:r>
      <w:r w:rsidRPr="0032048B">
        <w:rPr>
          <w:sz w:val="24"/>
          <w:szCs w:val="24"/>
          <w:lang w:val="sq-AL"/>
        </w:rPr>
        <w:t>r ose konvergjente pas vendimeve t</w:t>
      </w:r>
      <w:r w:rsidR="005D3CCC" w:rsidRPr="0032048B">
        <w:rPr>
          <w:sz w:val="24"/>
          <w:szCs w:val="24"/>
          <w:lang w:val="sq-AL"/>
        </w:rPr>
        <w:t>ë</w:t>
      </w:r>
      <w:r w:rsidRPr="0032048B">
        <w:rPr>
          <w:sz w:val="24"/>
          <w:szCs w:val="24"/>
          <w:lang w:val="sq-AL"/>
        </w:rPr>
        <w:t xml:space="preserve"> form</w:t>
      </w:r>
      <w:r w:rsidR="005D3CCC" w:rsidRPr="0032048B">
        <w:rPr>
          <w:sz w:val="24"/>
          <w:szCs w:val="24"/>
          <w:lang w:val="sq-AL"/>
        </w:rPr>
        <w:t>ë</w:t>
      </w:r>
      <w:r w:rsidRPr="0032048B">
        <w:rPr>
          <w:sz w:val="24"/>
          <w:szCs w:val="24"/>
          <w:lang w:val="sq-AL"/>
        </w:rPr>
        <w:t>s s</w:t>
      </w:r>
      <w:r w:rsidR="005D3CCC" w:rsidRPr="0032048B">
        <w:rPr>
          <w:sz w:val="24"/>
          <w:szCs w:val="24"/>
          <w:lang w:val="sq-AL"/>
        </w:rPr>
        <w:t>ë</w:t>
      </w:r>
      <w:r w:rsidRPr="0032048B">
        <w:rPr>
          <w:sz w:val="24"/>
          <w:szCs w:val="24"/>
          <w:lang w:val="sq-AL"/>
        </w:rPr>
        <w:t xml:space="preserve"> prer</w:t>
      </w:r>
      <w:r w:rsidR="005D3CCC" w:rsidRPr="0032048B">
        <w:rPr>
          <w:sz w:val="24"/>
          <w:szCs w:val="24"/>
          <w:lang w:val="sq-AL"/>
        </w:rPr>
        <w:t>ë</w:t>
      </w:r>
      <w:r w:rsidRPr="0032048B">
        <w:rPr>
          <w:sz w:val="24"/>
          <w:szCs w:val="24"/>
          <w:lang w:val="sq-AL"/>
        </w:rPr>
        <w:t xml:space="preserve">. Institucioni i </w:t>
      </w:r>
      <w:proofErr w:type="spellStart"/>
      <w:r w:rsidRPr="0032048B">
        <w:rPr>
          <w:sz w:val="24"/>
          <w:szCs w:val="24"/>
          <w:lang w:val="sq-AL"/>
        </w:rPr>
        <w:t>Komisionerëve</w:t>
      </w:r>
      <w:proofErr w:type="spellEnd"/>
      <w:r w:rsidRPr="0032048B">
        <w:rPr>
          <w:sz w:val="24"/>
          <w:szCs w:val="24"/>
          <w:lang w:val="sq-AL"/>
        </w:rPr>
        <w:t xml:space="preserve"> Publik</w:t>
      </w:r>
      <w:r w:rsidR="005D3CCC" w:rsidRPr="0032048B">
        <w:rPr>
          <w:sz w:val="24"/>
          <w:szCs w:val="24"/>
          <w:lang w:val="sq-AL"/>
        </w:rPr>
        <w:t>ë</w:t>
      </w:r>
      <w:r w:rsidRPr="0032048B">
        <w:rPr>
          <w:sz w:val="24"/>
          <w:szCs w:val="24"/>
          <w:lang w:val="sq-AL"/>
        </w:rPr>
        <w:t xml:space="preserve"> ka zbatuar të gjitha rekomandimet për apelim. Në të njëjtën periudhë, Kolegji i </w:t>
      </w:r>
      <w:r w:rsidR="00A10A50" w:rsidRPr="0032048B">
        <w:rPr>
          <w:sz w:val="24"/>
          <w:szCs w:val="24"/>
          <w:lang w:val="sq-AL"/>
        </w:rPr>
        <w:t>Posaçëm</w:t>
      </w:r>
      <w:r w:rsidRPr="0032048B">
        <w:rPr>
          <w:sz w:val="24"/>
          <w:szCs w:val="24"/>
          <w:lang w:val="sq-AL"/>
        </w:rPr>
        <w:t xml:space="preserve"> i Apelit ka p</w:t>
      </w:r>
      <w:r w:rsidR="005D3CCC" w:rsidRPr="0032048B">
        <w:rPr>
          <w:sz w:val="24"/>
          <w:szCs w:val="24"/>
          <w:lang w:val="sq-AL"/>
        </w:rPr>
        <w:t>ë</w:t>
      </w:r>
      <w:r w:rsidRPr="0032048B">
        <w:rPr>
          <w:sz w:val="24"/>
          <w:szCs w:val="24"/>
          <w:lang w:val="sq-AL"/>
        </w:rPr>
        <w:t>rpunuar 208 raste.</w:t>
      </w:r>
    </w:p>
    <w:p w14:paraId="1843B06B" w14:textId="1FD833FD" w:rsidR="00380775" w:rsidRPr="0032048B" w:rsidRDefault="00380775" w:rsidP="00361D5A">
      <w:pPr>
        <w:tabs>
          <w:tab w:val="left" w:pos="1134"/>
        </w:tabs>
        <w:spacing w:before="121"/>
        <w:ind w:left="993" w:right="1067"/>
        <w:jc w:val="both"/>
        <w:rPr>
          <w:sz w:val="24"/>
          <w:szCs w:val="24"/>
          <w:lang w:val="sq-AL"/>
        </w:rPr>
      </w:pPr>
      <w:r w:rsidRPr="0032048B">
        <w:rPr>
          <w:sz w:val="24"/>
          <w:szCs w:val="24"/>
          <w:lang w:val="sq-AL"/>
        </w:rPr>
        <w:t>Në qershor 2023, Gjykata Speciale e Shkallës së Parë kundër Korrupsionit dhe Krimit të Organizuar dënoi ish -Shefin e Gjykatës Kushtetuese me 6 muaj burg, q</w:t>
      </w:r>
      <w:r w:rsidR="005D3CCC" w:rsidRPr="0032048B">
        <w:rPr>
          <w:sz w:val="24"/>
          <w:szCs w:val="24"/>
          <w:lang w:val="sq-AL"/>
        </w:rPr>
        <w:t>ë</w:t>
      </w:r>
      <w:r w:rsidRPr="0032048B">
        <w:rPr>
          <w:sz w:val="24"/>
          <w:szCs w:val="24"/>
          <w:lang w:val="sq-AL"/>
        </w:rPr>
        <w:t xml:space="preserve"> u konvertua n</w:t>
      </w:r>
      <w:r w:rsidR="005D3CCC" w:rsidRPr="0032048B">
        <w:rPr>
          <w:sz w:val="24"/>
          <w:szCs w:val="24"/>
          <w:lang w:val="sq-AL"/>
        </w:rPr>
        <w:t>ë</w:t>
      </w:r>
      <w:r w:rsidRPr="0032048B">
        <w:rPr>
          <w:sz w:val="24"/>
          <w:szCs w:val="24"/>
          <w:lang w:val="sq-AL"/>
        </w:rPr>
        <w:t xml:space="preserve"> një vit provë, për deklarata të rreme dhe fshehje n</w:t>
      </w:r>
      <w:r w:rsidR="005D3CCC" w:rsidRPr="0032048B">
        <w:rPr>
          <w:sz w:val="24"/>
          <w:szCs w:val="24"/>
          <w:lang w:val="sq-AL"/>
        </w:rPr>
        <w:t>ë</w:t>
      </w:r>
      <w:r w:rsidRPr="0032048B">
        <w:rPr>
          <w:sz w:val="24"/>
          <w:szCs w:val="24"/>
          <w:lang w:val="sq-AL"/>
        </w:rPr>
        <w:t xml:space="preserve"> procesin e rivlerësimi kalimtar. Tre ish -gjyqtarë të Gjykatës së Lartë jan</w:t>
      </w:r>
      <w:r w:rsidR="005D3CCC" w:rsidRPr="0032048B">
        <w:rPr>
          <w:sz w:val="24"/>
          <w:szCs w:val="24"/>
          <w:lang w:val="sq-AL"/>
        </w:rPr>
        <w:t>ë</w:t>
      </w:r>
      <w:r w:rsidRPr="0032048B">
        <w:rPr>
          <w:sz w:val="24"/>
          <w:szCs w:val="24"/>
          <w:lang w:val="sq-AL"/>
        </w:rPr>
        <w:t xml:space="preserve"> n</w:t>
      </w:r>
      <w:r w:rsidR="005D3CCC" w:rsidRPr="0032048B">
        <w:rPr>
          <w:sz w:val="24"/>
          <w:szCs w:val="24"/>
          <w:lang w:val="sq-AL"/>
        </w:rPr>
        <w:t>ë</w:t>
      </w:r>
      <w:r w:rsidRPr="0032048B">
        <w:rPr>
          <w:sz w:val="24"/>
          <w:szCs w:val="24"/>
          <w:lang w:val="sq-AL"/>
        </w:rPr>
        <w:t xml:space="preserve"> proces gjyq</w:t>
      </w:r>
      <w:r w:rsidR="005D3CCC" w:rsidRPr="0032048B">
        <w:rPr>
          <w:sz w:val="24"/>
          <w:szCs w:val="24"/>
          <w:lang w:val="sq-AL"/>
        </w:rPr>
        <w:t>ë</w:t>
      </w:r>
      <w:r w:rsidRPr="0032048B">
        <w:rPr>
          <w:sz w:val="24"/>
          <w:szCs w:val="24"/>
          <w:lang w:val="sq-AL"/>
        </w:rPr>
        <w:t>sor, dhe Gjykata Speciale e Shkallës së Parë kundër Korrupsionit dhe Krimit të Organizuar ka konfirmuar kërkesën e SPAK-ut në lidhje me konfiskimin e pasuris</w:t>
      </w:r>
      <w:r w:rsidR="005D3CCC" w:rsidRPr="0032048B">
        <w:rPr>
          <w:sz w:val="24"/>
          <w:szCs w:val="24"/>
          <w:lang w:val="sq-AL"/>
        </w:rPr>
        <w:t>ë</w:t>
      </w:r>
      <w:r w:rsidRPr="0032048B">
        <w:rPr>
          <w:sz w:val="24"/>
          <w:szCs w:val="24"/>
          <w:lang w:val="sq-AL"/>
        </w:rPr>
        <w:t xml:space="preserve"> s</w:t>
      </w:r>
      <w:r w:rsidR="005D3CCC" w:rsidRPr="0032048B">
        <w:rPr>
          <w:sz w:val="24"/>
          <w:szCs w:val="24"/>
          <w:lang w:val="sq-AL"/>
        </w:rPr>
        <w:t>ë</w:t>
      </w:r>
      <w:r w:rsidRPr="0032048B">
        <w:rPr>
          <w:sz w:val="24"/>
          <w:szCs w:val="24"/>
          <w:lang w:val="sq-AL"/>
        </w:rPr>
        <w:t xml:space="preserve"> nj</w:t>
      </w:r>
      <w:r w:rsidR="005D3CCC" w:rsidRPr="0032048B">
        <w:rPr>
          <w:sz w:val="24"/>
          <w:szCs w:val="24"/>
          <w:lang w:val="sq-AL"/>
        </w:rPr>
        <w:t>ë</w:t>
      </w:r>
      <w:r w:rsidRPr="0032048B">
        <w:rPr>
          <w:sz w:val="24"/>
          <w:szCs w:val="24"/>
          <w:lang w:val="sq-AL"/>
        </w:rPr>
        <w:t>rit prej tyre. Institucionet e rivler</w:t>
      </w:r>
      <w:r w:rsidR="005D3CCC" w:rsidRPr="0032048B">
        <w:rPr>
          <w:sz w:val="24"/>
          <w:szCs w:val="24"/>
          <w:lang w:val="sq-AL"/>
        </w:rPr>
        <w:t>ë</w:t>
      </w:r>
      <w:r w:rsidRPr="0032048B">
        <w:rPr>
          <w:sz w:val="24"/>
          <w:szCs w:val="24"/>
          <w:lang w:val="sq-AL"/>
        </w:rPr>
        <w:t>simit pritet të referojnë në mënyrë sistematike rastet në shërbimet e ndjekjes penale kur ka indikacione të veprave penale. Deri më tani, 34 raste janë referuar për ndjekje penale pas nd</w:t>
      </w:r>
      <w:r w:rsidR="005D3CCC" w:rsidRPr="0032048B">
        <w:rPr>
          <w:sz w:val="24"/>
          <w:szCs w:val="24"/>
          <w:lang w:val="sq-AL"/>
        </w:rPr>
        <w:t>ë</w:t>
      </w:r>
      <w:r w:rsidRPr="0032048B">
        <w:rPr>
          <w:sz w:val="24"/>
          <w:szCs w:val="24"/>
          <w:lang w:val="sq-AL"/>
        </w:rPr>
        <w:t>rprerjes s</w:t>
      </w:r>
      <w:r w:rsidR="005D3CCC" w:rsidRPr="0032048B">
        <w:rPr>
          <w:sz w:val="24"/>
          <w:szCs w:val="24"/>
          <w:lang w:val="sq-AL"/>
        </w:rPr>
        <w:t>ë</w:t>
      </w:r>
      <w:r w:rsidRPr="0032048B">
        <w:rPr>
          <w:sz w:val="24"/>
          <w:szCs w:val="24"/>
          <w:lang w:val="sq-AL"/>
        </w:rPr>
        <w:t xml:space="preserve"> procesit të rivler</w:t>
      </w:r>
      <w:r w:rsidR="005D3CCC" w:rsidRPr="0032048B">
        <w:rPr>
          <w:sz w:val="24"/>
          <w:szCs w:val="24"/>
          <w:lang w:val="sq-AL"/>
        </w:rPr>
        <w:t>ë</w:t>
      </w:r>
      <w:r w:rsidRPr="0032048B">
        <w:rPr>
          <w:sz w:val="24"/>
          <w:szCs w:val="24"/>
          <w:lang w:val="sq-AL"/>
        </w:rPr>
        <w:t xml:space="preserve">simit për shkak të dorëheqjes, </w:t>
      </w:r>
      <w:r w:rsidR="000C6EFC" w:rsidRPr="0032048B">
        <w:rPr>
          <w:sz w:val="24"/>
          <w:szCs w:val="24"/>
          <w:lang w:val="sq-AL"/>
        </w:rPr>
        <w:t>çka</w:t>
      </w:r>
      <w:r w:rsidRPr="0032048B">
        <w:rPr>
          <w:sz w:val="24"/>
          <w:szCs w:val="24"/>
          <w:lang w:val="sq-AL"/>
        </w:rPr>
        <w:t xml:space="preserve"> përfaqëson rreth 10% të numrit të dorëheqjeve dhe shkarkimeve. Shërbimet e Prokurorisë inkurajohen të fillojnë në mënyrë </w:t>
      </w:r>
      <w:proofErr w:type="spellStart"/>
      <w:r w:rsidRPr="0032048B">
        <w:rPr>
          <w:sz w:val="24"/>
          <w:szCs w:val="24"/>
          <w:lang w:val="sq-AL"/>
        </w:rPr>
        <w:t>proaktive</w:t>
      </w:r>
      <w:proofErr w:type="spellEnd"/>
      <w:r w:rsidRPr="0032048B">
        <w:rPr>
          <w:sz w:val="24"/>
          <w:szCs w:val="24"/>
          <w:lang w:val="sq-AL"/>
        </w:rPr>
        <w:t xml:space="preserve"> procedurat penale kundër gjyqtarëve dhe prokurorëve, kur procesi i ri-verifikimit zbulon elemente penale.</w:t>
      </w:r>
    </w:p>
    <w:p w14:paraId="77D3B389" w14:textId="5F46E5A7" w:rsidR="00380775" w:rsidRPr="0032048B" w:rsidRDefault="00380775" w:rsidP="00361D5A">
      <w:pPr>
        <w:tabs>
          <w:tab w:val="left" w:pos="1134"/>
        </w:tabs>
        <w:spacing w:before="121"/>
        <w:ind w:left="993" w:right="1067"/>
        <w:jc w:val="both"/>
        <w:rPr>
          <w:sz w:val="24"/>
          <w:szCs w:val="24"/>
          <w:lang w:val="sq-AL"/>
        </w:rPr>
      </w:pPr>
      <w:r w:rsidRPr="0032048B">
        <w:rPr>
          <w:sz w:val="24"/>
          <w:szCs w:val="24"/>
          <w:lang w:val="sq-AL"/>
        </w:rPr>
        <w:lastRenderedPageBreak/>
        <w:t>Është e rëndësishme që të gjitha institucionet shtetërore dhe autoritetet gjyqësore, përfshirë organet e vetëqeverisjes s</w:t>
      </w:r>
      <w:r w:rsidR="005D3CCC" w:rsidRPr="0032048B">
        <w:rPr>
          <w:sz w:val="24"/>
          <w:szCs w:val="24"/>
          <w:lang w:val="sq-AL"/>
        </w:rPr>
        <w:t>ë</w:t>
      </w:r>
      <w:r w:rsidRPr="0032048B">
        <w:rPr>
          <w:sz w:val="24"/>
          <w:szCs w:val="24"/>
          <w:lang w:val="sq-AL"/>
        </w:rPr>
        <w:t xml:space="preserve"> gjyqësorit, të respektojnë pavarësinë dhe juridiksionin ekskluziv të organeve të rivler</w:t>
      </w:r>
      <w:r w:rsidR="005D3CCC" w:rsidRPr="0032048B">
        <w:rPr>
          <w:sz w:val="24"/>
          <w:szCs w:val="24"/>
          <w:lang w:val="sq-AL"/>
        </w:rPr>
        <w:t>ë</w:t>
      </w:r>
      <w:r w:rsidRPr="0032048B">
        <w:rPr>
          <w:sz w:val="24"/>
          <w:szCs w:val="24"/>
          <w:lang w:val="sq-AL"/>
        </w:rPr>
        <w:t>simit, dhe të përmbahen nga veprimet që mund të vijn</w:t>
      </w:r>
      <w:r w:rsidR="005D3CCC" w:rsidRPr="0032048B">
        <w:rPr>
          <w:sz w:val="24"/>
          <w:szCs w:val="24"/>
          <w:lang w:val="sq-AL"/>
        </w:rPr>
        <w:t>ë</w:t>
      </w:r>
      <w:r w:rsidRPr="0032048B">
        <w:rPr>
          <w:sz w:val="24"/>
          <w:szCs w:val="24"/>
          <w:lang w:val="sq-AL"/>
        </w:rPr>
        <w:t xml:space="preserve"> n</w:t>
      </w:r>
      <w:r w:rsidR="005D3CCC" w:rsidRPr="0032048B">
        <w:rPr>
          <w:sz w:val="24"/>
          <w:szCs w:val="24"/>
          <w:lang w:val="sq-AL"/>
        </w:rPr>
        <w:t>ë</w:t>
      </w:r>
      <w:r w:rsidRPr="0032048B">
        <w:rPr>
          <w:sz w:val="24"/>
          <w:szCs w:val="24"/>
          <w:lang w:val="sq-AL"/>
        </w:rPr>
        <w:t xml:space="preserve"> kund</w:t>
      </w:r>
      <w:r w:rsidR="005D3CCC" w:rsidRPr="0032048B">
        <w:rPr>
          <w:sz w:val="24"/>
          <w:szCs w:val="24"/>
          <w:lang w:val="sq-AL"/>
        </w:rPr>
        <w:t>ë</w:t>
      </w:r>
      <w:r w:rsidRPr="0032048B">
        <w:rPr>
          <w:sz w:val="24"/>
          <w:szCs w:val="24"/>
          <w:lang w:val="sq-AL"/>
        </w:rPr>
        <w:t>rshtim me vendimet përfundimtare të rivlerësimi kalimtar.</w:t>
      </w:r>
    </w:p>
    <w:p w14:paraId="0F9B9798" w14:textId="77777777" w:rsidR="00380775" w:rsidRPr="0032048B" w:rsidRDefault="00380775" w:rsidP="00361D5A">
      <w:pPr>
        <w:tabs>
          <w:tab w:val="left" w:pos="1134"/>
        </w:tabs>
        <w:spacing w:before="120"/>
        <w:ind w:left="993" w:right="1067"/>
        <w:jc w:val="both"/>
        <w:rPr>
          <w:sz w:val="24"/>
          <w:szCs w:val="24"/>
          <w:lang w:val="sq-AL"/>
        </w:rPr>
      </w:pPr>
      <w:r w:rsidRPr="0032048B">
        <w:rPr>
          <w:spacing w:val="-2"/>
          <w:sz w:val="24"/>
          <w:szCs w:val="24"/>
          <w:u w:val="single"/>
          <w:lang w:val="sq-AL"/>
        </w:rPr>
        <w:t>Dokumentet</w:t>
      </w:r>
      <w:r w:rsidRPr="0032048B">
        <w:rPr>
          <w:sz w:val="24"/>
          <w:szCs w:val="24"/>
          <w:u w:val="single"/>
          <w:lang w:val="sq-AL"/>
        </w:rPr>
        <w:t xml:space="preserve"> strategjike</w:t>
      </w:r>
      <w:r w:rsidRPr="0032048B">
        <w:rPr>
          <w:spacing w:val="-3"/>
          <w:sz w:val="24"/>
          <w:szCs w:val="24"/>
          <w:u w:val="single"/>
          <w:lang w:val="sq-AL"/>
        </w:rPr>
        <w:t xml:space="preserve"> </w:t>
      </w:r>
    </w:p>
    <w:p w14:paraId="5F134968" w14:textId="19504938"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 xml:space="preserve">Ministria e Drejtësisë raporton rregullisht për zbatimin e strategjisë ndër-sektoriale të drejtësisë 2021-2025 dhe planit të saj të veprimit. Të gjitha institucionet gjyqësore, përfshirë Gjykatën Kushtetuese, kanë zhvilluar plane për të </w:t>
      </w:r>
      <w:proofErr w:type="spellStart"/>
      <w:r w:rsidRPr="0032048B">
        <w:rPr>
          <w:sz w:val="24"/>
          <w:szCs w:val="24"/>
          <w:lang w:val="sq-AL"/>
        </w:rPr>
        <w:t>linj</w:t>
      </w:r>
      <w:r w:rsidR="005D3CCC" w:rsidRPr="0032048B">
        <w:rPr>
          <w:sz w:val="24"/>
          <w:szCs w:val="24"/>
          <w:lang w:val="sq-AL"/>
        </w:rPr>
        <w:t>ë</w:t>
      </w:r>
      <w:r w:rsidRPr="0032048B">
        <w:rPr>
          <w:sz w:val="24"/>
          <w:szCs w:val="24"/>
          <w:lang w:val="sq-AL"/>
        </w:rPr>
        <w:t>zuar</w:t>
      </w:r>
      <w:proofErr w:type="spellEnd"/>
      <w:r w:rsidRPr="0032048B">
        <w:rPr>
          <w:sz w:val="24"/>
          <w:szCs w:val="24"/>
          <w:lang w:val="sq-AL"/>
        </w:rPr>
        <w:t xml:space="preserve"> aktivitetet e tyre me strategjinë ndër-sektoriale.</w:t>
      </w:r>
    </w:p>
    <w:p w14:paraId="01F3F48D" w14:textId="270F2C82"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Strategji e drejtësisë dhe plani i veprimit p</w:t>
      </w:r>
      <w:r w:rsidR="005D3CCC" w:rsidRPr="0032048B">
        <w:rPr>
          <w:sz w:val="24"/>
          <w:szCs w:val="24"/>
          <w:lang w:val="sq-AL"/>
        </w:rPr>
        <w:t>ë</w:t>
      </w:r>
      <w:r w:rsidRPr="0032048B">
        <w:rPr>
          <w:sz w:val="24"/>
          <w:szCs w:val="24"/>
          <w:lang w:val="sq-AL"/>
        </w:rPr>
        <w:t>rfshijn</w:t>
      </w:r>
      <w:r w:rsidR="005D3CCC" w:rsidRPr="0032048B">
        <w:rPr>
          <w:sz w:val="24"/>
          <w:szCs w:val="24"/>
          <w:lang w:val="sq-AL"/>
        </w:rPr>
        <w:t>ë</w:t>
      </w:r>
      <w:r w:rsidRPr="0032048B">
        <w:rPr>
          <w:sz w:val="24"/>
          <w:szCs w:val="24"/>
          <w:lang w:val="sq-AL"/>
        </w:rPr>
        <w:t xml:space="preserve"> nj</w:t>
      </w:r>
      <w:r w:rsidR="005D3CCC" w:rsidRPr="0032048B">
        <w:rPr>
          <w:sz w:val="24"/>
          <w:szCs w:val="24"/>
          <w:lang w:val="sq-AL"/>
        </w:rPr>
        <w:t>ë</w:t>
      </w:r>
      <w:r w:rsidRPr="0032048B">
        <w:rPr>
          <w:sz w:val="24"/>
          <w:szCs w:val="24"/>
          <w:lang w:val="sq-AL"/>
        </w:rPr>
        <w:t xml:space="preserve"> grup treguesish specifik</w:t>
      </w:r>
      <w:r w:rsidR="005D3CCC" w:rsidRPr="0032048B">
        <w:rPr>
          <w:sz w:val="24"/>
          <w:szCs w:val="24"/>
          <w:lang w:val="sq-AL"/>
        </w:rPr>
        <w:t>ë</w:t>
      </w:r>
      <w:r w:rsidRPr="0032048B">
        <w:rPr>
          <w:sz w:val="24"/>
          <w:szCs w:val="24"/>
          <w:lang w:val="sq-AL"/>
        </w:rPr>
        <w:t xml:space="preserve"> p</w:t>
      </w:r>
      <w:r w:rsidR="005D3CCC" w:rsidRPr="0032048B">
        <w:rPr>
          <w:sz w:val="24"/>
          <w:szCs w:val="24"/>
          <w:lang w:val="sq-AL"/>
        </w:rPr>
        <w:t>ë</w:t>
      </w:r>
      <w:r w:rsidRPr="0032048B">
        <w:rPr>
          <w:sz w:val="24"/>
          <w:szCs w:val="24"/>
          <w:lang w:val="sq-AL"/>
        </w:rPr>
        <w:t>r ta bërë më të lehtë gjurmimin e zbatimit të saj. Duhet t</w:t>
      </w:r>
      <w:r w:rsidR="005D3CCC" w:rsidRPr="0032048B">
        <w:rPr>
          <w:sz w:val="24"/>
          <w:szCs w:val="24"/>
          <w:lang w:val="sq-AL"/>
        </w:rPr>
        <w:t>ë</w:t>
      </w:r>
      <w:r w:rsidRPr="0032048B">
        <w:rPr>
          <w:sz w:val="24"/>
          <w:szCs w:val="24"/>
          <w:lang w:val="sq-AL"/>
        </w:rPr>
        <w:t xml:space="preserve"> përmirësohen kapacitetet e raportimit të njësive përkatëse në të gjitha institucionet, të standardizohen metodat e raportimit, të sigurohet trajnim më i shpeshtë i specializuar i stafit për</w:t>
      </w:r>
      <w:r w:rsidR="004D53EC">
        <w:rPr>
          <w:sz w:val="24"/>
          <w:szCs w:val="24"/>
          <w:lang w:val="sq-AL"/>
        </w:rPr>
        <w:t xml:space="preserve"> </w:t>
      </w:r>
      <w:r w:rsidRPr="0032048B">
        <w:rPr>
          <w:sz w:val="24"/>
          <w:szCs w:val="24"/>
          <w:lang w:val="sq-AL"/>
        </w:rPr>
        <w:t>zhvillimin e aftësive analitike si dhe të sigurohet saktësia e të dhënave statistikore në të gjitha nivelet. Shqipëria duhet të sigurojë bashkëpunimin efektiv t</w:t>
      </w:r>
      <w:r w:rsidR="005D3CCC" w:rsidRPr="0032048B">
        <w:rPr>
          <w:sz w:val="24"/>
          <w:szCs w:val="24"/>
          <w:lang w:val="sq-AL"/>
        </w:rPr>
        <w:t>ë</w:t>
      </w:r>
      <w:r w:rsidRPr="0032048B">
        <w:rPr>
          <w:sz w:val="24"/>
          <w:szCs w:val="24"/>
          <w:lang w:val="sq-AL"/>
        </w:rPr>
        <w:t xml:space="preserve"> institucioneve të drejtësisë, akordimin e burimeve të mjaftueshme dhe funksionimin </w:t>
      </w:r>
      <w:proofErr w:type="spellStart"/>
      <w:r w:rsidRPr="0032048B">
        <w:rPr>
          <w:sz w:val="24"/>
          <w:szCs w:val="24"/>
          <w:lang w:val="sq-AL"/>
        </w:rPr>
        <w:t>eficent</w:t>
      </w:r>
      <w:proofErr w:type="spellEnd"/>
      <w:r w:rsidRPr="0032048B">
        <w:rPr>
          <w:sz w:val="24"/>
          <w:szCs w:val="24"/>
          <w:lang w:val="sq-AL"/>
        </w:rPr>
        <w:t xml:space="preserve"> dhe </w:t>
      </w:r>
      <w:proofErr w:type="spellStart"/>
      <w:r w:rsidRPr="0032048B">
        <w:rPr>
          <w:sz w:val="24"/>
          <w:szCs w:val="24"/>
          <w:lang w:val="sq-AL"/>
        </w:rPr>
        <w:t>sistemik</w:t>
      </w:r>
      <w:proofErr w:type="spellEnd"/>
      <w:r w:rsidRPr="0032048B">
        <w:rPr>
          <w:sz w:val="24"/>
          <w:szCs w:val="24"/>
          <w:lang w:val="sq-AL"/>
        </w:rPr>
        <w:t xml:space="preserve"> të sektorit të drejtësisë në kontekstin e zbatimit të strategjisë së drejtësisë dhe planit të saj të veprimit.</w:t>
      </w:r>
    </w:p>
    <w:p w14:paraId="06F96991" w14:textId="77777777" w:rsidR="00380775" w:rsidRPr="0032048B" w:rsidRDefault="00380775" w:rsidP="00361D5A">
      <w:pPr>
        <w:tabs>
          <w:tab w:val="left" w:pos="1134"/>
        </w:tabs>
        <w:spacing w:before="120"/>
        <w:ind w:left="993" w:right="1067"/>
        <w:jc w:val="both"/>
        <w:rPr>
          <w:sz w:val="24"/>
          <w:szCs w:val="24"/>
          <w:lang w:val="sq-AL"/>
        </w:rPr>
      </w:pPr>
      <w:r w:rsidRPr="0032048B">
        <w:rPr>
          <w:sz w:val="24"/>
          <w:szCs w:val="24"/>
          <w:u w:val="single"/>
          <w:lang w:val="sq-AL"/>
        </w:rPr>
        <w:t>Strukturat e specializuara</w:t>
      </w:r>
    </w:p>
    <w:p w14:paraId="350FB307" w14:textId="538261A7" w:rsidR="00EE6ACE" w:rsidRPr="0032048B" w:rsidRDefault="00380775" w:rsidP="00EE6ACE">
      <w:pPr>
        <w:tabs>
          <w:tab w:val="left" w:pos="1134"/>
        </w:tabs>
        <w:spacing w:before="120"/>
        <w:ind w:left="993" w:right="1067"/>
        <w:jc w:val="both"/>
        <w:rPr>
          <w:i/>
          <w:iCs/>
          <w:sz w:val="24"/>
          <w:szCs w:val="24"/>
          <w:lang w:val="sq-AL"/>
        </w:rPr>
      </w:pPr>
      <w:r w:rsidRPr="0032048B">
        <w:rPr>
          <w:sz w:val="24"/>
          <w:szCs w:val="24"/>
          <w:lang w:val="sq-AL"/>
        </w:rPr>
        <w:t>SPAK-u, i cili përbëhet nga Zyra e Prokurorisë Speciale (ZPS) dhe Byroja Kombëtare e Hetimit (BKH), vazhdoi të ishte plotësisht funksional. Këshilli i Lartë i Prokurorisë (KLP) zgjodhi drejtuesin e ri t</w:t>
      </w:r>
      <w:r w:rsidR="005D3CCC" w:rsidRPr="0032048B">
        <w:rPr>
          <w:sz w:val="24"/>
          <w:szCs w:val="24"/>
          <w:lang w:val="sq-AL"/>
        </w:rPr>
        <w:t>ë</w:t>
      </w:r>
      <w:r w:rsidRPr="0032048B">
        <w:rPr>
          <w:sz w:val="24"/>
          <w:szCs w:val="24"/>
          <w:lang w:val="sq-AL"/>
        </w:rPr>
        <w:t xml:space="preserve"> ZPS-s</w:t>
      </w:r>
      <w:r w:rsidR="005D3CCC" w:rsidRPr="0032048B">
        <w:rPr>
          <w:sz w:val="24"/>
          <w:szCs w:val="24"/>
          <w:lang w:val="sq-AL"/>
        </w:rPr>
        <w:t>ë</w:t>
      </w:r>
      <w:r w:rsidRPr="0032048B">
        <w:rPr>
          <w:sz w:val="24"/>
          <w:szCs w:val="24"/>
          <w:lang w:val="sq-AL"/>
        </w:rPr>
        <w:t xml:space="preserve"> në dhjetor 2022 pas një procesi të shëndoshë. Kapaciteti i strukturave t</w:t>
      </w:r>
      <w:r w:rsidR="005D3CCC" w:rsidRPr="0032048B">
        <w:rPr>
          <w:sz w:val="24"/>
          <w:szCs w:val="24"/>
          <w:lang w:val="sq-AL"/>
        </w:rPr>
        <w:t>ë</w:t>
      </w:r>
      <w:r w:rsidRPr="0032048B">
        <w:rPr>
          <w:sz w:val="24"/>
          <w:szCs w:val="24"/>
          <w:lang w:val="sq-AL"/>
        </w:rPr>
        <w:t xml:space="preserve"> pun</w:t>
      </w:r>
      <w:r w:rsidR="005D3CCC" w:rsidRPr="0032048B">
        <w:rPr>
          <w:sz w:val="24"/>
          <w:szCs w:val="24"/>
          <w:lang w:val="sq-AL"/>
        </w:rPr>
        <w:t>ë</w:t>
      </w:r>
      <w:r w:rsidRPr="0032048B">
        <w:rPr>
          <w:sz w:val="24"/>
          <w:szCs w:val="24"/>
          <w:lang w:val="sq-AL"/>
        </w:rPr>
        <w:t>simit (p</w:t>
      </w:r>
      <w:r w:rsidR="005D3CCC" w:rsidRPr="0032048B">
        <w:rPr>
          <w:sz w:val="24"/>
          <w:szCs w:val="24"/>
          <w:lang w:val="sq-AL"/>
        </w:rPr>
        <w:t>ë</w:t>
      </w:r>
      <w:r w:rsidRPr="0032048B">
        <w:rPr>
          <w:sz w:val="24"/>
          <w:szCs w:val="24"/>
          <w:lang w:val="sq-AL"/>
        </w:rPr>
        <w:t>r ZPS-n</w:t>
      </w:r>
      <w:r w:rsidR="005D3CCC" w:rsidRPr="0032048B">
        <w:rPr>
          <w:sz w:val="24"/>
          <w:szCs w:val="24"/>
          <w:lang w:val="sq-AL"/>
        </w:rPr>
        <w:t>ë</w:t>
      </w:r>
      <w:r w:rsidRPr="0032048B">
        <w:rPr>
          <w:sz w:val="24"/>
          <w:szCs w:val="24"/>
          <w:lang w:val="sq-AL"/>
        </w:rPr>
        <w:t>, BKH-n</w:t>
      </w:r>
      <w:r w:rsidR="005D3CCC" w:rsidRPr="0032048B">
        <w:rPr>
          <w:sz w:val="24"/>
          <w:szCs w:val="24"/>
          <w:lang w:val="sq-AL"/>
        </w:rPr>
        <w:t>ë</w:t>
      </w:r>
      <w:r w:rsidRPr="0032048B">
        <w:rPr>
          <w:sz w:val="24"/>
          <w:szCs w:val="24"/>
          <w:lang w:val="sq-AL"/>
        </w:rPr>
        <w:t xml:space="preserve"> dhe gjykatat kund</w:t>
      </w:r>
      <w:r w:rsidR="005D3CCC" w:rsidRPr="0032048B">
        <w:rPr>
          <w:sz w:val="24"/>
          <w:szCs w:val="24"/>
          <w:lang w:val="sq-AL"/>
        </w:rPr>
        <w:t>ë</w:t>
      </w:r>
      <w:r w:rsidRPr="0032048B">
        <w:rPr>
          <w:sz w:val="24"/>
          <w:szCs w:val="24"/>
          <w:lang w:val="sq-AL"/>
        </w:rPr>
        <w:t xml:space="preserve">r korrupsionit të nivelit të lartë dhe krimit të organizuar) duhet të forcohet më tej për të siguruar </w:t>
      </w:r>
      <w:proofErr w:type="spellStart"/>
      <w:r w:rsidRPr="0032048B">
        <w:rPr>
          <w:sz w:val="24"/>
          <w:szCs w:val="24"/>
          <w:lang w:val="sq-AL"/>
        </w:rPr>
        <w:t>eficens</w:t>
      </w:r>
      <w:r w:rsidR="005D3CCC" w:rsidRPr="0032048B">
        <w:rPr>
          <w:sz w:val="24"/>
          <w:szCs w:val="24"/>
          <w:lang w:val="sq-AL"/>
        </w:rPr>
        <w:t>ë</w:t>
      </w:r>
      <w:r w:rsidRPr="0032048B">
        <w:rPr>
          <w:sz w:val="24"/>
          <w:szCs w:val="24"/>
          <w:lang w:val="sq-AL"/>
        </w:rPr>
        <w:t>n</w:t>
      </w:r>
      <w:proofErr w:type="spellEnd"/>
      <w:r w:rsidRPr="0032048B">
        <w:rPr>
          <w:sz w:val="24"/>
          <w:szCs w:val="24"/>
          <w:lang w:val="sq-AL"/>
        </w:rPr>
        <w:t xml:space="preserve"> dhe p</w:t>
      </w:r>
      <w:r w:rsidR="005D3CCC" w:rsidRPr="0032048B">
        <w:rPr>
          <w:sz w:val="24"/>
          <w:szCs w:val="24"/>
          <w:lang w:val="sq-AL"/>
        </w:rPr>
        <w:t>ë</w:t>
      </w:r>
      <w:r w:rsidRPr="0032048B">
        <w:rPr>
          <w:sz w:val="24"/>
          <w:szCs w:val="24"/>
          <w:lang w:val="sq-AL"/>
        </w:rPr>
        <w:t>rballimin e ngarkesës së punës. ZPS-ja ka plot</w:t>
      </w:r>
      <w:r w:rsidR="005D3CCC" w:rsidRPr="0032048B">
        <w:rPr>
          <w:sz w:val="24"/>
          <w:szCs w:val="24"/>
          <w:lang w:val="sq-AL"/>
        </w:rPr>
        <w:t>ë</w:t>
      </w:r>
      <w:r w:rsidRPr="0032048B">
        <w:rPr>
          <w:sz w:val="24"/>
          <w:szCs w:val="24"/>
          <w:lang w:val="sq-AL"/>
        </w:rPr>
        <w:t>suar 17 nga 20 postet e prokuror</w:t>
      </w:r>
      <w:r w:rsidR="005D3CCC" w:rsidRPr="0032048B">
        <w:rPr>
          <w:sz w:val="24"/>
          <w:szCs w:val="24"/>
          <w:lang w:val="sq-AL"/>
        </w:rPr>
        <w:t>ë</w:t>
      </w:r>
      <w:r w:rsidRPr="0032048B">
        <w:rPr>
          <w:sz w:val="24"/>
          <w:szCs w:val="24"/>
          <w:lang w:val="sq-AL"/>
        </w:rPr>
        <w:t>ve. Nga Prokuroria e P</w:t>
      </w:r>
      <w:r w:rsidR="005D3CCC" w:rsidRPr="0032048B">
        <w:rPr>
          <w:sz w:val="24"/>
          <w:szCs w:val="24"/>
          <w:lang w:val="sq-AL"/>
        </w:rPr>
        <w:t>ë</w:t>
      </w:r>
      <w:r w:rsidRPr="0032048B">
        <w:rPr>
          <w:sz w:val="24"/>
          <w:szCs w:val="24"/>
          <w:lang w:val="sq-AL"/>
        </w:rPr>
        <w:t>rgjithshme, në Mars 2023, u transferua përkohësisht nj</w:t>
      </w:r>
      <w:r w:rsidR="005D3CCC" w:rsidRPr="0032048B">
        <w:rPr>
          <w:sz w:val="24"/>
          <w:szCs w:val="24"/>
          <w:lang w:val="sq-AL"/>
        </w:rPr>
        <w:t>ë</w:t>
      </w:r>
      <w:r w:rsidRPr="0032048B">
        <w:rPr>
          <w:sz w:val="24"/>
          <w:szCs w:val="24"/>
          <w:lang w:val="sq-AL"/>
        </w:rPr>
        <w:t xml:space="preserve"> prokuror në ZPS p</w:t>
      </w:r>
      <w:r w:rsidR="005D3CCC" w:rsidRPr="0032048B">
        <w:rPr>
          <w:sz w:val="24"/>
          <w:szCs w:val="24"/>
          <w:lang w:val="sq-AL"/>
        </w:rPr>
        <w:t>ë</w:t>
      </w:r>
      <w:r w:rsidRPr="0032048B">
        <w:rPr>
          <w:sz w:val="24"/>
          <w:szCs w:val="24"/>
          <w:lang w:val="sq-AL"/>
        </w:rPr>
        <w:t>r nj</w:t>
      </w:r>
      <w:r w:rsidR="005D3CCC" w:rsidRPr="0032048B">
        <w:rPr>
          <w:sz w:val="24"/>
          <w:szCs w:val="24"/>
          <w:lang w:val="sq-AL"/>
        </w:rPr>
        <w:t>ë</w:t>
      </w:r>
      <w:r w:rsidRPr="0032048B">
        <w:rPr>
          <w:sz w:val="24"/>
          <w:szCs w:val="24"/>
          <w:lang w:val="sq-AL"/>
        </w:rPr>
        <w:t xml:space="preserve"> vit. ZPS-ja ka plot</w:t>
      </w:r>
      <w:r w:rsidR="005D3CCC" w:rsidRPr="0032048B">
        <w:rPr>
          <w:sz w:val="24"/>
          <w:szCs w:val="24"/>
          <w:lang w:val="sq-AL"/>
        </w:rPr>
        <w:t>ë</w:t>
      </w:r>
      <w:r w:rsidRPr="0032048B">
        <w:rPr>
          <w:sz w:val="24"/>
          <w:szCs w:val="24"/>
          <w:lang w:val="sq-AL"/>
        </w:rPr>
        <w:t>suar 12 nga 16 postet e hetuesve financiar</w:t>
      </w:r>
      <w:r w:rsidR="005D3CCC" w:rsidRPr="0032048B">
        <w:rPr>
          <w:sz w:val="24"/>
          <w:szCs w:val="24"/>
          <w:lang w:val="sq-AL"/>
        </w:rPr>
        <w:t>ë</w:t>
      </w:r>
      <w:r w:rsidRPr="0032048B">
        <w:rPr>
          <w:sz w:val="24"/>
          <w:szCs w:val="24"/>
          <w:lang w:val="sq-AL"/>
        </w:rPr>
        <w:t>. Pas një raundi të dytë pun</w:t>
      </w:r>
      <w:r w:rsidR="005D3CCC" w:rsidRPr="0032048B">
        <w:rPr>
          <w:sz w:val="24"/>
          <w:szCs w:val="24"/>
          <w:lang w:val="sq-AL"/>
        </w:rPr>
        <w:t>ë</w:t>
      </w:r>
      <w:r w:rsidRPr="0032048B">
        <w:rPr>
          <w:sz w:val="24"/>
          <w:szCs w:val="24"/>
          <w:lang w:val="sq-AL"/>
        </w:rPr>
        <w:t>simi në qershor 2022, BKH-ja ka 60 hetues. Siç parashikohet me ligj, një komision ndërkombëtar i përbërë nga dy ekspertë të drejtësisë penale të emëruar nga BE-ja dhe dy nga qeveria amerikane, vazhdoi të monitorojë funksionimin e BKH-s</w:t>
      </w:r>
      <w:r w:rsidR="005D3CCC" w:rsidRPr="0032048B">
        <w:rPr>
          <w:sz w:val="24"/>
          <w:szCs w:val="24"/>
          <w:lang w:val="sq-AL"/>
        </w:rPr>
        <w:t>ë</w:t>
      </w:r>
      <w:r w:rsidRPr="0032048B">
        <w:rPr>
          <w:sz w:val="24"/>
          <w:szCs w:val="24"/>
          <w:lang w:val="sq-AL"/>
        </w:rPr>
        <w:t xml:space="preserve">. </w:t>
      </w:r>
      <w:r w:rsidRPr="0032048B">
        <w:rPr>
          <w:i/>
          <w:iCs/>
          <w:sz w:val="24"/>
          <w:szCs w:val="24"/>
          <w:lang w:val="sq-AL"/>
        </w:rPr>
        <w:t>Shihni gjithashtu</w:t>
      </w:r>
      <w:r w:rsidR="004D53EC">
        <w:rPr>
          <w:i/>
          <w:iCs/>
          <w:sz w:val="24"/>
          <w:szCs w:val="24"/>
          <w:lang w:val="sq-AL"/>
        </w:rPr>
        <w:t xml:space="preserve">         </w:t>
      </w:r>
      <w:r w:rsidRPr="00EE6ACE">
        <w:rPr>
          <w:i/>
          <w:iCs/>
          <w:sz w:val="24"/>
          <w:szCs w:val="24"/>
          <w:lang w:val="sq-AL"/>
        </w:rPr>
        <w:t>Kapitullin 24 - Drejtësia, Liria dhe Siguria</w:t>
      </w:r>
      <w:r w:rsidR="00EE6ACE" w:rsidRPr="00EE6ACE">
        <w:rPr>
          <w:i/>
          <w:iCs/>
          <w:sz w:val="24"/>
          <w:szCs w:val="24"/>
          <w:lang w:val="sq-AL"/>
        </w:rPr>
        <w:t>.</w:t>
      </w:r>
    </w:p>
    <w:p w14:paraId="06CE0180" w14:textId="16559616"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Pavar</w:t>
      </w:r>
      <w:r w:rsidR="005D3CCC" w:rsidRPr="0032048B">
        <w:rPr>
          <w:sz w:val="24"/>
          <w:szCs w:val="24"/>
          <w:lang w:val="sq-AL"/>
        </w:rPr>
        <w:t>ë</w:t>
      </w:r>
      <w:r w:rsidR="00B31C99" w:rsidRPr="0032048B">
        <w:rPr>
          <w:sz w:val="24"/>
          <w:szCs w:val="24"/>
          <w:lang w:val="sq-AL"/>
        </w:rPr>
        <w:t>sisht</w:t>
      </w:r>
      <w:r w:rsidRPr="0032048B">
        <w:rPr>
          <w:sz w:val="24"/>
          <w:szCs w:val="24"/>
          <w:lang w:val="sq-AL"/>
        </w:rPr>
        <w:t xml:space="preserve"> progresi</w:t>
      </w:r>
      <w:r w:rsidR="00B31C99" w:rsidRPr="0032048B">
        <w:rPr>
          <w:sz w:val="24"/>
          <w:szCs w:val="24"/>
          <w:lang w:val="sq-AL"/>
        </w:rPr>
        <w:t>t</w:t>
      </w:r>
      <w:r w:rsidRPr="0032048B">
        <w:rPr>
          <w:sz w:val="24"/>
          <w:szCs w:val="24"/>
          <w:lang w:val="sq-AL"/>
        </w:rPr>
        <w:t>, vendet e lira të gjykatësve në gjykatat e posaçme kund</w:t>
      </w:r>
      <w:r w:rsidR="005D3CCC" w:rsidRPr="0032048B">
        <w:rPr>
          <w:sz w:val="24"/>
          <w:szCs w:val="24"/>
          <w:lang w:val="sq-AL"/>
        </w:rPr>
        <w:t>ë</w:t>
      </w:r>
      <w:r w:rsidRPr="0032048B">
        <w:rPr>
          <w:sz w:val="24"/>
          <w:szCs w:val="24"/>
          <w:lang w:val="sq-AL"/>
        </w:rPr>
        <w:t>r korrupsionit dhe krimit t</w:t>
      </w:r>
      <w:r w:rsidR="005D3CCC" w:rsidRPr="0032048B">
        <w:rPr>
          <w:sz w:val="24"/>
          <w:szCs w:val="24"/>
          <w:lang w:val="sq-AL"/>
        </w:rPr>
        <w:t>ë</w:t>
      </w:r>
      <w:r w:rsidRPr="0032048B">
        <w:rPr>
          <w:sz w:val="24"/>
          <w:szCs w:val="24"/>
          <w:lang w:val="sq-AL"/>
        </w:rPr>
        <w:t xml:space="preserve"> organizuar presin t</w:t>
      </w:r>
      <w:r w:rsidR="005D3CCC" w:rsidRPr="0032048B">
        <w:rPr>
          <w:sz w:val="24"/>
          <w:szCs w:val="24"/>
          <w:lang w:val="sq-AL"/>
        </w:rPr>
        <w:t>ë</w:t>
      </w:r>
      <w:r w:rsidRPr="0032048B">
        <w:rPr>
          <w:sz w:val="24"/>
          <w:szCs w:val="24"/>
          <w:lang w:val="sq-AL"/>
        </w:rPr>
        <w:t xml:space="preserve"> plot</w:t>
      </w:r>
      <w:r w:rsidR="005D3CCC" w:rsidRPr="0032048B">
        <w:rPr>
          <w:sz w:val="24"/>
          <w:szCs w:val="24"/>
          <w:lang w:val="sq-AL"/>
        </w:rPr>
        <w:t>ë</w:t>
      </w:r>
      <w:r w:rsidRPr="0032048B">
        <w:rPr>
          <w:sz w:val="24"/>
          <w:szCs w:val="24"/>
          <w:lang w:val="sq-AL"/>
        </w:rPr>
        <w:t xml:space="preserve">sohen. Në Gjykatën e </w:t>
      </w:r>
      <w:r w:rsidR="00A10A50" w:rsidRPr="0032048B">
        <w:rPr>
          <w:sz w:val="24"/>
          <w:szCs w:val="24"/>
          <w:lang w:val="sq-AL"/>
        </w:rPr>
        <w:t>Posaçme</w:t>
      </w:r>
      <w:r w:rsidRPr="0032048B">
        <w:rPr>
          <w:sz w:val="24"/>
          <w:szCs w:val="24"/>
          <w:lang w:val="sq-AL"/>
        </w:rPr>
        <w:t xml:space="preserve"> t</w:t>
      </w:r>
      <w:r w:rsidR="005D3CCC" w:rsidRPr="0032048B">
        <w:rPr>
          <w:sz w:val="24"/>
          <w:szCs w:val="24"/>
          <w:lang w:val="sq-AL"/>
        </w:rPr>
        <w:t>ë</w:t>
      </w:r>
      <w:r w:rsidRPr="0032048B">
        <w:rPr>
          <w:sz w:val="24"/>
          <w:szCs w:val="24"/>
          <w:lang w:val="sq-AL"/>
        </w:rPr>
        <w:t xml:space="preserve"> Apelit, janë emëruar 10 nga 11 gjyqtarët. Gjykata e </w:t>
      </w:r>
      <w:r w:rsidR="00A10A50" w:rsidRPr="0032048B">
        <w:rPr>
          <w:sz w:val="24"/>
          <w:szCs w:val="24"/>
          <w:lang w:val="sq-AL"/>
        </w:rPr>
        <w:t>Posaçme</w:t>
      </w:r>
      <w:r w:rsidRPr="0032048B">
        <w:rPr>
          <w:sz w:val="24"/>
          <w:szCs w:val="24"/>
          <w:lang w:val="sq-AL"/>
        </w:rPr>
        <w:t xml:space="preserve"> e shkallës së parë kishte nëntë gjyqtarë nga 16, nga të cil</w:t>
      </w:r>
      <w:r w:rsidR="005D3CCC" w:rsidRPr="0032048B">
        <w:rPr>
          <w:sz w:val="24"/>
          <w:szCs w:val="24"/>
          <w:lang w:val="sq-AL"/>
        </w:rPr>
        <w:t>ë</w:t>
      </w:r>
      <w:r w:rsidRPr="0032048B">
        <w:rPr>
          <w:sz w:val="24"/>
          <w:szCs w:val="24"/>
          <w:lang w:val="sq-AL"/>
        </w:rPr>
        <w:t>t tre të deleguar dhe jo të emëruara zyrtarisht</w:t>
      </w:r>
      <w:r w:rsidRPr="0032048B">
        <w:rPr>
          <w:spacing w:val="-2"/>
          <w:sz w:val="24"/>
          <w:szCs w:val="24"/>
          <w:lang w:val="sq-AL"/>
        </w:rPr>
        <w:t>.</w:t>
      </w:r>
    </w:p>
    <w:p w14:paraId="281C4276" w14:textId="77777777" w:rsidR="00380775" w:rsidRPr="0032048B" w:rsidRDefault="00380775" w:rsidP="00361D5A">
      <w:pPr>
        <w:tabs>
          <w:tab w:val="left" w:pos="1134"/>
        </w:tabs>
        <w:spacing w:before="120"/>
        <w:ind w:left="993" w:right="1067"/>
        <w:jc w:val="both"/>
        <w:rPr>
          <w:sz w:val="24"/>
          <w:szCs w:val="24"/>
          <w:lang w:val="sq-AL"/>
        </w:rPr>
      </w:pPr>
      <w:r w:rsidRPr="0032048B">
        <w:rPr>
          <w:sz w:val="24"/>
          <w:szCs w:val="24"/>
          <w:u w:val="single"/>
          <w:lang w:val="sq-AL"/>
        </w:rPr>
        <w:t>Organet drejtuese</w:t>
      </w:r>
    </w:p>
    <w:p w14:paraId="5F2E787A" w14:textId="6CE584BA"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Institucionet e vetëqeverisjes s</w:t>
      </w:r>
      <w:r w:rsidR="005D3CCC" w:rsidRPr="0032048B">
        <w:rPr>
          <w:sz w:val="24"/>
          <w:szCs w:val="24"/>
          <w:lang w:val="sq-AL"/>
        </w:rPr>
        <w:t>ë</w:t>
      </w:r>
      <w:r w:rsidRPr="0032048B">
        <w:rPr>
          <w:sz w:val="24"/>
          <w:szCs w:val="24"/>
          <w:lang w:val="sq-AL"/>
        </w:rPr>
        <w:t xml:space="preserve"> gjyqësorit kanë vazhduar të ushtrojnë plotësisht funksionet e tyre. Të gjitha vendet e lira të punës për anëtarët jo-magjistratë të Këshillit të Lartë të Prokurorisë (KLP) tani janë plot</w:t>
      </w:r>
      <w:r w:rsidR="005D3CCC" w:rsidRPr="0032048B">
        <w:rPr>
          <w:sz w:val="24"/>
          <w:szCs w:val="24"/>
          <w:lang w:val="sq-AL"/>
        </w:rPr>
        <w:t>ë</w:t>
      </w:r>
      <w:r w:rsidRPr="0032048B">
        <w:rPr>
          <w:sz w:val="24"/>
          <w:szCs w:val="24"/>
          <w:lang w:val="sq-AL"/>
        </w:rPr>
        <w:t>suar. Këshilli i Lartë Gjyqësor (KLGJ) dhe KLP-ja do të rinovojnë të paktën gjysmën e anëtarëve të tyre, duke përfshirë magjistratët dhe jo magjistrat</w:t>
      </w:r>
      <w:r w:rsidR="005D3CCC" w:rsidRPr="0032048B">
        <w:rPr>
          <w:sz w:val="24"/>
          <w:szCs w:val="24"/>
          <w:lang w:val="sq-AL"/>
        </w:rPr>
        <w:t>ë</w:t>
      </w:r>
      <w:r w:rsidRPr="0032048B">
        <w:rPr>
          <w:sz w:val="24"/>
          <w:szCs w:val="24"/>
          <w:lang w:val="sq-AL"/>
        </w:rPr>
        <w:t>t, deri në dhjetor 2023. Ky rinovim do të p</w:t>
      </w:r>
      <w:r w:rsidR="005D3CCC" w:rsidRPr="0032048B">
        <w:rPr>
          <w:sz w:val="24"/>
          <w:szCs w:val="24"/>
          <w:lang w:val="sq-AL"/>
        </w:rPr>
        <w:t>ë</w:t>
      </w:r>
      <w:r w:rsidRPr="0032048B">
        <w:rPr>
          <w:sz w:val="24"/>
          <w:szCs w:val="24"/>
          <w:lang w:val="sq-AL"/>
        </w:rPr>
        <w:t>rzgjedh</w:t>
      </w:r>
      <w:r w:rsidR="005D3CCC" w:rsidRPr="0032048B">
        <w:rPr>
          <w:sz w:val="24"/>
          <w:szCs w:val="24"/>
          <w:lang w:val="sq-AL"/>
        </w:rPr>
        <w:t>ë</w:t>
      </w:r>
      <w:r w:rsidRPr="0032048B">
        <w:rPr>
          <w:sz w:val="24"/>
          <w:szCs w:val="24"/>
          <w:lang w:val="sq-AL"/>
        </w:rPr>
        <w:t xml:space="preserve"> kryetarët e rinj për të dy këshillat. Nevojitet që procesi p</w:t>
      </w:r>
      <w:r w:rsidR="005D3CCC" w:rsidRPr="0032048B">
        <w:rPr>
          <w:sz w:val="24"/>
          <w:szCs w:val="24"/>
          <w:lang w:val="sq-AL"/>
        </w:rPr>
        <w:t>ë</w:t>
      </w:r>
      <w:r w:rsidRPr="0032048B">
        <w:rPr>
          <w:sz w:val="24"/>
          <w:szCs w:val="24"/>
          <w:lang w:val="sq-AL"/>
        </w:rPr>
        <w:t>rzgjedh</w:t>
      </w:r>
      <w:r w:rsidR="005D3CCC" w:rsidRPr="0032048B">
        <w:rPr>
          <w:sz w:val="24"/>
          <w:szCs w:val="24"/>
          <w:lang w:val="sq-AL"/>
        </w:rPr>
        <w:t>ë</w:t>
      </w:r>
      <w:r w:rsidRPr="0032048B">
        <w:rPr>
          <w:sz w:val="24"/>
          <w:szCs w:val="24"/>
          <w:lang w:val="sq-AL"/>
        </w:rPr>
        <w:t>s p</w:t>
      </w:r>
      <w:r w:rsidR="005D3CCC" w:rsidRPr="0032048B">
        <w:rPr>
          <w:sz w:val="24"/>
          <w:szCs w:val="24"/>
          <w:lang w:val="sq-AL"/>
        </w:rPr>
        <w:t>ë</w:t>
      </w:r>
      <w:r w:rsidRPr="0032048B">
        <w:rPr>
          <w:sz w:val="24"/>
          <w:szCs w:val="24"/>
          <w:lang w:val="sq-AL"/>
        </w:rPr>
        <w:t>r anëtarët e KLP-s</w:t>
      </w:r>
      <w:r w:rsidR="005D3CCC" w:rsidRPr="0032048B">
        <w:rPr>
          <w:sz w:val="24"/>
          <w:szCs w:val="24"/>
          <w:lang w:val="sq-AL"/>
        </w:rPr>
        <w:t>ë</w:t>
      </w:r>
      <w:r w:rsidR="000C6EFC" w:rsidRPr="0032048B">
        <w:rPr>
          <w:sz w:val="24"/>
          <w:szCs w:val="24"/>
          <w:lang w:val="sq-AL"/>
        </w:rPr>
        <w:t xml:space="preserve"> dhe KLGJJ</w:t>
      </w:r>
      <w:r w:rsidRPr="0032048B">
        <w:rPr>
          <w:sz w:val="24"/>
          <w:szCs w:val="24"/>
          <w:lang w:val="sq-AL"/>
        </w:rPr>
        <w:t>-s</w:t>
      </w:r>
      <w:r w:rsidR="005D3CCC" w:rsidRPr="0032048B">
        <w:rPr>
          <w:sz w:val="24"/>
          <w:szCs w:val="24"/>
          <w:lang w:val="sq-AL"/>
        </w:rPr>
        <w:t>ë</w:t>
      </w:r>
      <w:r w:rsidRPr="0032048B">
        <w:rPr>
          <w:sz w:val="24"/>
          <w:szCs w:val="24"/>
          <w:lang w:val="sq-AL"/>
        </w:rPr>
        <w:t xml:space="preserve"> të garantojë konkurrencë të drejtë dhe efektive si dhe pavarësi, veçanërisht p</w:t>
      </w:r>
      <w:r w:rsidR="005D3CCC" w:rsidRPr="0032048B">
        <w:rPr>
          <w:sz w:val="24"/>
          <w:szCs w:val="24"/>
          <w:lang w:val="sq-AL"/>
        </w:rPr>
        <w:t>ë</w:t>
      </w:r>
      <w:r w:rsidRPr="0032048B">
        <w:rPr>
          <w:sz w:val="24"/>
          <w:szCs w:val="24"/>
          <w:lang w:val="sq-AL"/>
        </w:rPr>
        <w:t>rmes masave q</w:t>
      </w:r>
      <w:r w:rsidR="005D3CCC" w:rsidRPr="0032048B">
        <w:rPr>
          <w:sz w:val="24"/>
          <w:szCs w:val="24"/>
          <w:lang w:val="sq-AL"/>
        </w:rPr>
        <w:t>ë</w:t>
      </w:r>
      <w:r w:rsidRPr="0032048B">
        <w:rPr>
          <w:sz w:val="24"/>
          <w:szCs w:val="24"/>
          <w:lang w:val="sq-AL"/>
        </w:rPr>
        <w:t xml:space="preserve"> sigurojn</w:t>
      </w:r>
      <w:r w:rsidR="005D3CCC" w:rsidRPr="0032048B">
        <w:rPr>
          <w:sz w:val="24"/>
          <w:szCs w:val="24"/>
          <w:lang w:val="sq-AL"/>
        </w:rPr>
        <w:t>ë</w:t>
      </w:r>
      <w:r w:rsidRPr="0032048B">
        <w:rPr>
          <w:sz w:val="24"/>
          <w:szCs w:val="24"/>
          <w:lang w:val="sq-AL"/>
        </w:rPr>
        <w:t xml:space="preserve"> një numër konkurrues të </w:t>
      </w:r>
      <w:proofErr w:type="spellStart"/>
      <w:r w:rsidRPr="0032048B">
        <w:rPr>
          <w:sz w:val="24"/>
          <w:szCs w:val="24"/>
          <w:lang w:val="sq-AL"/>
        </w:rPr>
        <w:t>aplikantëve</w:t>
      </w:r>
      <w:proofErr w:type="spellEnd"/>
      <w:r w:rsidRPr="0032048B">
        <w:rPr>
          <w:sz w:val="24"/>
          <w:szCs w:val="24"/>
          <w:lang w:val="sq-AL"/>
        </w:rPr>
        <w:t xml:space="preserve"> veçanërisht nga radh</w:t>
      </w:r>
      <w:r w:rsidR="005D3CCC" w:rsidRPr="0032048B">
        <w:rPr>
          <w:sz w:val="24"/>
          <w:szCs w:val="24"/>
          <w:lang w:val="sq-AL"/>
        </w:rPr>
        <w:t>ë</w:t>
      </w:r>
      <w:r w:rsidRPr="0032048B">
        <w:rPr>
          <w:sz w:val="24"/>
          <w:szCs w:val="24"/>
          <w:lang w:val="sq-AL"/>
        </w:rPr>
        <w:t>t e jo-magjistrat</w:t>
      </w:r>
      <w:r w:rsidR="005D3CCC" w:rsidRPr="0032048B">
        <w:rPr>
          <w:sz w:val="24"/>
          <w:szCs w:val="24"/>
          <w:lang w:val="sq-AL"/>
        </w:rPr>
        <w:t>ë</w:t>
      </w:r>
      <w:r w:rsidRPr="0032048B">
        <w:rPr>
          <w:sz w:val="24"/>
          <w:szCs w:val="24"/>
          <w:lang w:val="sq-AL"/>
        </w:rPr>
        <w:t xml:space="preserve">ve që emërohen nga trupat </w:t>
      </w:r>
      <w:proofErr w:type="spellStart"/>
      <w:r w:rsidRPr="0032048B">
        <w:rPr>
          <w:sz w:val="24"/>
          <w:szCs w:val="24"/>
          <w:lang w:val="sq-AL"/>
        </w:rPr>
        <w:t>joqjyq</w:t>
      </w:r>
      <w:r w:rsidR="005D3CCC" w:rsidRPr="0032048B">
        <w:rPr>
          <w:sz w:val="24"/>
          <w:szCs w:val="24"/>
          <w:lang w:val="sq-AL"/>
        </w:rPr>
        <w:t>ë</w:t>
      </w:r>
      <w:r w:rsidRPr="0032048B">
        <w:rPr>
          <w:sz w:val="24"/>
          <w:szCs w:val="24"/>
          <w:lang w:val="sq-AL"/>
        </w:rPr>
        <w:t>sore</w:t>
      </w:r>
      <w:proofErr w:type="spellEnd"/>
      <w:r w:rsidRPr="0032048B">
        <w:rPr>
          <w:sz w:val="24"/>
          <w:szCs w:val="24"/>
          <w:lang w:val="sq-AL"/>
        </w:rPr>
        <w:t xml:space="preserve"> si dhe nga kandidaturat e parlamentit.</w:t>
      </w:r>
    </w:p>
    <w:p w14:paraId="14D0CD15" w14:textId="55962E8C"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KLGJ-ja përparoi me emërimet e gjyqtarëve për pozicionet e lira, por duhet të përfundojë promovimin e gjyqtarëve në Gjykatën e Lartë dhe të sigurojë që ajo t</w:t>
      </w:r>
      <w:r w:rsidR="005D3CCC" w:rsidRPr="0032048B">
        <w:rPr>
          <w:sz w:val="24"/>
          <w:szCs w:val="24"/>
          <w:lang w:val="sq-AL"/>
        </w:rPr>
        <w:t>ë</w:t>
      </w:r>
      <w:r w:rsidRPr="0032048B">
        <w:rPr>
          <w:sz w:val="24"/>
          <w:szCs w:val="24"/>
          <w:lang w:val="sq-AL"/>
        </w:rPr>
        <w:t xml:space="preserve"> plot</w:t>
      </w:r>
      <w:r w:rsidR="005D3CCC" w:rsidRPr="0032048B">
        <w:rPr>
          <w:sz w:val="24"/>
          <w:szCs w:val="24"/>
          <w:lang w:val="sq-AL"/>
        </w:rPr>
        <w:t>ë</w:t>
      </w:r>
      <w:r w:rsidRPr="0032048B">
        <w:rPr>
          <w:sz w:val="24"/>
          <w:szCs w:val="24"/>
          <w:lang w:val="sq-AL"/>
        </w:rPr>
        <w:t xml:space="preserve">sohet me të gjithë </w:t>
      </w:r>
      <w:r w:rsidRPr="0032048B">
        <w:rPr>
          <w:sz w:val="24"/>
          <w:szCs w:val="24"/>
          <w:lang w:val="sq-AL"/>
        </w:rPr>
        <w:lastRenderedPageBreak/>
        <w:t>19 gjyqtarët. KLGJ-ja vazhdoi me miratimin e nj</w:t>
      </w:r>
      <w:r w:rsidR="005D3CCC" w:rsidRPr="0032048B">
        <w:rPr>
          <w:sz w:val="24"/>
          <w:szCs w:val="24"/>
          <w:lang w:val="sq-AL"/>
        </w:rPr>
        <w:t>ë</w:t>
      </w:r>
      <w:r w:rsidRPr="0032048B">
        <w:rPr>
          <w:sz w:val="24"/>
          <w:szCs w:val="24"/>
          <w:lang w:val="sq-AL"/>
        </w:rPr>
        <w:t xml:space="preserve"> mase t</w:t>
      </w:r>
      <w:r w:rsidR="005D3CCC" w:rsidRPr="0032048B">
        <w:rPr>
          <w:sz w:val="24"/>
          <w:szCs w:val="24"/>
          <w:lang w:val="sq-AL"/>
        </w:rPr>
        <w:t>ë</w:t>
      </w:r>
      <w:r w:rsidR="004D53EC">
        <w:rPr>
          <w:sz w:val="24"/>
          <w:szCs w:val="24"/>
          <w:lang w:val="sq-AL"/>
        </w:rPr>
        <w:t xml:space="preserve"> </w:t>
      </w:r>
      <w:r w:rsidRPr="0032048B">
        <w:rPr>
          <w:sz w:val="24"/>
          <w:szCs w:val="24"/>
          <w:lang w:val="sq-AL"/>
        </w:rPr>
        <w:t>konsiderueshme të akteve n</w:t>
      </w:r>
      <w:r w:rsidR="005D3CCC" w:rsidRPr="0032048B">
        <w:rPr>
          <w:sz w:val="24"/>
          <w:szCs w:val="24"/>
          <w:lang w:val="sq-AL"/>
        </w:rPr>
        <w:t>ë</w:t>
      </w:r>
      <w:r w:rsidRPr="0032048B">
        <w:rPr>
          <w:sz w:val="24"/>
          <w:szCs w:val="24"/>
          <w:lang w:val="sq-AL"/>
        </w:rPr>
        <w:t>nligjore që rregullojn</w:t>
      </w:r>
      <w:r w:rsidR="005D3CCC" w:rsidRPr="0032048B">
        <w:rPr>
          <w:sz w:val="24"/>
          <w:szCs w:val="24"/>
          <w:lang w:val="sq-AL"/>
        </w:rPr>
        <w:t>ë</w:t>
      </w:r>
      <w:r w:rsidRPr="0032048B">
        <w:rPr>
          <w:sz w:val="24"/>
          <w:szCs w:val="24"/>
          <w:lang w:val="sq-AL"/>
        </w:rPr>
        <w:t xml:space="preserve"> aktivitetet e sistemit gjyqësor dhe t</w:t>
      </w:r>
      <w:r w:rsidR="005D3CCC" w:rsidRPr="0032048B">
        <w:rPr>
          <w:sz w:val="24"/>
          <w:szCs w:val="24"/>
          <w:lang w:val="sq-AL"/>
        </w:rPr>
        <w:t>ë</w:t>
      </w:r>
      <w:r w:rsidRPr="0032048B">
        <w:rPr>
          <w:sz w:val="24"/>
          <w:szCs w:val="24"/>
          <w:lang w:val="sq-AL"/>
        </w:rPr>
        <w:t xml:space="preserve"> gjykatave. Por vler</w:t>
      </w:r>
      <w:r w:rsidR="005D3CCC" w:rsidRPr="0032048B">
        <w:rPr>
          <w:sz w:val="24"/>
          <w:szCs w:val="24"/>
          <w:lang w:val="sq-AL"/>
        </w:rPr>
        <w:t>ë</w:t>
      </w:r>
      <w:r w:rsidRPr="0032048B">
        <w:rPr>
          <w:sz w:val="24"/>
          <w:szCs w:val="24"/>
          <w:lang w:val="sq-AL"/>
        </w:rPr>
        <w:t>simet mbet</w:t>
      </w:r>
      <w:r w:rsidR="005D3CCC" w:rsidRPr="0032048B">
        <w:rPr>
          <w:sz w:val="24"/>
          <w:szCs w:val="24"/>
          <w:lang w:val="sq-AL"/>
        </w:rPr>
        <w:t>ë</w:t>
      </w:r>
      <w:r w:rsidRPr="0032048B">
        <w:rPr>
          <w:sz w:val="24"/>
          <w:szCs w:val="24"/>
          <w:lang w:val="sq-AL"/>
        </w:rPr>
        <w:t>n posht</w:t>
      </w:r>
      <w:r w:rsidR="005D3CCC" w:rsidRPr="0032048B">
        <w:rPr>
          <w:sz w:val="24"/>
          <w:szCs w:val="24"/>
          <w:lang w:val="sq-AL"/>
        </w:rPr>
        <w:t>ë</w:t>
      </w:r>
      <w:r w:rsidRPr="0032048B">
        <w:rPr>
          <w:sz w:val="24"/>
          <w:szCs w:val="24"/>
          <w:lang w:val="sq-AL"/>
        </w:rPr>
        <w:t xml:space="preserve"> objektivave t</w:t>
      </w:r>
      <w:r w:rsidR="005D3CCC" w:rsidRPr="0032048B">
        <w:rPr>
          <w:sz w:val="24"/>
          <w:szCs w:val="24"/>
          <w:lang w:val="sq-AL"/>
        </w:rPr>
        <w:t>ë</w:t>
      </w:r>
      <w:r w:rsidRPr="0032048B">
        <w:rPr>
          <w:sz w:val="24"/>
          <w:szCs w:val="24"/>
          <w:lang w:val="sq-AL"/>
        </w:rPr>
        <w:t xml:space="preserve"> parashikuara. Sidoqoftë, ato mbeten thelbësore për të siguruar funksionimin efektiv të gjyqësorit dhe </w:t>
      </w:r>
      <w:proofErr w:type="spellStart"/>
      <w:r w:rsidRPr="0032048B">
        <w:rPr>
          <w:sz w:val="24"/>
          <w:szCs w:val="24"/>
          <w:lang w:val="sq-AL"/>
        </w:rPr>
        <w:t>eficens</w:t>
      </w:r>
      <w:r w:rsidR="005D3CCC" w:rsidRPr="0032048B">
        <w:rPr>
          <w:sz w:val="24"/>
          <w:szCs w:val="24"/>
          <w:lang w:val="sq-AL"/>
        </w:rPr>
        <w:t>ë</w:t>
      </w:r>
      <w:r w:rsidRPr="0032048B">
        <w:rPr>
          <w:sz w:val="24"/>
          <w:szCs w:val="24"/>
          <w:lang w:val="sq-AL"/>
        </w:rPr>
        <w:t>n</w:t>
      </w:r>
      <w:proofErr w:type="spellEnd"/>
      <w:r w:rsidRPr="0032048B">
        <w:rPr>
          <w:sz w:val="24"/>
          <w:szCs w:val="24"/>
          <w:lang w:val="sq-AL"/>
        </w:rPr>
        <w:t xml:space="preserve"> e sistemit gjyqësor. KLGJ-ja duhet të rrisë ritmin e vlerësimeve dhe KLP-ja duhet të fillojë urgjentisht t</w:t>
      </w:r>
      <w:r w:rsidR="005D3CCC" w:rsidRPr="0032048B">
        <w:rPr>
          <w:sz w:val="24"/>
          <w:szCs w:val="24"/>
          <w:lang w:val="sq-AL"/>
        </w:rPr>
        <w:t>ë</w:t>
      </w:r>
      <w:r w:rsidRPr="0032048B">
        <w:rPr>
          <w:sz w:val="24"/>
          <w:szCs w:val="24"/>
          <w:lang w:val="sq-AL"/>
        </w:rPr>
        <w:t xml:space="preserve"> kryej</w:t>
      </w:r>
      <w:r w:rsidR="005D3CCC" w:rsidRPr="0032048B">
        <w:rPr>
          <w:sz w:val="24"/>
          <w:szCs w:val="24"/>
          <w:lang w:val="sq-AL"/>
        </w:rPr>
        <w:t>ë</w:t>
      </w:r>
      <w:r w:rsidRPr="0032048B">
        <w:rPr>
          <w:sz w:val="24"/>
          <w:szCs w:val="24"/>
          <w:lang w:val="sq-AL"/>
        </w:rPr>
        <w:t xml:space="preserve"> ato. KLGJ-ja dhe KLP-ja duhet të vendosin rregulla të qarta </w:t>
      </w:r>
      <w:proofErr w:type="spellStart"/>
      <w:r w:rsidRPr="0032048B">
        <w:rPr>
          <w:sz w:val="24"/>
          <w:szCs w:val="24"/>
          <w:lang w:val="sq-AL"/>
        </w:rPr>
        <w:t>proceduriale</w:t>
      </w:r>
      <w:proofErr w:type="spellEnd"/>
      <w:r w:rsidRPr="0032048B">
        <w:rPr>
          <w:sz w:val="24"/>
          <w:szCs w:val="24"/>
          <w:lang w:val="sq-AL"/>
        </w:rPr>
        <w:t xml:space="preserve"> për vlerësimin, promovimin dhe transferimin e gjyqtarëve dhe prokurorëve. KLP-ja duhet të fillojë urgjentisht të kryejë vlerësimet e prokurorëve, në përputhje me planin e saj vjetor, dhe të miratojë aktet e nevojshme n</w:t>
      </w:r>
      <w:r w:rsidR="005D3CCC" w:rsidRPr="0032048B">
        <w:rPr>
          <w:sz w:val="24"/>
          <w:szCs w:val="24"/>
          <w:lang w:val="sq-AL"/>
        </w:rPr>
        <w:t>ë</w:t>
      </w:r>
      <w:r w:rsidRPr="0032048B">
        <w:rPr>
          <w:sz w:val="24"/>
          <w:szCs w:val="24"/>
          <w:lang w:val="sq-AL"/>
        </w:rPr>
        <w:t xml:space="preserve">nligjore për ta bërë këtë. Deri më tani, asnjë vlerësim nuk është përfunduar nga KLP-ja, </w:t>
      </w:r>
      <w:r w:rsidR="00EE6ACE" w:rsidRPr="0032048B">
        <w:rPr>
          <w:sz w:val="24"/>
          <w:szCs w:val="24"/>
          <w:lang w:val="sq-AL"/>
        </w:rPr>
        <w:t>çka</w:t>
      </w:r>
      <w:r w:rsidRPr="0032048B">
        <w:rPr>
          <w:sz w:val="24"/>
          <w:szCs w:val="24"/>
          <w:lang w:val="sq-AL"/>
        </w:rPr>
        <w:t xml:space="preserve"> p</w:t>
      </w:r>
      <w:r w:rsidR="005D3CCC" w:rsidRPr="0032048B">
        <w:rPr>
          <w:sz w:val="24"/>
          <w:szCs w:val="24"/>
          <w:lang w:val="sq-AL"/>
        </w:rPr>
        <w:t>ë</w:t>
      </w:r>
      <w:r w:rsidRPr="0032048B">
        <w:rPr>
          <w:sz w:val="24"/>
          <w:szCs w:val="24"/>
          <w:lang w:val="sq-AL"/>
        </w:rPr>
        <w:t>rb</w:t>
      </w:r>
      <w:r w:rsidR="005D3CCC" w:rsidRPr="0032048B">
        <w:rPr>
          <w:sz w:val="24"/>
          <w:szCs w:val="24"/>
          <w:lang w:val="sq-AL"/>
        </w:rPr>
        <w:t>ë</w:t>
      </w:r>
      <w:r w:rsidRPr="0032048B">
        <w:rPr>
          <w:sz w:val="24"/>
          <w:szCs w:val="24"/>
          <w:lang w:val="sq-AL"/>
        </w:rPr>
        <w:t>n nj</w:t>
      </w:r>
      <w:r w:rsidR="005D3CCC" w:rsidRPr="0032048B">
        <w:rPr>
          <w:sz w:val="24"/>
          <w:szCs w:val="24"/>
          <w:lang w:val="sq-AL"/>
        </w:rPr>
        <w:t>ë</w:t>
      </w:r>
      <w:r w:rsidRPr="0032048B">
        <w:rPr>
          <w:sz w:val="24"/>
          <w:szCs w:val="24"/>
          <w:lang w:val="sq-AL"/>
        </w:rPr>
        <w:t xml:space="preserve"> çështje shqetësuese. KLP-ja dhe Prokuroria e P</w:t>
      </w:r>
      <w:r w:rsidR="005D3CCC" w:rsidRPr="0032048B">
        <w:rPr>
          <w:sz w:val="24"/>
          <w:szCs w:val="24"/>
          <w:lang w:val="sq-AL"/>
        </w:rPr>
        <w:t>ë</w:t>
      </w:r>
      <w:r w:rsidRPr="0032048B">
        <w:rPr>
          <w:sz w:val="24"/>
          <w:szCs w:val="24"/>
          <w:lang w:val="sq-AL"/>
        </w:rPr>
        <w:t>rgjithshme (PP) duhet të përmirësojnë më tej bashkëpunimin për të siguruar një menaxhim efektiv të shërbimeve të prokuroris</w:t>
      </w:r>
      <w:r w:rsidR="005D3CCC" w:rsidRPr="0032048B">
        <w:rPr>
          <w:sz w:val="24"/>
          <w:szCs w:val="24"/>
          <w:lang w:val="sq-AL"/>
        </w:rPr>
        <w:t>ë</w:t>
      </w:r>
      <w:r w:rsidRPr="0032048B">
        <w:rPr>
          <w:sz w:val="24"/>
          <w:szCs w:val="24"/>
          <w:lang w:val="sq-AL"/>
        </w:rPr>
        <w:t xml:space="preserve"> n</w:t>
      </w:r>
      <w:r w:rsidR="005D3CCC" w:rsidRPr="0032048B">
        <w:rPr>
          <w:sz w:val="24"/>
          <w:szCs w:val="24"/>
          <w:lang w:val="sq-AL"/>
        </w:rPr>
        <w:t>ë</w:t>
      </w:r>
      <w:r w:rsidRPr="0032048B">
        <w:rPr>
          <w:sz w:val="24"/>
          <w:szCs w:val="24"/>
          <w:lang w:val="sq-AL"/>
        </w:rPr>
        <w:t xml:space="preserve"> rrethe si dhe në raportimin p</w:t>
      </w:r>
      <w:r w:rsidR="005D3CCC" w:rsidRPr="0032048B">
        <w:rPr>
          <w:sz w:val="24"/>
          <w:szCs w:val="24"/>
          <w:lang w:val="sq-AL"/>
        </w:rPr>
        <w:t>ë</w:t>
      </w:r>
      <w:r w:rsidRPr="0032048B">
        <w:rPr>
          <w:sz w:val="24"/>
          <w:szCs w:val="24"/>
          <w:lang w:val="sq-AL"/>
        </w:rPr>
        <w:t>r m</w:t>
      </w:r>
      <w:r w:rsidR="005D3CCC" w:rsidRPr="0032048B">
        <w:rPr>
          <w:sz w:val="24"/>
          <w:szCs w:val="24"/>
          <w:lang w:val="sq-AL"/>
        </w:rPr>
        <w:t>ë</w:t>
      </w:r>
      <w:r w:rsidRPr="0032048B">
        <w:rPr>
          <w:sz w:val="24"/>
          <w:szCs w:val="24"/>
          <w:lang w:val="sq-AL"/>
        </w:rPr>
        <w:t>nyr</w:t>
      </w:r>
      <w:r w:rsidR="005D3CCC" w:rsidRPr="0032048B">
        <w:rPr>
          <w:sz w:val="24"/>
          <w:szCs w:val="24"/>
          <w:lang w:val="sq-AL"/>
        </w:rPr>
        <w:t>ë</w:t>
      </w:r>
      <w:r w:rsidRPr="0032048B">
        <w:rPr>
          <w:sz w:val="24"/>
          <w:szCs w:val="24"/>
          <w:lang w:val="sq-AL"/>
        </w:rPr>
        <w:t>n e funksionimit t</w:t>
      </w:r>
      <w:r w:rsidR="005D3CCC" w:rsidRPr="0032048B">
        <w:rPr>
          <w:sz w:val="24"/>
          <w:szCs w:val="24"/>
          <w:lang w:val="sq-AL"/>
        </w:rPr>
        <w:t>ë</w:t>
      </w:r>
      <w:r w:rsidRPr="0032048B">
        <w:rPr>
          <w:sz w:val="24"/>
          <w:szCs w:val="24"/>
          <w:lang w:val="sq-AL"/>
        </w:rPr>
        <w:t xml:space="preserve"> sistemit. Buxhetet dhe burimet njerëzore të KLGJ-s</w:t>
      </w:r>
      <w:r w:rsidR="005D3CCC" w:rsidRPr="0032048B">
        <w:rPr>
          <w:sz w:val="24"/>
          <w:szCs w:val="24"/>
          <w:lang w:val="sq-AL"/>
        </w:rPr>
        <w:t>ë</w:t>
      </w:r>
      <w:r w:rsidRPr="0032048B">
        <w:rPr>
          <w:sz w:val="24"/>
          <w:szCs w:val="24"/>
          <w:lang w:val="sq-AL"/>
        </w:rPr>
        <w:t xml:space="preserve"> dhe KLP-s</w:t>
      </w:r>
      <w:r w:rsidR="005D3CCC" w:rsidRPr="0032048B">
        <w:rPr>
          <w:sz w:val="24"/>
          <w:szCs w:val="24"/>
          <w:lang w:val="sq-AL"/>
        </w:rPr>
        <w:t>ë</w:t>
      </w:r>
      <w:r w:rsidRPr="0032048B">
        <w:rPr>
          <w:sz w:val="24"/>
          <w:szCs w:val="24"/>
          <w:lang w:val="sq-AL"/>
        </w:rPr>
        <w:t xml:space="preserve"> janë rritur gradualisht. Ka ankesa të përsëritura nga media dhe shoqëria civile për transparencën dhe komunikimin. </w:t>
      </w:r>
      <w:r w:rsidR="005D3CCC" w:rsidRPr="0032048B">
        <w:rPr>
          <w:sz w:val="24"/>
          <w:szCs w:val="24"/>
          <w:lang w:val="sq-AL"/>
        </w:rPr>
        <w:t>Ë</w:t>
      </w:r>
      <w:r w:rsidRPr="0032048B">
        <w:rPr>
          <w:sz w:val="24"/>
          <w:szCs w:val="24"/>
          <w:lang w:val="sq-AL"/>
        </w:rPr>
        <w:t>sht</w:t>
      </w:r>
      <w:r w:rsidR="005D3CCC" w:rsidRPr="0032048B">
        <w:rPr>
          <w:sz w:val="24"/>
          <w:szCs w:val="24"/>
          <w:lang w:val="sq-AL"/>
        </w:rPr>
        <w:t>ë</w:t>
      </w:r>
      <w:r w:rsidRPr="0032048B">
        <w:rPr>
          <w:sz w:val="24"/>
          <w:szCs w:val="24"/>
          <w:lang w:val="sq-AL"/>
        </w:rPr>
        <w:t xml:space="preserve"> e nevojshme të përmirësohet kuadri rregullator dhe praktika e krijuar n</w:t>
      </w:r>
      <w:r w:rsidR="005D3CCC" w:rsidRPr="0032048B">
        <w:rPr>
          <w:sz w:val="24"/>
          <w:szCs w:val="24"/>
          <w:lang w:val="sq-AL"/>
        </w:rPr>
        <w:t>ë</w:t>
      </w:r>
      <w:r w:rsidR="004D53EC">
        <w:rPr>
          <w:sz w:val="24"/>
          <w:szCs w:val="24"/>
          <w:lang w:val="sq-AL"/>
        </w:rPr>
        <w:t xml:space="preserve"> </w:t>
      </w:r>
      <w:r w:rsidRPr="0032048B">
        <w:rPr>
          <w:sz w:val="24"/>
          <w:szCs w:val="24"/>
          <w:lang w:val="sq-AL"/>
        </w:rPr>
        <w:t>komunikimet p</w:t>
      </w:r>
      <w:r w:rsidR="005D3CCC" w:rsidRPr="0032048B">
        <w:rPr>
          <w:sz w:val="24"/>
          <w:szCs w:val="24"/>
          <w:lang w:val="sq-AL"/>
        </w:rPr>
        <w:t>ë</w:t>
      </w:r>
      <w:r w:rsidRPr="0032048B">
        <w:rPr>
          <w:sz w:val="24"/>
          <w:szCs w:val="24"/>
          <w:lang w:val="sq-AL"/>
        </w:rPr>
        <w:t>r mediat dhe t</w:t>
      </w:r>
      <w:r w:rsidR="005D3CCC" w:rsidRPr="0032048B">
        <w:rPr>
          <w:sz w:val="24"/>
          <w:szCs w:val="24"/>
          <w:lang w:val="sq-AL"/>
        </w:rPr>
        <w:t>ë</w:t>
      </w:r>
      <w:r w:rsidRPr="0032048B">
        <w:rPr>
          <w:sz w:val="24"/>
          <w:szCs w:val="24"/>
          <w:lang w:val="sq-AL"/>
        </w:rPr>
        <w:t xml:space="preserve"> drejt</w:t>
      </w:r>
      <w:r w:rsidR="005D3CCC" w:rsidRPr="0032048B">
        <w:rPr>
          <w:sz w:val="24"/>
          <w:szCs w:val="24"/>
          <w:lang w:val="sq-AL"/>
        </w:rPr>
        <w:t>ë</w:t>
      </w:r>
      <w:r w:rsidRPr="0032048B">
        <w:rPr>
          <w:sz w:val="24"/>
          <w:szCs w:val="24"/>
          <w:lang w:val="sq-AL"/>
        </w:rPr>
        <w:t xml:space="preserve">n e informimit, bazuar në parimin e transparencës. </w:t>
      </w:r>
    </w:p>
    <w:p w14:paraId="295857E0" w14:textId="7D4C987F"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Këshilli i Emërimeve për Drejtësi vazhdoi të funksionojë gjatë gjithë vitit 2022 dhe në dhjetor 2022 u zgjodh k</w:t>
      </w:r>
      <w:r w:rsidR="005D3CCC" w:rsidRPr="0032048B">
        <w:rPr>
          <w:sz w:val="24"/>
          <w:szCs w:val="24"/>
          <w:lang w:val="sq-AL"/>
        </w:rPr>
        <w:t>ë</w:t>
      </w:r>
      <w:r w:rsidRPr="0032048B">
        <w:rPr>
          <w:sz w:val="24"/>
          <w:szCs w:val="24"/>
          <w:lang w:val="sq-AL"/>
        </w:rPr>
        <w:t>shilli i ri.</w:t>
      </w:r>
    </w:p>
    <w:p w14:paraId="3D2FFD86" w14:textId="5AD56FE8" w:rsidR="00380775" w:rsidRPr="0032048B" w:rsidRDefault="000C6EFC" w:rsidP="00361D5A">
      <w:pPr>
        <w:tabs>
          <w:tab w:val="left" w:pos="1134"/>
        </w:tabs>
        <w:spacing w:before="120"/>
        <w:ind w:left="993" w:right="1067"/>
        <w:jc w:val="both"/>
        <w:rPr>
          <w:sz w:val="24"/>
          <w:szCs w:val="24"/>
          <w:lang w:val="sq-AL"/>
        </w:rPr>
      </w:pPr>
      <w:r w:rsidRPr="0032048B">
        <w:rPr>
          <w:sz w:val="24"/>
          <w:szCs w:val="24"/>
          <w:lang w:val="sq-AL"/>
        </w:rPr>
        <w:t xml:space="preserve">Kapaciteti, pavarësia dhe </w:t>
      </w:r>
      <w:proofErr w:type="spellStart"/>
      <w:r w:rsidRPr="0032048B">
        <w:rPr>
          <w:sz w:val="24"/>
          <w:szCs w:val="24"/>
          <w:lang w:val="sq-AL"/>
        </w:rPr>
        <w:t>efice</w:t>
      </w:r>
      <w:r w:rsidR="00380775" w:rsidRPr="0032048B">
        <w:rPr>
          <w:sz w:val="24"/>
          <w:szCs w:val="24"/>
          <w:lang w:val="sq-AL"/>
        </w:rPr>
        <w:t>nsa</w:t>
      </w:r>
      <w:proofErr w:type="spellEnd"/>
      <w:r w:rsidR="00380775" w:rsidRPr="0032048B">
        <w:rPr>
          <w:sz w:val="24"/>
          <w:szCs w:val="24"/>
          <w:lang w:val="sq-AL"/>
        </w:rPr>
        <w:t xml:space="preserve"> e organeve e vetëqeverisjes s</w:t>
      </w:r>
      <w:r w:rsidR="005D3CCC" w:rsidRPr="0032048B">
        <w:rPr>
          <w:sz w:val="24"/>
          <w:szCs w:val="24"/>
          <w:lang w:val="sq-AL"/>
        </w:rPr>
        <w:t>ë</w:t>
      </w:r>
      <w:r w:rsidR="00380775" w:rsidRPr="0032048B">
        <w:rPr>
          <w:sz w:val="24"/>
          <w:szCs w:val="24"/>
          <w:lang w:val="sq-AL"/>
        </w:rPr>
        <w:t xml:space="preserve"> gjyqësorit duhet të forcohen më tej, përfshirë duke siguruar cilësinë e vendimeve të tyre, transparencën e punës së tyre dhe komunikimin efektiv me publikun.</w:t>
      </w:r>
    </w:p>
    <w:p w14:paraId="751DCCA7" w14:textId="77777777" w:rsidR="00380775" w:rsidRPr="0032048B" w:rsidRDefault="00380775" w:rsidP="00361D5A">
      <w:pPr>
        <w:tabs>
          <w:tab w:val="left" w:pos="1134"/>
        </w:tabs>
        <w:spacing w:before="120"/>
        <w:ind w:left="993" w:right="1067"/>
        <w:jc w:val="both"/>
        <w:rPr>
          <w:sz w:val="24"/>
          <w:szCs w:val="24"/>
          <w:lang w:val="sq-AL"/>
        </w:rPr>
      </w:pPr>
      <w:r w:rsidRPr="0032048B">
        <w:rPr>
          <w:sz w:val="24"/>
          <w:szCs w:val="24"/>
          <w:u w:val="single"/>
          <w:lang w:val="sq-AL"/>
        </w:rPr>
        <w:t>Pavarësia dhe paanësia</w:t>
      </w:r>
    </w:p>
    <w:p w14:paraId="13410DBE" w14:textId="648F9B3E" w:rsidR="00380775" w:rsidRPr="0032048B" w:rsidRDefault="00380775" w:rsidP="00361D5A">
      <w:pPr>
        <w:tabs>
          <w:tab w:val="left" w:pos="1134"/>
        </w:tabs>
        <w:spacing w:before="119"/>
        <w:ind w:left="993" w:right="1067"/>
        <w:jc w:val="both"/>
        <w:rPr>
          <w:sz w:val="24"/>
          <w:szCs w:val="24"/>
          <w:lang w:val="sq-AL"/>
        </w:rPr>
      </w:pPr>
      <w:r w:rsidRPr="0032048B">
        <w:rPr>
          <w:sz w:val="24"/>
          <w:szCs w:val="24"/>
          <w:lang w:val="sq-AL"/>
        </w:rPr>
        <w:t>Reforma e Drejtësisë e vitit 2016 përcaktoi një kuad</w:t>
      </w:r>
      <w:r w:rsidR="005D3CCC" w:rsidRPr="0032048B">
        <w:rPr>
          <w:sz w:val="24"/>
          <w:szCs w:val="24"/>
          <w:lang w:val="sq-AL"/>
        </w:rPr>
        <w:t>ë</w:t>
      </w:r>
      <w:r w:rsidRPr="0032048B">
        <w:rPr>
          <w:sz w:val="24"/>
          <w:szCs w:val="24"/>
          <w:lang w:val="sq-AL"/>
        </w:rPr>
        <w:t>r të kënaqsh</w:t>
      </w:r>
      <w:r w:rsidR="005D3CCC" w:rsidRPr="0032048B">
        <w:rPr>
          <w:sz w:val="24"/>
          <w:szCs w:val="24"/>
          <w:lang w:val="sq-AL"/>
        </w:rPr>
        <w:t>ë</w:t>
      </w:r>
      <w:r w:rsidRPr="0032048B">
        <w:rPr>
          <w:sz w:val="24"/>
          <w:szCs w:val="24"/>
          <w:lang w:val="sq-AL"/>
        </w:rPr>
        <w:t>m ligjor dhe institucional për të garantuar pavarësinë dhe paanshmërinë e magjistratëve. Sidoqoftë, shqetësimet vazhduan sa u takon aludimeve p</w:t>
      </w:r>
      <w:r w:rsidR="005D3CCC" w:rsidRPr="0032048B">
        <w:rPr>
          <w:sz w:val="24"/>
          <w:szCs w:val="24"/>
          <w:lang w:val="sq-AL"/>
        </w:rPr>
        <w:t>ë</w:t>
      </w:r>
      <w:r w:rsidRPr="0032048B">
        <w:rPr>
          <w:sz w:val="24"/>
          <w:szCs w:val="24"/>
          <w:lang w:val="sq-AL"/>
        </w:rPr>
        <w:t>r të ndërhyrë dhe ushtruar presion mbi sistemin gjyqësor. Trajnimi i magjistratëve duhet të përqendrohet edhe m</w:t>
      </w:r>
      <w:r w:rsidR="005D3CCC" w:rsidRPr="0032048B">
        <w:rPr>
          <w:sz w:val="24"/>
          <w:szCs w:val="24"/>
          <w:lang w:val="sq-AL"/>
        </w:rPr>
        <w:t>ë</w:t>
      </w:r>
      <w:r w:rsidRPr="0032048B">
        <w:rPr>
          <w:sz w:val="24"/>
          <w:szCs w:val="24"/>
          <w:lang w:val="sq-AL"/>
        </w:rPr>
        <w:t xml:space="preserve"> shum</w:t>
      </w:r>
      <w:r w:rsidR="005D3CCC" w:rsidRPr="0032048B">
        <w:rPr>
          <w:sz w:val="24"/>
          <w:szCs w:val="24"/>
          <w:lang w:val="sq-AL"/>
        </w:rPr>
        <w:t>ë</w:t>
      </w:r>
      <w:r w:rsidRPr="0032048B">
        <w:rPr>
          <w:sz w:val="24"/>
          <w:szCs w:val="24"/>
          <w:lang w:val="sq-AL"/>
        </w:rPr>
        <w:t xml:space="preserve"> tek</w:t>
      </w:r>
      <w:r w:rsidR="004D53EC">
        <w:rPr>
          <w:sz w:val="24"/>
          <w:szCs w:val="24"/>
          <w:lang w:val="sq-AL"/>
        </w:rPr>
        <w:t xml:space="preserve"> </w:t>
      </w:r>
      <w:r w:rsidRPr="0032048B">
        <w:rPr>
          <w:sz w:val="24"/>
          <w:szCs w:val="24"/>
          <w:lang w:val="sq-AL"/>
        </w:rPr>
        <w:t>integriteti dhe gjykimi. Duhen marr</w:t>
      </w:r>
      <w:r w:rsidR="005D3CCC" w:rsidRPr="0032048B">
        <w:rPr>
          <w:sz w:val="24"/>
          <w:szCs w:val="24"/>
          <w:lang w:val="sq-AL"/>
        </w:rPr>
        <w:t>ë</w:t>
      </w:r>
      <w:r w:rsidRPr="0032048B">
        <w:rPr>
          <w:sz w:val="24"/>
          <w:szCs w:val="24"/>
          <w:lang w:val="sq-AL"/>
        </w:rPr>
        <w:t xml:space="preserve"> masa t</w:t>
      </w:r>
      <w:r w:rsidR="005D3CCC" w:rsidRPr="0032048B">
        <w:rPr>
          <w:sz w:val="24"/>
          <w:szCs w:val="24"/>
          <w:lang w:val="sq-AL"/>
        </w:rPr>
        <w:t>ë</w:t>
      </w:r>
      <w:r w:rsidRPr="0032048B">
        <w:rPr>
          <w:sz w:val="24"/>
          <w:szCs w:val="24"/>
          <w:lang w:val="sq-AL"/>
        </w:rPr>
        <w:t xml:space="preserve"> posaçme p</w:t>
      </w:r>
      <w:r w:rsidR="005D3CCC" w:rsidRPr="0032048B">
        <w:rPr>
          <w:sz w:val="24"/>
          <w:szCs w:val="24"/>
          <w:lang w:val="sq-AL"/>
        </w:rPr>
        <w:t>ë</w:t>
      </w:r>
      <w:r w:rsidRPr="0032048B">
        <w:rPr>
          <w:sz w:val="24"/>
          <w:szCs w:val="24"/>
          <w:lang w:val="sq-AL"/>
        </w:rPr>
        <w:t>r të zvogëluar ndikimin e padrejtë dhe për të rritur besimin e publikut në gjyqësor edhe më tej.</w:t>
      </w:r>
    </w:p>
    <w:p w14:paraId="41B8FB3B" w14:textId="6CFF2964" w:rsidR="00380775" w:rsidRPr="0032048B" w:rsidRDefault="00380775" w:rsidP="00361D5A">
      <w:pPr>
        <w:tabs>
          <w:tab w:val="left" w:pos="1134"/>
        </w:tabs>
        <w:spacing w:before="119"/>
        <w:ind w:left="993" w:right="1067"/>
        <w:jc w:val="both"/>
        <w:rPr>
          <w:sz w:val="24"/>
          <w:szCs w:val="24"/>
          <w:lang w:val="sq-AL"/>
        </w:rPr>
      </w:pPr>
      <w:r w:rsidRPr="0032048B">
        <w:rPr>
          <w:sz w:val="24"/>
          <w:szCs w:val="24"/>
          <w:lang w:val="sq-AL"/>
        </w:rPr>
        <w:t>Jan</w:t>
      </w:r>
      <w:r w:rsidR="005D3CCC" w:rsidRPr="0032048B">
        <w:rPr>
          <w:sz w:val="24"/>
          <w:szCs w:val="24"/>
          <w:lang w:val="sq-AL"/>
        </w:rPr>
        <w:t>ë</w:t>
      </w:r>
      <w:r w:rsidRPr="0032048B">
        <w:rPr>
          <w:sz w:val="24"/>
          <w:szCs w:val="24"/>
          <w:lang w:val="sq-AL"/>
        </w:rPr>
        <w:t xml:space="preserve"> miratuar dispozitat ligjore q</w:t>
      </w:r>
      <w:r w:rsidR="005D3CCC" w:rsidRPr="0032048B">
        <w:rPr>
          <w:sz w:val="24"/>
          <w:szCs w:val="24"/>
          <w:lang w:val="sq-AL"/>
        </w:rPr>
        <w:t>ë</w:t>
      </w:r>
      <w:r w:rsidRPr="0032048B">
        <w:rPr>
          <w:sz w:val="24"/>
          <w:szCs w:val="24"/>
          <w:lang w:val="sq-AL"/>
        </w:rPr>
        <w:t xml:space="preserve"> garantojn</w:t>
      </w:r>
      <w:r w:rsidR="005D3CCC" w:rsidRPr="0032048B">
        <w:rPr>
          <w:sz w:val="24"/>
          <w:szCs w:val="24"/>
          <w:lang w:val="sq-AL"/>
        </w:rPr>
        <w:t>ë</w:t>
      </w:r>
      <w:r w:rsidRPr="0032048B">
        <w:rPr>
          <w:sz w:val="24"/>
          <w:szCs w:val="24"/>
          <w:lang w:val="sq-AL"/>
        </w:rPr>
        <w:t xml:space="preserve"> procedura të pavarura për të emëruar, promovuar, vlerësuar dhe pushuar nga puna gjyqtarët dhe prokurorët si dhe për të siguruar mundësinë e apelimit të </w:t>
      </w:r>
      <w:proofErr w:type="spellStart"/>
      <w:r w:rsidRPr="0032048B">
        <w:rPr>
          <w:sz w:val="24"/>
          <w:szCs w:val="24"/>
          <w:lang w:val="sq-AL"/>
        </w:rPr>
        <w:t>të</w:t>
      </w:r>
      <w:proofErr w:type="spellEnd"/>
      <w:r w:rsidRPr="0032048B">
        <w:rPr>
          <w:sz w:val="24"/>
          <w:szCs w:val="24"/>
          <w:lang w:val="sq-AL"/>
        </w:rPr>
        <w:t xml:space="preserve"> gjitha vendimeve q</w:t>
      </w:r>
      <w:r w:rsidR="005D3CCC" w:rsidRPr="0032048B">
        <w:rPr>
          <w:sz w:val="24"/>
          <w:szCs w:val="24"/>
          <w:lang w:val="sq-AL"/>
        </w:rPr>
        <w:t>ë</w:t>
      </w:r>
      <w:r w:rsidRPr="0032048B">
        <w:rPr>
          <w:sz w:val="24"/>
          <w:szCs w:val="24"/>
          <w:lang w:val="sq-AL"/>
        </w:rPr>
        <w:t xml:space="preserve"> merren n</w:t>
      </w:r>
      <w:r w:rsidR="005D3CCC" w:rsidRPr="0032048B">
        <w:rPr>
          <w:sz w:val="24"/>
          <w:szCs w:val="24"/>
          <w:lang w:val="sq-AL"/>
        </w:rPr>
        <w:t>ë</w:t>
      </w:r>
      <w:r w:rsidRPr="0032048B">
        <w:rPr>
          <w:sz w:val="24"/>
          <w:szCs w:val="24"/>
          <w:lang w:val="sq-AL"/>
        </w:rPr>
        <w:t xml:space="preserve"> k</w:t>
      </w:r>
      <w:r w:rsidR="005D3CCC" w:rsidRPr="0032048B">
        <w:rPr>
          <w:sz w:val="24"/>
          <w:szCs w:val="24"/>
          <w:lang w:val="sq-AL"/>
        </w:rPr>
        <w:t>ë</w:t>
      </w:r>
      <w:r w:rsidRPr="0032048B">
        <w:rPr>
          <w:sz w:val="24"/>
          <w:szCs w:val="24"/>
          <w:lang w:val="sq-AL"/>
        </w:rPr>
        <w:t>t</w:t>
      </w:r>
      <w:r w:rsidR="005D3CCC" w:rsidRPr="0032048B">
        <w:rPr>
          <w:sz w:val="24"/>
          <w:szCs w:val="24"/>
          <w:lang w:val="sq-AL"/>
        </w:rPr>
        <w:t>ë</w:t>
      </w:r>
      <w:r w:rsidRPr="0032048B">
        <w:rPr>
          <w:sz w:val="24"/>
          <w:szCs w:val="24"/>
          <w:lang w:val="sq-AL"/>
        </w:rPr>
        <w:t xml:space="preserve"> drejtim. Shpërblimi i gjyqtarëve dhe prokurorëve arrin nivelin më të lartë për pagat e sektorit publik në vend. Në dhjetor 2022, Gjykata Kushtetuese dha një vendim për kuadrin rregullator për pagat e magjistratëve. Ky vendim është zbatuar në respekt të plotë të parimit të pavarësisë financiare të magjistratëve. Këshillat duhet të sigurojn</w:t>
      </w:r>
      <w:r w:rsidR="005D3CCC" w:rsidRPr="0032048B">
        <w:rPr>
          <w:sz w:val="24"/>
          <w:szCs w:val="24"/>
          <w:lang w:val="sq-AL"/>
        </w:rPr>
        <w:t>ë</w:t>
      </w:r>
      <w:r w:rsidRPr="0032048B">
        <w:rPr>
          <w:sz w:val="24"/>
          <w:szCs w:val="24"/>
          <w:lang w:val="sq-AL"/>
        </w:rPr>
        <w:t xml:space="preserve"> transparenc</w:t>
      </w:r>
      <w:r w:rsidR="005D3CCC" w:rsidRPr="0032048B">
        <w:rPr>
          <w:sz w:val="24"/>
          <w:szCs w:val="24"/>
          <w:lang w:val="sq-AL"/>
        </w:rPr>
        <w:t>ë</w:t>
      </w:r>
      <w:r w:rsidRPr="0032048B">
        <w:rPr>
          <w:sz w:val="24"/>
          <w:szCs w:val="24"/>
          <w:lang w:val="sq-AL"/>
        </w:rPr>
        <w:t>n dhe zbatimin e saktë t</w:t>
      </w:r>
      <w:r w:rsidR="005D3CCC" w:rsidRPr="0032048B">
        <w:rPr>
          <w:sz w:val="24"/>
          <w:szCs w:val="24"/>
          <w:lang w:val="sq-AL"/>
        </w:rPr>
        <w:t>ë</w:t>
      </w:r>
      <w:r w:rsidRPr="0032048B">
        <w:rPr>
          <w:sz w:val="24"/>
          <w:szCs w:val="24"/>
          <w:lang w:val="sq-AL"/>
        </w:rPr>
        <w:t xml:space="preserve"> dispozitave ligjore për promovimin dhe transferimin e prokurorëve dhe gjyqtarëve, përfshirë edhe përmes akteve n</w:t>
      </w:r>
      <w:r w:rsidR="005D3CCC" w:rsidRPr="0032048B">
        <w:rPr>
          <w:sz w:val="24"/>
          <w:szCs w:val="24"/>
          <w:lang w:val="sq-AL"/>
        </w:rPr>
        <w:t>ë</w:t>
      </w:r>
      <w:r w:rsidRPr="0032048B">
        <w:rPr>
          <w:sz w:val="24"/>
          <w:szCs w:val="24"/>
          <w:lang w:val="sq-AL"/>
        </w:rPr>
        <w:t>nligjore.</w:t>
      </w:r>
    </w:p>
    <w:p w14:paraId="708ACBAA" w14:textId="2C6C016F" w:rsidR="00380775" w:rsidRPr="0032048B" w:rsidRDefault="00380775" w:rsidP="00361D5A">
      <w:pPr>
        <w:tabs>
          <w:tab w:val="left" w:pos="1134"/>
        </w:tabs>
        <w:spacing w:before="119"/>
        <w:ind w:left="993" w:right="1067"/>
        <w:jc w:val="both"/>
        <w:rPr>
          <w:sz w:val="24"/>
          <w:szCs w:val="24"/>
          <w:lang w:val="sq-AL"/>
        </w:rPr>
      </w:pPr>
      <w:r w:rsidRPr="0032048B">
        <w:rPr>
          <w:sz w:val="24"/>
          <w:szCs w:val="24"/>
          <w:lang w:val="sq-AL"/>
        </w:rPr>
        <w:t>Fillimi nga puna i një sistemi modern të menaxhimit t</w:t>
      </w:r>
      <w:r w:rsidR="005D3CCC" w:rsidRPr="0032048B">
        <w:rPr>
          <w:sz w:val="24"/>
          <w:szCs w:val="24"/>
          <w:lang w:val="sq-AL"/>
        </w:rPr>
        <w:t>ë</w:t>
      </w:r>
      <w:r w:rsidRPr="0032048B">
        <w:rPr>
          <w:sz w:val="24"/>
          <w:szCs w:val="24"/>
          <w:lang w:val="sq-AL"/>
        </w:rPr>
        <w:t xml:space="preserve"> integruar të çështjeve ka koh</w:t>
      </w:r>
      <w:r w:rsidR="005D3CCC" w:rsidRPr="0032048B">
        <w:rPr>
          <w:sz w:val="24"/>
          <w:szCs w:val="24"/>
          <w:lang w:val="sq-AL"/>
        </w:rPr>
        <w:t>ë</w:t>
      </w:r>
      <w:r w:rsidRPr="0032048B">
        <w:rPr>
          <w:sz w:val="24"/>
          <w:szCs w:val="24"/>
          <w:lang w:val="sq-AL"/>
        </w:rPr>
        <w:t xml:space="preserve"> q</w:t>
      </w:r>
      <w:r w:rsidR="005D3CCC" w:rsidRPr="0032048B">
        <w:rPr>
          <w:sz w:val="24"/>
          <w:szCs w:val="24"/>
          <w:lang w:val="sq-AL"/>
        </w:rPr>
        <w:t>ë</w:t>
      </w:r>
      <w:r w:rsidRPr="0032048B">
        <w:rPr>
          <w:sz w:val="24"/>
          <w:szCs w:val="24"/>
          <w:lang w:val="sq-AL"/>
        </w:rPr>
        <w:t xml:space="preserve"> pritet dhe mbetet i </w:t>
      </w:r>
      <w:proofErr w:type="spellStart"/>
      <w:r w:rsidRPr="0032048B">
        <w:rPr>
          <w:sz w:val="24"/>
          <w:szCs w:val="24"/>
          <w:lang w:val="sq-AL"/>
        </w:rPr>
        <w:t>nevojshm</w:t>
      </w:r>
      <w:r w:rsidR="005D3CCC" w:rsidRPr="0032048B">
        <w:rPr>
          <w:sz w:val="24"/>
          <w:szCs w:val="24"/>
          <w:lang w:val="sq-AL"/>
        </w:rPr>
        <w:t>ë</w:t>
      </w:r>
      <w:r w:rsidR="000C6EFC" w:rsidRPr="0032048B">
        <w:rPr>
          <w:sz w:val="24"/>
          <w:szCs w:val="24"/>
          <w:lang w:val="sq-AL"/>
        </w:rPr>
        <w:t>m</w:t>
      </w:r>
      <w:proofErr w:type="spellEnd"/>
      <w:r w:rsidR="000C6EFC" w:rsidRPr="0032048B">
        <w:rPr>
          <w:sz w:val="24"/>
          <w:szCs w:val="24"/>
          <w:lang w:val="sq-AL"/>
        </w:rPr>
        <w:t xml:space="preserve"> për të përmirësuar </w:t>
      </w:r>
      <w:proofErr w:type="spellStart"/>
      <w:r w:rsidR="000C6EFC" w:rsidRPr="0032048B">
        <w:rPr>
          <w:sz w:val="24"/>
          <w:szCs w:val="24"/>
          <w:lang w:val="sq-AL"/>
        </w:rPr>
        <w:t>efic</w:t>
      </w:r>
      <w:r w:rsidRPr="0032048B">
        <w:rPr>
          <w:sz w:val="24"/>
          <w:szCs w:val="24"/>
          <w:lang w:val="sq-AL"/>
        </w:rPr>
        <w:t>ens</w:t>
      </w:r>
      <w:r w:rsidR="005D3CCC" w:rsidRPr="0032048B">
        <w:rPr>
          <w:sz w:val="24"/>
          <w:szCs w:val="24"/>
          <w:lang w:val="sq-AL"/>
        </w:rPr>
        <w:t>ë</w:t>
      </w:r>
      <w:r w:rsidRPr="0032048B">
        <w:rPr>
          <w:sz w:val="24"/>
          <w:szCs w:val="24"/>
          <w:lang w:val="sq-AL"/>
        </w:rPr>
        <w:t>n</w:t>
      </w:r>
      <w:proofErr w:type="spellEnd"/>
      <w:r w:rsidRPr="0032048B">
        <w:rPr>
          <w:sz w:val="24"/>
          <w:szCs w:val="24"/>
          <w:lang w:val="sq-AL"/>
        </w:rPr>
        <w:t xml:space="preserve"> dhe transparencën e sistemit të drejtësisë. Numri i kufizuar i gjyqtarëve në disa gjykata, shoqëruara me mungesën e një sistemi të menaxhimit të integruar të çështjeve, çon në një rezultat shqetësues p</w:t>
      </w:r>
      <w:r w:rsidR="005D3CCC" w:rsidRPr="0032048B">
        <w:rPr>
          <w:sz w:val="24"/>
          <w:szCs w:val="24"/>
          <w:lang w:val="sq-AL"/>
        </w:rPr>
        <w:t>ë</w:t>
      </w:r>
      <w:r w:rsidRPr="0032048B">
        <w:rPr>
          <w:sz w:val="24"/>
          <w:szCs w:val="24"/>
          <w:lang w:val="sq-AL"/>
        </w:rPr>
        <w:t>r</w:t>
      </w:r>
      <w:r w:rsidR="004D53EC">
        <w:rPr>
          <w:sz w:val="24"/>
          <w:szCs w:val="24"/>
          <w:lang w:val="sq-AL"/>
        </w:rPr>
        <w:t xml:space="preserve"> </w:t>
      </w:r>
      <w:r w:rsidRPr="0032048B">
        <w:rPr>
          <w:sz w:val="24"/>
          <w:szCs w:val="24"/>
          <w:lang w:val="sq-AL"/>
        </w:rPr>
        <w:t>faktin se nuk b</w:t>
      </w:r>
      <w:r w:rsidR="005D3CCC" w:rsidRPr="0032048B">
        <w:rPr>
          <w:sz w:val="24"/>
          <w:szCs w:val="24"/>
          <w:lang w:val="sq-AL"/>
        </w:rPr>
        <w:t>ë</w:t>
      </w:r>
      <w:r w:rsidRPr="0032048B">
        <w:rPr>
          <w:sz w:val="24"/>
          <w:szCs w:val="24"/>
          <w:lang w:val="sq-AL"/>
        </w:rPr>
        <w:t xml:space="preserve">het </w:t>
      </w:r>
      <w:proofErr w:type="spellStart"/>
      <w:r w:rsidRPr="0032048B">
        <w:rPr>
          <w:sz w:val="24"/>
          <w:szCs w:val="24"/>
          <w:lang w:val="sq-AL"/>
        </w:rPr>
        <w:t>alokimi</w:t>
      </w:r>
      <w:proofErr w:type="spellEnd"/>
      <w:r w:rsidRPr="0032048B">
        <w:rPr>
          <w:sz w:val="24"/>
          <w:szCs w:val="24"/>
          <w:lang w:val="sq-AL"/>
        </w:rPr>
        <w:t xml:space="preserve"> i rastësishëm i çështjeve. </w:t>
      </w:r>
      <w:proofErr w:type="spellStart"/>
      <w:r w:rsidRPr="0032048B">
        <w:rPr>
          <w:sz w:val="24"/>
          <w:szCs w:val="24"/>
          <w:lang w:val="sq-AL"/>
        </w:rPr>
        <w:t>Alokimi</w:t>
      </w:r>
      <w:proofErr w:type="spellEnd"/>
      <w:r w:rsidRPr="0032048B">
        <w:rPr>
          <w:sz w:val="24"/>
          <w:szCs w:val="24"/>
          <w:lang w:val="sq-AL"/>
        </w:rPr>
        <w:t xml:space="preserve"> i rastësish</w:t>
      </w:r>
      <w:r w:rsidR="005D3CCC" w:rsidRPr="0032048B">
        <w:rPr>
          <w:sz w:val="24"/>
          <w:szCs w:val="24"/>
          <w:lang w:val="sq-AL"/>
        </w:rPr>
        <w:t>ë</w:t>
      </w:r>
      <w:r w:rsidRPr="0032048B">
        <w:rPr>
          <w:sz w:val="24"/>
          <w:szCs w:val="24"/>
          <w:lang w:val="sq-AL"/>
        </w:rPr>
        <w:t>m i rasteve në shërbimet e prokurorisë nuk zbatohet dhe është një fushë shqetësuese serioze. Qendra e TI-s</w:t>
      </w:r>
      <w:r w:rsidR="005D3CCC" w:rsidRPr="0032048B">
        <w:rPr>
          <w:sz w:val="24"/>
          <w:szCs w:val="24"/>
          <w:lang w:val="sq-AL"/>
        </w:rPr>
        <w:t>ë</w:t>
      </w:r>
      <w:r w:rsidRPr="0032048B">
        <w:rPr>
          <w:sz w:val="24"/>
          <w:szCs w:val="24"/>
          <w:lang w:val="sq-AL"/>
        </w:rPr>
        <w:t xml:space="preserve"> për sistemin e drejtësisë ka vetëm një punonj</w:t>
      </w:r>
      <w:r w:rsidR="005D3CCC" w:rsidRPr="0032048B">
        <w:rPr>
          <w:sz w:val="24"/>
          <w:szCs w:val="24"/>
          <w:lang w:val="sq-AL"/>
        </w:rPr>
        <w:t>ë</w:t>
      </w:r>
      <w:r w:rsidRPr="0032048B">
        <w:rPr>
          <w:sz w:val="24"/>
          <w:szCs w:val="24"/>
          <w:lang w:val="sq-AL"/>
        </w:rPr>
        <w:t xml:space="preserve">s në detyrë, i cili është i pamjaftueshëm për të siguruar udhëheqje të fortë dhe standarde të larta. </w:t>
      </w:r>
      <w:r w:rsidR="005D3CCC" w:rsidRPr="0032048B">
        <w:rPr>
          <w:sz w:val="24"/>
          <w:szCs w:val="24"/>
          <w:lang w:val="sq-AL"/>
        </w:rPr>
        <w:t>Ë</w:t>
      </w:r>
      <w:r w:rsidRPr="0032048B">
        <w:rPr>
          <w:sz w:val="24"/>
          <w:szCs w:val="24"/>
          <w:lang w:val="sq-AL"/>
        </w:rPr>
        <w:t>sht</w:t>
      </w:r>
      <w:r w:rsidR="005D3CCC" w:rsidRPr="0032048B">
        <w:rPr>
          <w:sz w:val="24"/>
          <w:szCs w:val="24"/>
          <w:lang w:val="sq-AL"/>
        </w:rPr>
        <w:t>ë</w:t>
      </w:r>
      <w:r w:rsidRPr="0032048B">
        <w:rPr>
          <w:sz w:val="24"/>
          <w:szCs w:val="24"/>
          <w:lang w:val="sq-AL"/>
        </w:rPr>
        <w:t xml:space="preserve"> b</w:t>
      </w:r>
      <w:r w:rsidR="005D3CCC" w:rsidRPr="0032048B">
        <w:rPr>
          <w:sz w:val="24"/>
          <w:szCs w:val="24"/>
          <w:lang w:val="sq-AL"/>
        </w:rPr>
        <w:t>ë</w:t>
      </w:r>
      <w:r w:rsidRPr="0032048B">
        <w:rPr>
          <w:sz w:val="24"/>
          <w:szCs w:val="24"/>
          <w:lang w:val="sq-AL"/>
        </w:rPr>
        <w:t>r</w:t>
      </w:r>
      <w:r w:rsidR="005D3CCC" w:rsidRPr="0032048B">
        <w:rPr>
          <w:sz w:val="24"/>
          <w:szCs w:val="24"/>
          <w:lang w:val="sq-AL"/>
        </w:rPr>
        <w:t>ë</w:t>
      </w:r>
      <w:r w:rsidRPr="0032048B">
        <w:rPr>
          <w:sz w:val="24"/>
          <w:szCs w:val="24"/>
          <w:lang w:val="sq-AL"/>
        </w:rPr>
        <w:t xml:space="preserve"> progres në sistemin e menaxhimit të çështjeve, veçanërisht me krijimin e Grupit</w:t>
      </w:r>
      <w:r w:rsidR="004D53EC">
        <w:rPr>
          <w:sz w:val="24"/>
          <w:szCs w:val="24"/>
          <w:lang w:val="sq-AL"/>
        </w:rPr>
        <w:t xml:space="preserve"> </w:t>
      </w:r>
      <w:r w:rsidRPr="0032048B">
        <w:rPr>
          <w:sz w:val="24"/>
          <w:szCs w:val="24"/>
          <w:lang w:val="sq-AL"/>
        </w:rPr>
        <w:t>t</w:t>
      </w:r>
      <w:r w:rsidR="005D3CCC" w:rsidRPr="0032048B">
        <w:rPr>
          <w:sz w:val="24"/>
          <w:szCs w:val="24"/>
          <w:lang w:val="sq-AL"/>
        </w:rPr>
        <w:t>ë</w:t>
      </w:r>
      <w:r w:rsidRPr="0032048B">
        <w:rPr>
          <w:sz w:val="24"/>
          <w:szCs w:val="24"/>
          <w:lang w:val="sq-AL"/>
        </w:rPr>
        <w:t xml:space="preserve"> Pun</w:t>
      </w:r>
      <w:r w:rsidR="005D3CCC" w:rsidRPr="0032048B">
        <w:rPr>
          <w:sz w:val="24"/>
          <w:szCs w:val="24"/>
          <w:lang w:val="sq-AL"/>
        </w:rPr>
        <w:t>ë</w:t>
      </w:r>
      <w:r w:rsidRPr="0032048B">
        <w:rPr>
          <w:sz w:val="24"/>
          <w:szCs w:val="24"/>
          <w:lang w:val="sq-AL"/>
        </w:rPr>
        <w:t>s p</w:t>
      </w:r>
      <w:r w:rsidR="005D3CCC" w:rsidRPr="0032048B">
        <w:rPr>
          <w:sz w:val="24"/>
          <w:szCs w:val="24"/>
          <w:lang w:val="sq-AL"/>
        </w:rPr>
        <w:t>ë</w:t>
      </w:r>
      <w:r w:rsidRPr="0032048B">
        <w:rPr>
          <w:sz w:val="24"/>
          <w:szCs w:val="24"/>
          <w:lang w:val="sq-AL"/>
        </w:rPr>
        <w:t>r Nd</w:t>
      </w:r>
      <w:r w:rsidR="005D3CCC" w:rsidRPr="0032048B">
        <w:rPr>
          <w:sz w:val="24"/>
          <w:szCs w:val="24"/>
          <w:lang w:val="sq-AL"/>
        </w:rPr>
        <w:t>ë</w:t>
      </w:r>
      <w:r w:rsidRPr="0032048B">
        <w:rPr>
          <w:sz w:val="24"/>
          <w:szCs w:val="24"/>
          <w:lang w:val="sq-AL"/>
        </w:rPr>
        <w:t>rveprimin në qershor 2023 dhe miratimin e Kuadrit të Ndërveprimit që krijon bazën për shtrirjen e sistemit.</w:t>
      </w:r>
    </w:p>
    <w:p w14:paraId="17B432AB" w14:textId="5891D493" w:rsidR="00380775" w:rsidRPr="0032048B" w:rsidRDefault="00380775" w:rsidP="00361D5A">
      <w:pPr>
        <w:tabs>
          <w:tab w:val="left" w:pos="1134"/>
        </w:tabs>
        <w:spacing w:before="119"/>
        <w:ind w:left="993" w:right="1067"/>
        <w:jc w:val="both"/>
        <w:rPr>
          <w:sz w:val="24"/>
          <w:szCs w:val="24"/>
          <w:lang w:val="sq-AL"/>
        </w:rPr>
      </w:pPr>
      <w:r w:rsidRPr="0032048B">
        <w:rPr>
          <w:sz w:val="24"/>
          <w:szCs w:val="24"/>
          <w:lang w:val="sq-AL"/>
        </w:rPr>
        <w:lastRenderedPageBreak/>
        <w:t>Ndikimi i padrejtë mbi gjykatësit ose prokuror</w:t>
      </w:r>
      <w:r w:rsidR="005D3CCC" w:rsidRPr="0032048B">
        <w:rPr>
          <w:sz w:val="24"/>
          <w:szCs w:val="24"/>
          <w:lang w:val="sq-AL"/>
        </w:rPr>
        <w:t>ë</w:t>
      </w:r>
      <w:r w:rsidRPr="0032048B">
        <w:rPr>
          <w:sz w:val="24"/>
          <w:szCs w:val="24"/>
          <w:lang w:val="sq-AL"/>
        </w:rPr>
        <w:t>t p</w:t>
      </w:r>
      <w:r w:rsidR="005D3CCC" w:rsidRPr="0032048B">
        <w:rPr>
          <w:sz w:val="24"/>
          <w:szCs w:val="24"/>
          <w:lang w:val="sq-AL"/>
        </w:rPr>
        <w:t>ë</w:t>
      </w:r>
      <w:r w:rsidRPr="0032048B">
        <w:rPr>
          <w:sz w:val="24"/>
          <w:szCs w:val="24"/>
          <w:lang w:val="sq-AL"/>
        </w:rPr>
        <w:t>rb</w:t>
      </w:r>
      <w:r w:rsidR="005D3CCC" w:rsidRPr="0032048B">
        <w:rPr>
          <w:sz w:val="24"/>
          <w:szCs w:val="24"/>
          <w:lang w:val="sq-AL"/>
        </w:rPr>
        <w:t>ë</w:t>
      </w:r>
      <w:r w:rsidRPr="0032048B">
        <w:rPr>
          <w:sz w:val="24"/>
          <w:szCs w:val="24"/>
          <w:lang w:val="sq-AL"/>
        </w:rPr>
        <w:t>n vepër penale. Nuk ka raporte zyrtare nga gjyqtarët ose prokurorët për përpjekje të tilla. Vazhdojn</w:t>
      </w:r>
      <w:r w:rsidR="005D3CCC" w:rsidRPr="0032048B">
        <w:rPr>
          <w:sz w:val="24"/>
          <w:szCs w:val="24"/>
          <w:lang w:val="sq-AL"/>
        </w:rPr>
        <w:t>ë</w:t>
      </w:r>
      <w:r w:rsidRPr="0032048B">
        <w:rPr>
          <w:sz w:val="24"/>
          <w:szCs w:val="24"/>
          <w:lang w:val="sq-AL"/>
        </w:rPr>
        <w:t xml:space="preserve"> shqetësimet lidhur me përpjekjet e brendshme dhe të jashtme për të ushtruar ndërhyrje të padrejtë mbi sistemin gjyqësor, presion politik dhe </w:t>
      </w:r>
      <w:r w:rsidR="00026FA9" w:rsidRPr="0032048B">
        <w:rPr>
          <w:sz w:val="24"/>
          <w:szCs w:val="24"/>
          <w:lang w:val="sq-AL"/>
        </w:rPr>
        <w:t>frikësim</w:t>
      </w:r>
      <w:r w:rsidRPr="0032048B">
        <w:rPr>
          <w:sz w:val="24"/>
          <w:szCs w:val="24"/>
          <w:lang w:val="sq-AL"/>
        </w:rPr>
        <w:t>. Asnjë sanksion nuk është vendosur kundër zyrtarëve publik apo politikanëve që lëshojn</w:t>
      </w:r>
      <w:r w:rsidR="005D3CCC" w:rsidRPr="0032048B">
        <w:rPr>
          <w:sz w:val="24"/>
          <w:szCs w:val="24"/>
          <w:lang w:val="sq-AL"/>
        </w:rPr>
        <w:t>ë</w:t>
      </w:r>
      <w:r w:rsidRPr="0032048B">
        <w:rPr>
          <w:sz w:val="24"/>
          <w:szCs w:val="24"/>
          <w:lang w:val="sq-AL"/>
        </w:rPr>
        <w:t xml:space="preserve"> akuza kundër magjistratëve. Sidoqoftë, institucionet e vetëqeverisjes kanë reaguar publikisht ndaj akuzave të tilla, duke i klasifikuar ato si ndikim dhe presion të padrejtë.</w:t>
      </w:r>
    </w:p>
    <w:p w14:paraId="770891F9" w14:textId="77777777" w:rsidR="00380775" w:rsidRPr="0032048B" w:rsidRDefault="00380775" w:rsidP="00361D5A">
      <w:pPr>
        <w:tabs>
          <w:tab w:val="left" w:pos="1134"/>
        </w:tabs>
        <w:spacing w:before="120"/>
        <w:ind w:left="993" w:right="1067"/>
        <w:rPr>
          <w:sz w:val="24"/>
          <w:szCs w:val="24"/>
          <w:lang w:val="sq-AL"/>
        </w:rPr>
      </w:pPr>
      <w:r w:rsidRPr="0032048B">
        <w:rPr>
          <w:spacing w:val="-2"/>
          <w:sz w:val="24"/>
          <w:szCs w:val="24"/>
          <w:u w:val="single"/>
          <w:lang w:val="sq-AL"/>
        </w:rPr>
        <w:t>Llogaridhënia</w:t>
      </w:r>
    </w:p>
    <w:p w14:paraId="1ED50514" w14:textId="3C6E85D9"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Inspektori i Lart</w:t>
      </w:r>
      <w:r w:rsidR="005D3CCC" w:rsidRPr="0032048B">
        <w:rPr>
          <w:sz w:val="24"/>
          <w:szCs w:val="24"/>
          <w:lang w:val="sq-AL"/>
        </w:rPr>
        <w:t>ë</w:t>
      </w:r>
      <w:r w:rsidRPr="0032048B">
        <w:rPr>
          <w:sz w:val="24"/>
          <w:szCs w:val="24"/>
          <w:lang w:val="sq-AL"/>
        </w:rPr>
        <w:t xml:space="preserve"> i Drejtësisë (ILD) vazhdoi të ishte </w:t>
      </w:r>
      <w:proofErr w:type="spellStart"/>
      <w:r w:rsidRPr="0032048B">
        <w:rPr>
          <w:sz w:val="24"/>
          <w:szCs w:val="24"/>
          <w:lang w:val="sq-AL"/>
        </w:rPr>
        <w:t>operacional</w:t>
      </w:r>
      <w:proofErr w:type="spellEnd"/>
      <w:r w:rsidRPr="0032048B">
        <w:rPr>
          <w:sz w:val="24"/>
          <w:szCs w:val="24"/>
          <w:lang w:val="sq-AL"/>
        </w:rPr>
        <w:t>, duke iniciuar dhe kryer hetime disiplinore kundër magjistratëve. Gati gjysma e inspektorëve të planifikuar (12 nga 26) janë në detyrë. Pun</w:t>
      </w:r>
      <w:r w:rsidR="005D3CCC" w:rsidRPr="0032048B">
        <w:rPr>
          <w:sz w:val="24"/>
          <w:szCs w:val="24"/>
          <w:lang w:val="sq-AL"/>
        </w:rPr>
        <w:t>ë</w:t>
      </w:r>
      <w:r w:rsidRPr="0032048B">
        <w:rPr>
          <w:sz w:val="24"/>
          <w:szCs w:val="24"/>
          <w:lang w:val="sq-AL"/>
        </w:rPr>
        <w:t>simi i pjes</w:t>
      </w:r>
      <w:r w:rsidR="005D3CCC" w:rsidRPr="0032048B">
        <w:rPr>
          <w:sz w:val="24"/>
          <w:szCs w:val="24"/>
          <w:lang w:val="sq-AL"/>
        </w:rPr>
        <w:t>ë</w:t>
      </w:r>
      <w:r w:rsidRPr="0032048B">
        <w:rPr>
          <w:sz w:val="24"/>
          <w:szCs w:val="24"/>
          <w:lang w:val="sq-AL"/>
        </w:rPr>
        <w:t>s s</w:t>
      </w:r>
      <w:r w:rsidR="005D3CCC" w:rsidRPr="0032048B">
        <w:rPr>
          <w:sz w:val="24"/>
          <w:szCs w:val="24"/>
          <w:lang w:val="sq-AL"/>
        </w:rPr>
        <w:t>ë</w:t>
      </w:r>
      <w:r w:rsidRPr="0032048B">
        <w:rPr>
          <w:sz w:val="24"/>
          <w:szCs w:val="24"/>
          <w:lang w:val="sq-AL"/>
        </w:rPr>
        <w:t xml:space="preserve"> mbetur t</w:t>
      </w:r>
      <w:r w:rsidR="005D3CCC" w:rsidRPr="0032048B">
        <w:rPr>
          <w:sz w:val="24"/>
          <w:szCs w:val="24"/>
          <w:lang w:val="sq-AL"/>
        </w:rPr>
        <w:t>ë</w:t>
      </w:r>
      <w:r w:rsidRPr="0032048B">
        <w:rPr>
          <w:sz w:val="24"/>
          <w:szCs w:val="24"/>
          <w:lang w:val="sq-AL"/>
        </w:rPr>
        <w:t xml:space="preserve"> inspektorëve dhe përmirësimi i kapacitetit të ILD-s</w:t>
      </w:r>
      <w:r w:rsidR="005D3CCC" w:rsidRPr="0032048B">
        <w:rPr>
          <w:sz w:val="24"/>
          <w:szCs w:val="24"/>
          <w:lang w:val="sq-AL"/>
        </w:rPr>
        <w:t>ë</w:t>
      </w:r>
      <w:r w:rsidRPr="0032048B">
        <w:rPr>
          <w:sz w:val="24"/>
          <w:szCs w:val="24"/>
          <w:lang w:val="sq-AL"/>
        </w:rPr>
        <w:t xml:space="preserve"> mbetet i domosdoshëm. ILD-ja miratoi një metodologji të rishikuar për të zvogëluar stokun e prapambetur t</w:t>
      </w:r>
      <w:r w:rsidR="005D3CCC" w:rsidRPr="0032048B">
        <w:rPr>
          <w:sz w:val="24"/>
          <w:szCs w:val="24"/>
          <w:lang w:val="sq-AL"/>
        </w:rPr>
        <w:t>ë</w:t>
      </w:r>
      <w:r w:rsidRPr="0032048B">
        <w:rPr>
          <w:sz w:val="24"/>
          <w:szCs w:val="24"/>
          <w:lang w:val="sq-AL"/>
        </w:rPr>
        <w:t xml:space="preserve"> 1 606 rasteve t</w:t>
      </w:r>
      <w:r w:rsidR="005D3CCC" w:rsidRPr="0032048B">
        <w:rPr>
          <w:sz w:val="24"/>
          <w:szCs w:val="24"/>
          <w:lang w:val="sq-AL"/>
        </w:rPr>
        <w:t>ë</w:t>
      </w:r>
      <w:r w:rsidRPr="0032048B">
        <w:rPr>
          <w:sz w:val="24"/>
          <w:szCs w:val="24"/>
          <w:lang w:val="sq-AL"/>
        </w:rPr>
        <w:t xml:space="preserve"> trashëguara, nga të cilat 1 072 ende nuk janë përpunuar. ILD-ja nuk ka grumbulluar raste të reja t</w:t>
      </w:r>
      <w:r w:rsidR="005D3CCC" w:rsidRPr="0032048B">
        <w:rPr>
          <w:sz w:val="24"/>
          <w:szCs w:val="24"/>
          <w:lang w:val="sq-AL"/>
        </w:rPr>
        <w:t>ë</w:t>
      </w:r>
      <w:r w:rsidRPr="0032048B">
        <w:rPr>
          <w:sz w:val="24"/>
          <w:szCs w:val="24"/>
          <w:lang w:val="sq-AL"/>
        </w:rPr>
        <w:t xml:space="preserve"> prapambetura që kur u krijua. Gjatë periudhës së raportimit, ILD-ja mori 789 ankesa. Ajo përpunoi 534 ankesa dhe filloi 28 hetime disiplinore, nga të cilat për gjashtë magjistratë </w:t>
      </w:r>
      <w:r w:rsidR="005D3CCC" w:rsidRPr="0032048B">
        <w:rPr>
          <w:sz w:val="24"/>
          <w:szCs w:val="24"/>
          <w:lang w:val="sq-AL"/>
        </w:rPr>
        <w:t>ë</w:t>
      </w:r>
      <w:r w:rsidRPr="0032048B">
        <w:rPr>
          <w:sz w:val="24"/>
          <w:szCs w:val="24"/>
          <w:lang w:val="sq-AL"/>
        </w:rPr>
        <w:t>sht</w:t>
      </w:r>
      <w:r w:rsidR="005D3CCC" w:rsidRPr="0032048B">
        <w:rPr>
          <w:sz w:val="24"/>
          <w:szCs w:val="24"/>
          <w:lang w:val="sq-AL"/>
        </w:rPr>
        <w:t>ë</w:t>
      </w:r>
      <w:r w:rsidRPr="0032048B">
        <w:rPr>
          <w:sz w:val="24"/>
          <w:szCs w:val="24"/>
          <w:lang w:val="sq-AL"/>
        </w:rPr>
        <w:t xml:space="preserve"> kërkuar mas</w:t>
      </w:r>
      <w:r w:rsidR="005D3CCC" w:rsidRPr="0032048B">
        <w:rPr>
          <w:sz w:val="24"/>
          <w:szCs w:val="24"/>
          <w:lang w:val="sq-AL"/>
        </w:rPr>
        <w:t>ë</w:t>
      </w:r>
      <w:r w:rsidRPr="0032048B">
        <w:rPr>
          <w:sz w:val="24"/>
          <w:szCs w:val="24"/>
          <w:lang w:val="sq-AL"/>
        </w:rPr>
        <w:t xml:space="preserve"> disiplinore nga këshillat. Në shumicën e rasteve kur ILD-ja ka kërkuar shkarkimin nga detyra, këshillat kan</w:t>
      </w:r>
      <w:r w:rsidR="005D3CCC" w:rsidRPr="0032048B">
        <w:rPr>
          <w:sz w:val="24"/>
          <w:szCs w:val="24"/>
          <w:lang w:val="sq-AL"/>
        </w:rPr>
        <w:t>ë</w:t>
      </w:r>
      <w:r w:rsidRPr="0032048B">
        <w:rPr>
          <w:sz w:val="24"/>
          <w:szCs w:val="24"/>
          <w:lang w:val="sq-AL"/>
        </w:rPr>
        <w:t xml:space="preserve"> dh</w:t>
      </w:r>
      <w:r w:rsidR="005D3CCC" w:rsidRPr="0032048B">
        <w:rPr>
          <w:sz w:val="24"/>
          <w:szCs w:val="24"/>
          <w:lang w:val="sq-AL"/>
        </w:rPr>
        <w:t>ë</w:t>
      </w:r>
      <w:r w:rsidRPr="0032048B">
        <w:rPr>
          <w:sz w:val="24"/>
          <w:szCs w:val="24"/>
          <w:lang w:val="sq-AL"/>
        </w:rPr>
        <w:t>n</w:t>
      </w:r>
      <w:r w:rsidR="005D3CCC" w:rsidRPr="0032048B">
        <w:rPr>
          <w:sz w:val="24"/>
          <w:szCs w:val="24"/>
          <w:lang w:val="sq-AL"/>
        </w:rPr>
        <w:t>ë</w:t>
      </w:r>
      <w:r w:rsidRPr="0032048B">
        <w:rPr>
          <w:sz w:val="24"/>
          <w:szCs w:val="24"/>
          <w:lang w:val="sq-AL"/>
        </w:rPr>
        <w:t xml:space="preserve"> një masë më të butë.</w:t>
      </w:r>
    </w:p>
    <w:p w14:paraId="6D30A169" w14:textId="64680724"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ILD-ja i ka propozuar në KLGJ-s</w:t>
      </w:r>
      <w:r w:rsidR="005D3CCC" w:rsidRPr="0032048B">
        <w:rPr>
          <w:sz w:val="24"/>
          <w:szCs w:val="24"/>
          <w:lang w:val="sq-AL"/>
        </w:rPr>
        <w:t>ë</w:t>
      </w:r>
      <w:r w:rsidRPr="0032048B">
        <w:rPr>
          <w:sz w:val="24"/>
          <w:szCs w:val="24"/>
          <w:lang w:val="sq-AL"/>
        </w:rPr>
        <w:t xml:space="preserve"> tre masa disiplinore për gjyqtarët, nga të cilat dy janë ende n</w:t>
      </w:r>
      <w:r w:rsidR="005D3CCC" w:rsidRPr="0032048B">
        <w:rPr>
          <w:sz w:val="24"/>
          <w:szCs w:val="24"/>
          <w:lang w:val="sq-AL"/>
        </w:rPr>
        <w:t>ë</w:t>
      </w:r>
      <w:r w:rsidRPr="0032048B">
        <w:rPr>
          <w:sz w:val="24"/>
          <w:szCs w:val="24"/>
          <w:lang w:val="sq-AL"/>
        </w:rPr>
        <w:t xml:space="preserve"> proces dhe një është zbatuar, por me një ndryshim në masën e propozuar. ILD-ja i ka propozua</w:t>
      </w:r>
      <w:r w:rsidR="00A10A50" w:rsidRPr="0032048B">
        <w:rPr>
          <w:sz w:val="24"/>
          <w:szCs w:val="24"/>
          <w:lang w:val="sq-AL"/>
        </w:rPr>
        <w:t>r</w:t>
      </w:r>
      <w:r w:rsidRPr="0032048B">
        <w:rPr>
          <w:sz w:val="24"/>
          <w:szCs w:val="24"/>
          <w:lang w:val="sq-AL"/>
        </w:rPr>
        <w:t xml:space="preserve"> KLP-s</w:t>
      </w:r>
      <w:r w:rsidR="005D3CCC" w:rsidRPr="0032048B">
        <w:rPr>
          <w:sz w:val="24"/>
          <w:szCs w:val="24"/>
          <w:lang w:val="sq-AL"/>
        </w:rPr>
        <w:t>ë</w:t>
      </w:r>
      <w:r w:rsidRPr="0032048B">
        <w:rPr>
          <w:sz w:val="24"/>
          <w:szCs w:val="24"/>
          <w:lang w:val="sq-AL"/>
        </w:rPr>
        <w:t xml:space="preserve"> tre masa disiplinore për prokurorët, nga të cil</w:t>
      </w:r>
      <w:r w:rsidR="005D3CCC" w:rsidRPr="0032048B">
        <w:rPr>
          <w:sz w:val="24"/>
          <w:szCs w:val="24"/>
          <w:lang w:val="sq-AL"/>
        </w:rPr>
        <w:t>ë</w:t>
      </w:r>
      <w:r w:rsidRPr="0032048B">
        <w:rPr>
          <w:sz w:val="24"/>
          <w:szCs w:val="24"/>
          <w:lang w:val="sq-AL"/>
        </w:rPr>
        <w:t>t nj</w:t>
      </w:r>
      <w:r w:rsidR="005D3CCC" w:rsidRPr="0032048B">
        <w:rPr>
          <w:sz w:val="24"/>
          <w:szCs w:val="24"/>
          <w:lang w:val="sq-AL"/>
        </w:rPr>
        <w:t>ë</w:t>
      </w:r>
      <w:r w:rsidRPr="0032048B">
        <w:rPr>
          <w:sz w:val="24"/>
          <w:szCs w:val="24"/>
          <w:lang w:val="sq-AL"/>
        </w:rPr>
        <w:t xml:space="preserve"> </w:t>
      </w:r>
      <w:r w:rsidR="005D3CCC" w:rsidRPr="0032048B">
        <w:rPr>
          <w:sz w:val="24"/>
          <w:szCs w:val="24"/>
          <w:lang w:val="sq-AL"/>
        </w:rPr>
        <w:t>ë</w:t>
      </w:r>
      <w:r w:rsidRPr="0032048B">
        <w:rPr>
          <w:sz w:val="24"/>
          <w:szCs w:val="24"/>
          <w:lang w:val="sq-AL"/>
        </w:rPr>
        <w:t>sht</w:t>
      </w:r>
      <w:r w:rsidR="005D3CCC" w:rsidRPr="0032048B">
        <w:rPr>
          <w:sz w:val="24"/>
          <w:szCs w:val="24"/>
          <w:lang w:val="sq-AL"/>
        </w:rPr>
        <w:t>ë</w:t>
      </w:r>
      <w:r w:rsidRPr="0032048B">
        <w:rPr>
          <w:sz w:val="24"/>
          <w:szCs w:val="24"/>
          <w:lang w:val="sq-AL"/>
        </w:rPr>
        <w:t xml:space="preserve"> n</w:t>
      </w:r>
      <w:r w:rsidR="005D3CCC" w:rsidRPr="0032048B">
        <w:rPr>
          <w:sz w:val="24"/>
          <w:szCs w:val="24"/>
          <w:lang w:val="sq-AL"/>
        </w:rPr>
        <w:t>ë</w:t>
      </w:r>
      <w:r w:rsidRPr="0032048B">
        <w:rPr>
          <w:sz w:val="24"/>
          <w:szCs w:val="24"/>
          <w:lang w:val="sq-AL"/>
        </w:rPr>
        <w:t xml:space="preserve"> proces dhe dy janë pezulluar.</w:t>
      </w:r>
    </w:p>
    <w:p w14:paraId="7DAD2E7B" w14:textId="77777777"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KLP-ja duhet të fillojë shpejt vlerësimin e të gjithë prokurorëve, duke pasur parasysh mungesën e progresit në periudhën e raportimit.</w:t>
      </w:r>
    </w:p>
    <w:p w14:paraId="77DD0FE7" w14:textId="2D1AA737"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Bashkëpunimi midis institucioneve që qeverisin sistemin e drejtësisë duhet të forcohet më tej. Takimi i rregullt i përgjithshëm midis KLP-s</w:t>
      </w:r>
      <w:r w:rsidR="005D3CCC" w:rsidRPr="0032048B">
        <w:rPr>
          <w:sz w:val="24"/>
          <w:szCs w:val="24"/>
          <w:lang w:val="sq-AL"/>
        </w:rPr>
        <w:t>ë</w:t>
      </w:r>
      <w:r w:rsidRPr="0032048B">
        <w:rPr>
          <w:sz w:val="24"/>
          <w:szCs w:val="24"/>
          <w:lang w:val="sq-AL"/>
        </w:rPr>
        <w:t xml:space="preserve"> dhe KLGJ-s</w:t>
      </w:r>
      <w:r w:rsidR="005D3CCC" w:rsidRPr="0032048B">
        <w:rPr>
          <w:sz w:val="24"/>
          <w:szCs w:val="24"/>
          <w:lang w:val="sq-AL"/>
        </w:rPr>
        <w:t>ë</w:t>
      </w:r>
      <w:r w:rsidRPr="0032048B">
        <w:rPr>
          <w:sz w:val="24"/>
          <w:szCs w:val="24"/>
          <w:lang w:val="sq-AL"/>
        </w:rPr>
        <w:t xml:space="preserve"> </w:t>
      </w:r>
      <w:r w:rsidR="005D3CCC" w:rsidRPr="0032048B">
        <w:rPr>
          <w:sz w:val="24"/>
          <w:szCs w:val="24"/>
          <w:lang w:val="sq-AL"/>
        </w:rPr>
        <w:t>ë</w:t>
      </w:r>
      <w:r w:rsidRPr="0032048B">
        <w:rPr>
          <w:sz w:val="24"/>
          <w:szCs w:val="24"/>
          <w:lang w:val="sq-AL"/>
        </w:rPr>
        <w:t>sht</w:t>
      </w:r>
      <w:r w:rsidR="005D3CCC" w:rsidRPr="0032048B">
        <w:rPr>
          <w:sz w:val="24"/>
          <w:szCs w:val="24"/>
          <w:lang w:val="sq-AL"/>
        </w:rPr>
        <w:t>ë</w:t>
      </w:r>
      <w:r w:rsidRPr="0032048B">
        <w:rPr>
          <w:sz w:val="24"/>
          <w:szCs w:val="24"/>
          <w:lang w:val="sq-AL"/>
        </w:rPr>
        <w:t xml:space="preserve"> zhvilluar vetëm një herë gjatë periudhës së raportimit. K</w:t>
      </w:r>
      <w:r w:rsidR="005D3CCC" w:rsidRPr="0032048B">
        <w:rPr>
          <w:sz w:val="24"/>
          <w:szCs w:val="24"/>
          <w:lang w:val="sq-AL"/>
        </w:rPr>
        <w:t>ë</w:t>
      </w:r>
      <w:r w:rsidRPr="0032048B">
        <w:rPr>
          <w:sz w:val="24"/>
          <w:szCs w:val="24"/>
          <w:lang w:val="sq-AL"/>
        </w:rPr>
        <w:t>rkohet koordinim n</w:t>
      </w:r>
      <w:r w:rsidR="005D3CCC" w:rsidRPr="0032048B">
        <w:rPr>
          <w:sz w:val="24"/>
          <w:szCs w:val="24"/>
          <w:lang w:val="sq-AL"/>
        </w:rPr>
        <w:t>ë</w:t>
      </w:r>
      <w:r w:rsidRPr="0032048B">
        <w:rPr>
          <w:sz w:val="24"/>
          <w:szCs w:val="24"/>
          <w:lang w:val="sq-AL"/>
        </w:rPr>
        <w:t xml:space="preserve"> baza t</w:t>
      </w:r>
      <w:r w:rsidR="005D3CCC" w:rsidRPr="0032048B">
        <w:rPr>
          <w:sz w:val="24"/>
          <w:szCs w:val="24"/>
          <w:lang w:val="sq-AL"/>
        </w:rPr>
        <w:t>ë</w:t>
      </w:r>
      <w:r w:rsidR="004D53EC">
        <w:rPr>
          <w:sz w:val="24"/>
          <w:szCs w:val="24"/>
          <w:lang w:val="sq-AL"/>
        </w:rPr>
        <w:t xml:space="preserve"> </w:t>
      </w:r>
      <w:r w:rsidRPr="0032048B">
        <w:rPr>
          <w:sz w:val="24"/>
          <w:szCs w:val="24"/>
          <w:lang w:val="sq-AL"/>
        </w:rPr>
        <w:t>rregullta.</w:t>
      </w:r>
    </w:p>
    <w:p w14:paraId="76B80E6B" w14:textId="3F2235E2"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Komunikimi strategjik nga ana e</w:t>
      </w:r>
      <w:r w:rsidR="004D53EC">
        <w:rPr>
          <w:sz w:val="24"/>
          <w:szCs w:val="24"/>
          <w:lang w:val="sq-AL"/>
        </w:rPr>
        <w:t xml:space="preserve"> </w:t>
      </w:r>
      <w:r w:rsidRPr="0032048B">
        <w:rPr>
          <w:sz w:val="24"/>
          <w:szCs w:val="24"/>
          <w:lang w:val="sq-AL"/>
        </w:rPr>
        <w:t>institucioneve t</w:t>
      </w:r>
      <w:r w:rsidR="005D3CCC" w:rsidRPr="0032048B">
        <w:rPr>
          <w:sz w:val="24"/>
          <w:szCs w:val="24"/>
          <w:lang w:val="sq-AL"/>
        </w:rPr>
        <w:t>ë</w:t>
      </w:r>
      <w:r w:rsidRPr="0032048B">
        <w:rPr>
          <w:sz w:val="24"/>
          <w:szCs w:val="24"/>
          <w:lang w:val="sq-AL"/>
        </w:rPr>
        <w:t xml:space="preserve"> gjyqësorit për politikat kryesore vazhdon t</w:t>
      </w:r>
      <w:r w:rsidR="005D3CCC" w:rsidRPr="0032048B">
        <w:rPr>
          <w:sz w:val="24"/>
          <w:szCs w:val="24"/>
          <w:lang w:val="sq-AL"/>
        </w:rPr>
        <w:t>ë</w:t>
      </w:r>
      <w:r w:rsidRPr="0032048B">
        <w:rPr>
          <w:sz w:val="24"/>
          <w:szCs w:val="24"/>
          <w:lang w:val="sq-AL"/>
        </w:rPr>
        <w:t xml:space="preserve"> jet</w:t>
      </w:r>
      <w:r w:rsidR="005D3CCC" w:rsidRPr="0032048B">
        <w:rPr>
          <w:sz w:val="24"/>
          <w:szCs w:val="24"/>
          <w:lang w:val="sq-AL"/>
        </w:rPr>
        <w:t>ë</w:t>
      </w:r>
      <w:r w:rsidRPr="0032048B">
        <w:rPr>
          <w:sz w:val="24"/>
          <w:szCs w:val="24"/>
          <w:lang w:val="sq-AL"/>
        </w:rPr>
        <w:t xml:space="preserve"> i dobët. Nevojitet m</w:t>
      </w:r>
      <w:r w:rsidR="005D3CCC" w:rsidRPr="0032048B">
        <w:rPr>
          <w:sz w:val="24"/>
          <w:szCs w:val="24"/>
          <w:lang w:val="sq-AL"/>
        </w:rPr>
        <w:t>ë</w:t>
      </w:r>
      <w:r w:rsidRPr="0032048B">
        <w:rPr>
          <w:sz w:val="24"/>
          <w:szCs w:val="24"/>
          <w:lang w:val="sq-AL"/>
        </w:rPr>
        <w:t xml:space="preserve"> shum</w:t>
      </w:r>
      <w:r w:rsidR="005D3CCC" w:rsidRPr="0032048B">
        <w:rPr>
          <w:sz w:val="24"/>
          <w:szCs w:val="24"/>
          <w:lang w:val="sq-AL"/>
        </w:rPr>
        <w:t>ë</w:t>
      </w:r>
      <w:r w:rsidRPr="0032048B">
        <w:rPr>
          <w:sz w:val="24"/>
          <w:szCs w:val="24"/>
          <w:lang w:val="sq-AL"/>
        </w:rPr>
        <w:t xml:space="preserve"> transparencë lidhur me hapat konkrete për zbatimin e hartës gjyqësore. K</w:t>
      </w:r>
      <w:r w:rsidR="005D3CCC" w:rsidRPr="0032048B">
        <w:rPr>
          <w:sz w:val="24"/>
          <w:szCs w:val="24"/>
          <w:lang w:val="sq-AL"/>
        </w:rPr>
        <w:t>ë</w:t>
      </w:r>
      <w:r w:rsidRPr="0032048B">
        <w:rPr>
          <w:sz w:val="24"/>
          <w:szCs w:val="24"/>
          <w:lang w:val="sq-AL"/>
        </w:rPr>
        <w:t>rkohet komunikim i shpeshtë edhe për politikat kryesore të miratuara nga të dy këshillat, përfshirë informacionin miqësor për lexuesit mbi procedurat e promovimit t</w:t>
      </w:r>
      <w:r w:rsidR="005D3CCC" w:rsidRPr="0032048B">
        <w:rPr>
          <w:sz w:val="24"/>
          <w:szCs w:val="24"/>
          <w:lang w:val="sq-AL"/>
        </w:rPr>
        <w:t>ë</w:t>
      </w:r>
      <w:r w:rsidRPr="0032048B">
        <w:rPr>
          <w:sz w:val="24"/>
          <w:szCs w:val="24"/>
          <w:lang w:val="sq-AL"/>
        </w:rPr>
        <w:t xml:space="preserve"> gjyqtarëve dhe prokurorëve, vlerësimet e rregullta tematike dhe raportet e tjera analitike.</w:t>
      </w:r>
    </w:p>
    <w:p w14:paraId="0E0E28AB" w14:textId="77777777" w:rsidR="00380775" w:rsidRPr="0032048B" w:rsidRDefault="00380775" w:rsidP="00361D5A">
      <w:pPr>
        <w:tabs>
          <w:tab w:val="left" w:pos="1134"/>
        </w:tabs>
        <w:spacing w:before="120"/>
        <w:ind w:left="993" w:right="1067"/>
        <w:jc w:val="both"/>
        <w:rPr>
          <w:sz w:val="24"/>
          <w:szCs w:val="24"/>
          <w:lang w:val="sq-AL"/>
        </w:rPr>
      </w:pPr>
      <w:r w:rsidRPr="0032048B">
        <w:rPr>
          <w:sz w:val="24"/>
          <w:szCs w:val="24"/>
          <w:u w:val="single"/>
          <w:lang w:val="sq-AL"/>
        </w:rPr>
        <w:t>Profesionalizmi dhe aftësitë</w:t>
      </w:r>
    </w:p>
    <w:p w14:paraId="503ADD18" w14:textId="20C2DBCE"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Sistemi për pun</w:t>
      </w:r>
      <w:r w:rsidR="005D3CCC" w:rsidRPr="0032048B">
        <w:rPr>
          <w:sz w:val="24"/>
          <w:szCs w:val="24"/>
          <w:lang w:val="sq-AL"/>
        </w:rPr>
        <w:t>ë</w:t>
      </w:r>
      <w:r w:rsidRPr="0032048B">
        <w:rPr>
          <w:sz w:val="24"/>
          <w:szCs w:val="24"/>
          <w:lang w:val="sq-AL"/>
        </w:rPr>
        <w:t>simin, p</w:t>
      </w:r>
      <w:r w:rsidR="005D3CCC" w:rsidRPr="0032048B">
        <w:rPr>
          <w:sz w:val="24"/>
          <w:szCs w:val="24"/>
          <w:lang w:val="sq-AL"/>
        </w:rPr>
        <w:t>ë</w:t>
      </w:r>
      <w:r w:rsidRPr="0032048B">
        <w:rPr>
          <w:sz w:val="24"/>
          <w:szCs w:val="24"/>
          <w:lang w:val="sq-AL"/>
        </w:rPr>
        <w:t>rzgjedhjen, emërimin, transferimin dhe shkarkimin e gjyqtarëve dhe prokurorëve menaxhohet ekskluzivisht nga institucionet e vetëqeverisjes së gjyqësorit. Zbatimi i vazhdueshëm i reformës gjyqësore ka ulur ndikimin politik gjatë gjithë procesit të emërimit, duke kontribuar kështu në sigurimin e një sistemi karriere më të bazuar në meritë. Vendi i lirë në Gjykatën Kushtetuese u plotësua në dhjetor 2022. Procesi i vlerësimit, përfshirë renditjen e kandidatëve, duhet të jetë më transparent dhe të lejojë më shumë konkurrencë, në përputhje me rekomandimet e Komisionit të Venecias.</w:t>
      </w:r>
    </w:p>
    <w:p w14:paraId="7D40CBAA" w14:textId="0E52FEF7"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 xml:space="preserve">Gjykata e Lartë vazhdoi të zvogëlojë numrin e </w:t>
      </w:r>
      <w:r w:rsidR="00A10A50" w:rsidRPr="0032048B">
        <w:rPr>
          <w:sz w:val="24"/>
          <w:szCs w:val="24"/>
          <w:lang w:val="sq-AL"/>
        </w:rPr>
        <w:t>çështjeve</w:t>
      </w:r>
      <w:r w:rsidRPr="0032048B">
        <w:rPr>
          <w:sz w:val="24"/>
          <w:szCs w:val="24"/>
          <w:lang w:val="sq-AL"/>
        </w:rPr>
        <w:t xml:space="preserve"> t</w:t>
      </w:r>
      <w:r w:rsidR="005D3CCC" w:rsidRPr="0032048B">
        <w:rPr>
          <w:sz w:val="24"/>
          <w:szCs w:val="24"/>
          <w:lang w:val="sq-AL"/>
        </w:rPr>
        <w:t>ë</w:t>
      </w:r>
      <w:r w:rsidRPr="0032048B">
        <w:rPr>
          <w:sz w:val="24"/>
          <w:szCs w:val="24"/>
          <w:lang w:val="sq-AL"/>
        </w:rPr>
        <w:t xml:space="preserve"> prapambetura, por ky num</w:t>
      </w:r>
      <w:r w:rsidR="005D3CCC" w:rsidRPr="0032048B">
        <w:rPr>
          <w:sz w:val="24"/>
          <w:szCs w:val="24"/>
          <w:lang w:val="sq-AL"/>
        </w:rPr>
        <w:t>ë</w:t>
      </w:r>
      <w:r w:rsidRPr="0032048B">
        <w:rPr>
          <w:sz w:val="24"/>
          <w:szCs w:val="24"/>
          <w:lang w:val="sq-AL"/>
        </w:rPr>
        <w:t>r mbetet shumë i lartë, dhe më shumë përpjekje, përfshirë gjyqtarët shtesë dhe këshilltarët ligjorë, janë të nevojshme për të ndihmuar në uljen e m</w:t>
      </w:r>
      <w:r w:rsidR="005D3CCC" w:rsidRPr="0032048B">
        <w:rPr>
          <w:sz w:val="24"/>
          <w:szCs w:val="24"/>
          <w:lang w:val="sq-AL"/>
        </w:rPr>
        <w:t>ë</w:t>
      </w:r>
      <w:r w:rsidRPr="0032048B">
        <w:rPr>
          <w:sz w:val="24"/>
          <w:szCs w:val="24"/>
          <w:lang w:val="sq-AL"/>
        </w:rPr>
        <w:t>tejshme t</w:t>
      </w:r>
      <w:r w:rsidR="005D3CCC" w:rsidRPr="0032048B">
        <w:rPr>
          <w:sz w:val="24"/>
          <w:szCs w:val="24"/>
          <w:lang w:val="sq-AL"/>
        </w:rPr>
        <w:t>ë</w:t>
      </w:r>
      <w:r w:rsidRPr="0032048B">
        <w:rPr>
          <w:sz w:val="24"/>
          <w:szCs w:val="24"/>
          <w:lang w:val="sq-AL"/>
        </w:rPr>
        <w:t xml:space="preserve"> stokut t</w:t>
      </w:r>
      <w:r w:rsidR="005D3CCC" w:rsidRPr="0032048B">
        <w:rPr>
          <w:sz w:val="24"/>
          <w:szCs w:val="24"/>
          <w:lang w:val="sq-AL"/>
        </w:rPr>
        <w:t>ë</w:t>
      </w:r>
      <w:r w:rsidRPr="0032048B">
        <w:rPr>
          <w:sz w:val="24"/>
          <w:szCs w:val="24"/>
          <w:lang w:val="sq-AL"/>
        </w:rPr>
        <w:t xml:space="preserve"> </w:t>
      </w:r>
      <w:r w:rsidR="00A10A50" w:rsidRPr="0032048B">
        <w:rPr>
          <w:sz w:val="24"/>
          <w:szCs w:val="24"/>
          <w:lang w:val="sq-AL"/>
        </w:rPr>
        <w:t>çështjeve</w:t>
      </w:r>
      <w:r w:rsidRPr="0032048B">
        <w:rPr>
          <w:sz w:val="24"/>
          <w:szCs w:val="24"/>
          <w:lang w:val="sq-AL"/>
        </w:rPr>
        <w:t xml:space="preserve"> t</w:t>
      </w:r>
      <w:r w:rsidR="005D3CCC" w:rsidRPr="0032048B">
        <w:rPr>
          <w:sz w:val="24"/>
          <w:szCs w:val="24"/>
          <w:lang w:val="sq-AL"/>
        </w:rPr>
        <w:t>ë</w:t>
      </w:r>
      <w:r w:rsidRPr="0032048B">
        <w:rPr>
          <w:sz w:val="24"/>
          <w:szCs w:val="24"/>
          <w:lang w:val="sq-AL"/>
        </w:rPr>
        <w:t xml:space="preserve"> prapambetura.</w:t>
      </w:r>
    </w:p>
    <w:p w14:paraId="39D232D1" w14:textId="77777777" w:rsidR="00380775" w:rsidRPr="0032048B" w:rsidRDefault="00380775" w:rsidP="00361D5A">
      <w:pPr>
        <w:tabs>
          <w:tab w:val="left" w:pos="1134"/>
        </w:tabs>
        <w:spacing w:before="119"/>
        <w:ind w:left="993" w:right="1067"/>
        <w:jc w:val="both"/>
        <w:rPr>
          <w:sz w:val="24"/>
          <w:szCs w:val="24"/>
          <w:lang w:val="sq-AL"/>
        </w:rPr>
      </w:pPr>
      <w:r w:rsidRPr="0032048B">
        <w:rPr>
          <w:sz w:val="24"/>
          <w:szCs w:val="24"/>
          <w:u w:val="single"/>
          <w:lang w:val="sq-AL"/>
        </w:rPr>
        <w:t>Cilësia e drejtësisë</w:t>
      </w:r>
    </w:p>
    <w:p w14:paraId="4FF451B8" w14:textId="1836A789"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Janë ndërmarrë disa veprime pozitive p</w:t>
      </w:r>
      <w:r w:rsidR="005D3CCC" w:rsidRPr="0032048B">
        <w:rPr>
          <w:sz w:val="24"/>
          <w:szCs w:val="24"/>
          <w:lang w:val="sq-AL"/>
        </w:rPr>
        <w:t>ë</w:t>
      </w:r>
      <w:r w:rsidRPr="0032048B">
        <w:rPr>
          <w:sz w:val="24"/>
          <w:szCs w:val="24"/>
          <w:lang w:val="sq-AL"/>
        </w:rPr>
        <w:t>r ta b</w:t>
      </w:r>
      <w:r w:rsidR="005D3CCC" w:rsidRPr="0032048B">
        <w:rPr>
          <w:sz w:val="24"/>
          <w:szCs w:val="24"/>
          <w:lang w:val="sq-AL"/>
        </w:rPr>
        <w:t>ë</w:t>
      </w:r>
      <w:r w:rsidRPr="0032048B">
        <w:rPr>
          <w:sz w:val="24"/>
          <w:szCs w:val="24"/>
          <w:lang w:val="sq-AL"/>
        </w:rPr>
        <w:t>r</w:t>
      </w:r>
      <w:r w:rsidR="005D3CCC" w:rsidRPr="0032048B">
        <w:rPr>
          <w:sz w:val="24"/>
          <w:szCs w:val="24"/>
          <w:lang w:val="sq-AL"/>
        </w:rPr>
        <w:t>ë</w:t>
      </w:r>
      <w:r w:rsidRPr="0032048B">
        <w:rPr>
          <w:sz w:val="24"/>
          <w:szCs w:val="24"/>
          <w:lang w:val="sq-AL"/>
        </w:rPr>
        <w:t xml:space="preserve"> m</w:t>
      </w:r>
      <w:r w:rsidR="005D3CCC" w:rsidRPr="0032048B">
        <w:rPr>
          <w:sz w:val="24"/>
          <w:szCs w:val="24"/>
          <w:lang w:val="sq-AL"/>
        </w:rPr>
        <w:t>ë</w:t>
      </w:r>
      <w:r w:rsidRPr="0032048B">
        <w:rPr>
          <w:sz w:val="24"/>
          <w:szCs w:val="24"/>
          <w:lang w:val="sq-AL"/>
        </w:rPr>
        <w:t xml:space="preserve"> t</w:t>
      </w:r>
      <w:r w:rsidR="005D3CCC" w:rsidRPr="0032048B">
        <w:rPr>
          <w:sz w:val="24"/>
          <w:szCs w:val="24"/>
          <w:lang w:val="sq-AL"/>
        </w:rPr>
        <w:t>ë</w:t>
      </w:r>
      <w:r w:rsidRPr="0032048B">
        <w:rPr>
          <w:sz w:val="24"/>
          <w:szCs w:val="24"/>
          <w:lang w:val="sq-AL"/>
        </w:rPr>
        <w:t xml:space="preserve"> p</w:t>
      </w:r>
      <w:r w:rsidR="005D3CCC" w:rsidRPr="0032048B">
        <w:rPr>
          <w:sz w:val="24"/>
          <w:szCs w:val="24"/>
          <w:lang w:val="sq-AL"/>
        </w:rPr>
        <w:t>ë</w:t>
      </w:r>
      <w:r w:rsidRPr="0032048B">
        <w:rPr>
          <w:sz w:val="24"/>
          <w:szCs w:val="24"/>
          <w:lang w:val="sq-AL"/>
        </w:rPr>
        <w:t>rshtatsh</w:t>
      </w:r>
      <w:r w:rsidR="005D3CCC" w:rsidRPr="0032048B">
        <w:rPr>
          <w:sz w:val="24"/>
          <w:szCs w:val="24"/>
          <w:lang w:val="sq-AL"/>
        </w:rPr>
        <w:t>ë</w:t>
      </w:r>
      <w:r w:rsidRPr="0032048B">
        <w:rPr>
          <w:sz w:val="24"/>
          <w:szCs w:val="24"/>
          <w:lang w:val="sq-AL"/>
        </w:rPr>
        <w:t xml:space="preserve">m programin e trajnimit të </w:t>
      </w:r>
      <w:r w:rsidRPr="0032048B">
        <w:rPr>
          <w:sz w:val="24"/>
          <w:szCs w:val="24"/>
          <w:lang w:val="sq-AL"/>
        </w:rPr>
        <w:lastRenderedPageBreak/>
        <w:t>vazhdueshëm në periudhën e raportimit. Cilësia e përgjithshme e trajnimit fillestar dhe të vazhdueshëm në Shkollën e Magjistraturës (SHM) kërkon përmirësim të mëtejshëm. N</w:t>
      </w:r>
      <w:r w:rsidR="005D3CCC" w:rsidRPr="0032048B">
        <w:rPr>
          <w:sz w:val="24"/>
          <w:szCs w:val="24"/>
          <w:lang w:val="sq-AL"/>
        </w:rPr>
        <w:t>ë</w:t>
      </w:r>
      <w:r w:rsidRPr="0032048B">
        <w:rPr>
          <w:sz w:val="24"/>
          <w:szCs w:val="24"/>
          <w:lang w:val="sq-AL"/>
        </w:rPr>
        <w:t xml:space="preserve"> vijim t</w:t>
      </w:r>
      <w:r w:rsidR="005D3CCC" w:rsidRPr="0032048B">
        <w:rPr>
          <w:sz w:val="24"/>
          <w:szCs w:val="24"/>
          <w:lang w:val="sq-AL"/>
        </w:rPr>
        <w:t>ë</w:t>
      </w:r>
      <w:r w:rsidRPr="0032048B">
        <w:rPr>
          <w:sz w:val="24"/>
          <w:szCs w:val="24"/>
          <w:lang w:val="sq-AL"/>
        </w:rPr>
        <w:t xml:space="preserve"> përpjekjeve t</w:t>
      </w:r>
      <w:r w:rsidR="005D3CCC" w:rsidRPr="0032048B">
        <w:rPr>
          <w:sz w:val="24"/>
          <w:szCs w:val="24"/>
          <w:lang w:val="sq-AL"/>
        </w:rPr>
        <w:t>ë</w:t>
      </w:r>
      <w:r w:rsidRPr="0032048B">
        <w:rPr>
          <w:sz w:val="24"/>
          <w:szCs w:val="24"/>
          <w:lang w:val="sq-AL"/>
        </w:rPr>
        <w:t xml:space="preserve"> bëra në vitet e kaluara, ende nevojitet rritja e numrit dhe cilësisë së grupeve të studentëve dhe të diplomuarve duke p</w:t>
      </w:r>
      <w:r w:rsidR="005D3CCC" w:rsidRPr="0032048B">
        <w:rPr>
          <w:sz w:val="24"/>
          <w:szCs w:val="24"/>
          <w:lang w:val="sq-AL"/>
        </w:rPr>
        <w:t>ë</w:t>
      </w:r>
      <w:r w:rsidRPr="0032048B">
        <w:rPr>
          <w:sz w:val="24"/>
          <w:szCs w:val="24"/>
          <w:lang w:val="sq-AL"/>
        </w:rPr>
        <w:t>rb</w:t>
      </w:r>
      <w:r w:rsidR="005D3CCC" w:rsidRPr="0032048B">
        <w:rPr>
          <w:sz w:val="24"/>
          <w:szCs w:val="24"/>
          <w:lang w:val="sq-AL"/>
        </w:rPr>
        <w:t>ë</w:t>
      </w:r>
      <w:r w:rsidRPr="0032048B">
        <w:rPr>
          <w:sz w:val="24"/>
          <w:szCs w:val="24"/>
          <w:lang w:val="sq-AL"/>
        </w:rPr>
        <w:t>r</w:t>
      </w:r>
      <w:r w:rsidR="005D3CCC" w:rsidRPr="0032048B">
        <w:rPr>
          <w:sz w:val="24"/>
          <w:szCs w:val="24"/>
          <w:lang w:val="sq-AL"/>
        </w:rPr>
        <w:t>ë</w:t>
      </w:r>
      <w:r w:rsidRPr="0032048B">
        <w:rPr>
          <w:sz w:val="24"/>
          <w:szCs w:val="24"/>
          <w:lang w:val="sq-AL"/>
        </w:rPr>
        <w:t xml:space="preserve"> nj</w:t>
      </w:r>
      <w:r w:rsidR="005D3CCC" w:rsidRPr="0032048B">
        <w:rPr>
          <w:sz w:val="24"/>
          <w:szCs w:val="24"/>
          <w:lang w:val="sq-AL"/>
        </w:rPr>
        <w:t>ë</w:t>
      </w:r>
      <w:r w:rsidR="004D53EC">
        <w:rPr>
          <w:sz w:val="24"/>
          <w:szCs w:val="24"/>
          <w:lang w:val="sq-AL"/>
        </w:rPr>
        <w:t xml:space="preserve"> </w:t>
      </w:r>
      <w:r w:rsidRPr="0032048B">
        <w:rPr>
          <w:sz w:val="24"/>
          <w:szCs w:val="24"/>
          <w:lang w:val="sq-AL"/>
        </w:rPr>
        <w:t>çështje përparësie për plot</w:t>
      </w:r>
      <w:r w:rsidR="005D3CCC" w:rsidRPr="0032048B">
        <w:rPr>
          <w:sz w:val="24"/>
          <w:szCs w:val="24"/>
          <w:lang w:val="sq-AL"/>
        </w:rPr>
        <w:t>ë</w:t>
      </w:r>
      <w:r w:rsidRPr="0032048B">
        <w:rPr>
          <w:sz w:val="24"/>
          <w:szCs w:val="24"/>
          <w:lang w:val="sq-AL"/>
        </w:rPr>
        <w:t>simin e vendeve t</w:t>
      </w:r>
      <w:r w:rsidR="005D3CCC" w:rsidRPr="0032048B">
        <w:rPr>
          <w:sz w:val="24"/>
          <w:szCs w:val="24"/>
          <w:lang w:val="sq-AL"/>
        </w:rPr>
        <w:t>ë</w:t>
      </w:r>
      <w:r w:rsidRPr="0032048B">
        <w:rPr>
          <w:sz w:val="24"/>
          <w:szCs w:val="24"/>
          <w:lang w:val="sq-AL"/>
        </w:rPr>
        <w:t xml:space="preserve"> lira n</w:t>
      </w:r>
      <w:r w:rsidR="005D3CCC" w:rsidRPr="0032048B">
        <w:rPr>
          <w:sz w:val="24"/>
          <w:szCs w:val="24"/>
          <w:lang w:val="sq-AL"/>
        </w:rPr>
        <w:t>ë</w:t>
      </w:r>
      <w:r w:rsidRPr="0032048B">
        <w:rPr>
          <w:sz w:val="24"/>
          <w:szCs w:val="24"/>
          <w:lang w:val="sq-AL"/>
        </w:rPr>
        <w:t xml:space="preserve"> gjyqësor dhe p</w:t>
      </w:r>
      <w:r w:rsidR="005D3CCC" w:rsidRPr="0032048B">
        <w:rPr>
          <w:sz w:val="24"/>
          <w:szCs w:val="24"/>
          <w:lang w:val="sq-AL"/>
        </w:rPr>
        <w:t>ë</w:t>
      </w:r>
      <w:r w:rsidR="000C6EFC" w:rsidRPr="0032048B">
        <w:rPr>
          <w:sz w:val="24"/>
          <w:szCs w:val="24"/>
          <w:lang w:val="sq-AL"/>
        </w:rPr>
        <w:t xml:space="preserve">rballuar sfidat e </w:t>
      </w:r>
      <w:proofErr w:type="spellStart"/>
      <w:r w:rsidR="000C6EFC" w:rsidRPr="0032048B">
        <w:rPr>
          <w:sz w:val="24"/>
          <w:szCs w:val="24"/>
          <w:lang w:val="sq-AL"/>
        </w:rPr>
        <w:t>efic</w:t>
      </w:r>
      <w:r w:rsidRPr="0032048B">
        <w:rPr>
          <w:sz w:val="24"/>
          <w:szCs w:val="24"/>
          <w:lang w:val="sq-AL"/>
        </w:rPr>
        <w:t>ens</w:t>
      </w:r>
      <w:r w:rsidR="005D3CCC" w:rsidRPr="0032048B">
        <w:rPr>
          <w:sz w:val="24"/>
          <w:szCs w:val="24"/>
          <w:lang w:val="sq-AL"/>
        </w:rPr>
        <w:t>ë</w:t>
      </w:r>
      <w:r w:rsidRPr="0032048B">
        <w:rPr>
          <w:sz w:val="24"/>
          <w:szCs w:val="24"/>
          <w:lang w:val="sq-AL"/>
        </w:rPr>
        <w:t>s</w:t>
      </w:r>
      <w:proofErr w:type="spellEnd"/>
      <w:r w:rsidRPr="0032048B">
        <w:rPr>
          <w:sz w:val="24"/>
          <w:szCs w:val="24"/>
          <w:lang w:val="sq-AL"/>
        </w:rPr>
        <w:t xml:space="preserve"> të sistemit gjyqësor. Sidoqoftë, për vitin akademik 2022-2023, pranimi i studentëve të rinj u ul pak në krahasim me mandatin e mëparshëm. Nga 96 vendet në dispozicion në SHM, vetëm 66 studentë u pranuan për 2023-2024. Për më tepër, SHM duhet të vazhdojë të përmirësojë cilësinë e pranimeve t</w:t>
      </w:r>
      <w:r w:rsidR="005D3CCC" w:rsidRPr="0032048B">
        <w:rPr>
          <w:sz w:val="24"/>
          <w:szCs w:val="24"/>
          <w:lang w:val="sq-AL"/>
        </w:rPr>
        <w:t>ë</w:t>
      </w:r>
      <w:r w:rsidRPr="0032048B">
        <w:rPr>
          <w:sz w:val="24"/>
          <w:szCs w:val="24"/>
          <w:lang w:val="sq-AL"/>
        </w:rPr>
        <w:t xml:space="preserve"> reja dhe t</w:t>
      </w:r>
      <w:r w:rsidR="005D3CCC" w:rsidRPr="0032048B">
        <w:rPr>
          <w:sz w:val="24"/>
          <w:szCs w:val="24"/>
          <w:lang w:val="sq-AL"/>
        </w:rPr>
        <w:t>ë</w:t>
      </w:r>
      <w:r w:rsidRPr="0032048B">
        <w:rPr>
          <w:sz w:val="24"/>
          <w:szCs w:val="24"/>
          <w:lang w:val="sq-AL"/>
        </w:rPr>
        <w:t xml:space="preserve"> </w:t>
      </w:r>
      <w:proofErr w:type="spellStart"/>
      <w:r w:rsidRPr="0032048B">
        <w:rPr>
          <w:sz w:val="24"/>
          <w:szCs w:val="24"/>
          <w:lang w:val="sq-AL"/>
        </w:rPr>
        <w:t>të</w:t>
      </w:r>
      <w:proofErr w:type="spellEnd"/>
      <w:r w:rsidRPr="0032048B">
        <w:rPr>
          <w:sz w:val="24"/>
          <w:szCs w:val="24"/>
          <w:lang w:val="sq-AL"/>
        </w:rPr>
        <w:t xml:space="preserve"> diplomuarve, përfshirë p</w:t>
      </w:r>
      <w:r w:rsidR="005D3CCC" w:rsidRPr="0032048B">
        <w:rPr>
          <w:sz w:val="24"/>
          <w:szCs w:val="24"/>
          <w:lang w:val="sq-AL"/>
        </w:rPr>
        <w:t>ë</w:t>
      </w:r>
      <w:r w:rsidRPr="0032048B">
        <w:rPr>
          <w:sz w:val="24"/>
          <w:szCs w:val="24"/>
          <w:lang w:val="sq-AL"/>
        </w:rPr>
        <w:t>rmes një rishikimi t</w:t>
      </w:r>
      <w:r w:rsidR="005D3CCC" w:rsidRPr="0032048B">
        <w:rPr>
          <w:sz w:val="24"/>
          <w:szCs w:val="24"/>
          <w:lang w:val="sq-AL"/>
        </w:rPr>
        <w:t>ë</w:t>
      </w:r>
      <w:r w:rsidRPr="0032048B">
        <w:rPr>
          <w:sz w:val="24"/>
          <w:szCs w:val="24"/>
          <w:lang w:val="sq-AL"/>
        </w:rPr>
        <w:t>r</w:t>
      </w:r>
      <w:r w:rsidR="005D3CCC" w:rsidRPr="0032048B">
        <w:rPr>
          <w:sz w:val="24"/>
          <w:szCs w:val="24"/>
          <w:lang w:val="sq-AL"/>
        </w:rPr>
        <w:t>ë</w:t>
      </w:r>
      <w:r w:rsidRPr="0032048B">
        <w:rPr>
          <w:sz w:val="24"/>
          <w:szCs w:val="24"/>
          <w:lang w:val="sq-AL"/>
        </w:rPr>
        <w:t>sor të provimit të hyrjes në përputhje me standardet evropiane. Ende nuk ka një projeksion t</w:t>
      </w:r>
      <w:r w:rsidR="005D3CCC" w:rsidRPr="0032048B">
        <w:rPr>
          <w:sz w:val="24"/>
          <w:szCs w:val="24"/>
          <w:lang w:val="sq-AL"/>
        </w:rPr>
        <w:t>ë</w:t>
      </w:r>
      <w:r w:rsidRPr="0032048B">
        <w:rPr>
          <w:sz w:val="24"/>
          <w:szCs w:val="24"/>
          <w:lang w:val="sq-AL"/>
        </w:rPr>
        <w:t xml:space="preserve"> plot</w:t>
      </w:r>
      <w:r w:rsidR="005D3CCC" w:rsidRPr="0032048B">
        <w:rPr>
          <w:sz w:val="24"/>
          <w:szCs w:val="24"/>
          <w:lang w:val="sq-AL"/>
        </w:rPr>
        <w:t>ë</w:t>
      </w:r>
      <w:r w:rsidRPr="0032048B">
        <w:rPr>
          <w:sz w:val="24"/>
          <w:szCs w:val="24"/>
          <w:lang w:val="sq-AL"/>
        </w:rPr>
        <w:t xml:space="preserve"> analitik t</w:t>
      </w:r>
      <w:r w:rsidR="005D3CCC" w:rsidRPr="0032048B">
        <w:rPr>
          <w:sz w:val="24"/>
          <w:szCs w:val="24"/>
          <w:lang w:val="sq-AL"/>
        </w:rPr>
        <w:t>ë</w:t>
      </w:r>
      <w:r w:rsidRPr="0032048B">
        <w:rPr>
          <w:sz w:val="24"/>
          <w:szCs w:val="24"/>
          <w:lang w:val="sq-AL"/>
        </w:rPr>
        <w:t xml:space="preserve"> nevojave afatshkurtra dhe afatgjata të sistemit gjyqësor, përfshirë edhe numrin e magjistratëve. Ky projeksion</w:t>
      </w:r>
      <w:r w:rsidR="004D53EC">
        <w:rPr>
          <w:sz w:val="24"/>
          <w:szCs w:val="24"/>
          <w:lang w:val="sq-AL"/>
        </w:rPr>
        <w:t xml:space="preserve"> </w:t>
      </w:r>
      <w:r w:rsidRPr="0032048B">
        <w:rPr>
          <w:sz w:val="24"/>
          <w:szCs w:val="24"/>
          <w:lang w:val="sq-AL"/>
        </w:rPr>
        <w:t>duhet të marrë parasysh stokun e prapambetur, zbatimin e hartës s</w:t>
      </w:r>
      <w:r w:rsidR="005D3CCC" w:rsidRPr="0032048B">
        <w:rPr>
          <w:sz w:val="24"/>
          <w:szCs w:val="24"/>
          <w:lang w:val="sq-AL"/>
        </w:rPr>
        <w:t>ë</w:t>
      </w:r>
      <w:r w:rsidRPr="0032048B">
        <w:rPr>
          <w:sz w:val="24"/>
          <w:szCs w:val="24"/>
          <w:lang w:val="sq-AL"/>
        </w:rPr>
        <w:t xml:space="preserve"> re gjyqësore dhe rezultatet e rivler</w:t>
      </w:r>
      <w:r w:rsidR="005D3CCC" w:rsidRPr="0032048B">
        <w:rPr>
          <w:sz w:val="24"/>
          <w:szCs w:val="24"/>
          <w:lang w:val="sq-AL"/>
        </w:rPr>
        <w:t>ë</w:t>
      </w:r>
      <w:r w:rsidRPr="0032048B">
        <w:rPr>
          <w:sz w:val="24"/>
          <w:szCs w:val="24"/>
          <w:lang w:val="sq-AL"/>
        </w:rPr>
        <w:t>simit kalimtar. SHM-ja duhet të intensifikojë përpjekjet për të përmirësuar cilësinë e stafit akademik dhe për të siguruar një proces rekrutimi konkurrues dhe transparent. Metodologjia e trajnimit të vazhdueshëm duhet të përmirësohet dhe duhet të bazohet në vlerësimin e rregullt të nevojave. SHM-ja duhet të publikojë analizën e sondazheve të cil</w:t>
      </w:r>
      <w:r w:rsidR="005D3CCC" w:rsidRPr="0032048B">
        <w:rPr>
          <w:sz w:val="24"/>
          <w:szCs w:val="24"/>
          <w:lang w:val="sq-AL"/>
        </w:rPr>
        <w:t>ë</w:t>
      </w:r>
      <w:r w:rsidRPr="0032048B">
        <w:rPr>
          <w:sz w:val="24"/>
          <w:szCs w:val="24"/>
          <w:lang w:val="sq-AL"/>
        </w:rPr>
        <w:t>sis</w:t>
      </w:r>
      <w:r w:rsidR="005D3CCC" w:rsidRPr="0032048B">
        <w:rPr>
          <w:sz w:val="24"/>
          <w:szCs w:val="24"/>
          <w:lang w:val="sq-AL"/>
        </w:rPr>
        <w:t>ë</w:t>
      </w:r>
      <w:r w:rsidRPr="0032048B">
        <w:rPr>
          <w:sz w:val="24"/>
          <w:szCs w:val="24"/>
          <w:lang w:val="sq-AL"/>
        </w:rPr>
        <w:t xml:space="preserve"> për trajnimin e vazhdueshëm dhe të miratojë një metodologji për të kryer vlerësime të rregullta të nevojave. Trajnimi fillestar duhet të rishikohet në mënyrë thelbësore për të qenë më në përputhje me objektivin e specializimit dhe për t’u fokusuar më shumë tek trajnimi praktik, veçanërisht në shkrimin dhe arsyetimin ligjor. Trajnimi, gjithashtu, duhet të përfshijë një </w:t>
      </w:r>
      <w:proofErr w:type="spellStart"/>
      <w:r w:rsidRPr="0032048B">
        <w:rPr>
          <w:sz w:val="24"/>
          <w:szCs w:val="24"/>
          <w:lang w:val="sq-AL"/>
        </w:rPr>
        <w:t>kurrikul</w:t>
      </w:r>
      <w:proofErr w:type="spellEnd"/>
      <w:r w:rsidRPr="0032048B">
        <w:rPr>
          <w:sz w:val="24"/>
          <w:szCs w:val="24"/>
          <w:lang w:val="sq-AL"/>
        </w:rPr>
        <w:t xml:space="preserve"> specifike për legjislacionin e BE-së. Buxheti i përgjithshëm i </w:t>
      </w:r>
      <w:proofErr w:type="spellStart"/>
      <w:r w:rsidRPr="0032048B">
        <w:rPr>
          <w:sz w:val="24"/>
          <w:szCs w:val="24"/>
          <w:lang w:val="sq-AL"/>
        </w:rPr>
        <w:t>alokuar</w:t>
      </w:r>
      <w:proofErr w:type="spellEnd"/>
      <w:r w:rsidRPr="0032048B">
        <w:rPr>
          <w:sz w:val="24"/>
          <w:szCs w:val="24"/>
          <w:lang w:val="sq-AL"/>
        </w:rPr>
        <w:t xml:space="preserve"> për iniciativat e trajnimit në SHM në 2022 arriti në 2.7 milion EURO, krahasuar me 2.9 milion EURO në vitin e kaluar. Si an</w:t>
      </w:r>
      <w:r w:rsidR="005D3CCC" w:rsidRPr="0032048B">
        <w:rPr>
          <w:sz w:val="24"/>
          <w:szCs w:val="24"/>
          <w:lang w:val="sq-AL"/>
        </w:rPr>
        <w:t>ë</w:t>
      </w:r>
      <w:r w:rsidRPr="0032048B">
        <w:rPr>
          <w:sz w:val="24"/>
          <w:szCs w:val="24"/>
          <w:lang w:val="sq-AL"/>
        </w:rPr>
        <w:t xml:space="preserve">tare vëzhguese e Rrjetit Evropian të Trajnimit Gjyqësor (EJTN), SHM-ja duhet të jetë më </w:t>
      </w:r>
      <w:proofErr w:type="spellStart"/>
      <w:r w:rsidRPr="0032048B">
        <w:rPr>
          <w:sz w:val="24"/>
          <w:szCs w:val="24"/>
          <w:lang w:val="sq-AL"/>
        </w:rPr>
        <w:t>proaktive</w:t>
      </w:r>
      <w:proofErr w:type="spellEnd"/>
      <w:r w:rsidRPr="0032048B">
        <w:rPr>
          <w:sz w:val="24"/>
          <w:szCs w:val="24"/>
          <w:lang w:val="sq-AL"/>
        </w:rPr>
        <w:t xml:space="preserve"> në përfitimin nga aktivitetet dhe ekspertiza e rrjetit.</w:t>
      </w:r>
    </w:p>
    <w:p w14:paraId="6AEFD8DB" w14:textId="40D985C4"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Cilësia e vendimeve përfundimtare të gjykatave duhet të përmirësohet më tej. KLGJ-ja dhe Gjykata e Lartë kanë ndërmarrë disa hapa drejt p</w:t>
      </w:r>
      <w:r w:rsidR="005D3CCC" w:rsidRPr="0032048B">
        <w:rPr>
          <w:sz w:val="24"/>
          <w:szCs w:val="24"/>
          <w:lang w:val="sq-AL"/>
        </w:rPr>
        <w:t>ë</w:t>
      </w:r>
      <w:r w:rsidRPr="0032048B">
        <w:rPr>
          <w:sz w:val="24"/>
          <w:szCs w:val="24"/>
          <w:lang w:val="sq-AL"/>
        </w:rPr>
        <w:t>rhapjes dhe unifikimit të praktikës gjyqësore, e cila megjithatë kërkon konsolidim të mëtejshëm. Qasja në vendimet plot</w:t>
      </w:r>
      <w:r w:rsidR="005D3CCC" w:rsidRPr="0032048B">
        <w:rPr>
          <w:sz w:val="24"/>
          <w:szCs w:val="24"/>
          <w:lang w:val="sq-AL"/>
        </w:rPr>
        <w:t>ë</w:t>
      </w:r>
      <w:r w:rsidRPr="0032048B">
        <w:rPr>
          <w:sz w:val="24"/>
          <w:szCs w:val="24"/>
          <w:lang w:val="sq-AL"/>
        </w:rPr>
        <w:t>sisht t</w:t>
      </w:r>
      <w:r w:rsidR="005D3CCC" w:rsidRPr="0032048B">
        <w:rPr>
          <w:sz w:val="24"/>
          <w:szCs w:val="24"/>
          <w:lang w:val="sq-AL"/>
        </w:rPr>
        <w:t>ë</w:t>
      </w:r>
      <w:r w:rsidRPr="0032048B">
        <w:rPr>
          <w:sz w:val="24"/>
          <w:szCs w:val="24"/>
          <w:lang w:val="sq-AL"/>
        </w:rPr>
        <w:t xml:space="preserve"> </w:t>
      </w:r>
      <w:r w:rsidR="00A10A50" w:rsidRPr="0032048B">
        <w:rPr>
          <w:sz w:val="24"/>
          <w:szCs w:val="24"/>
          <w:lang w:val="sq-AL"/>
        </w:rPr>
        <w:t>arsyetuara</w:t>
      </w:r>
      <w:r w:rsidRPr="0032048B">
        <w:rPr>
          <w:sz w:val="24"/>
          <w:szCs w:val="24"/>
          <w:lang w:val="sq-AL"/>
        </w:rPr>
        <w:t xml:space="preserve"> dhe botimi i tyre në kohën e duhur mbetet shumë i kufizuar.</w:t>
      </w:r>
    </w:p>
    <w:p w14:paraId="0E5F41AC" w14:textId="7ECEF1FD"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Në 2022, Shqipëria kishte 11.4 gjyqtarë për 100 000 banorë (318 gjyqtarë) dhe më pak se 8 prokurorë për 100 000 banorë (202 prokurorë me kohë të plotë) sip</w:t>
      </w:r>
      <w:r w:rsidR="000C6EFC" w:rsidRPr="0032048B">
        <w:rPr>
          <w:sz w:val="24"/>
          <w:szCs w:val="24"/>
          <w:lang w:val="sq-AL"/>
        </w:rPr>
        <w:t xml:space="preserve">as Komisionit Evropian për </w:t>
      </w:r>
      <w:proofErr w:type="spellStart"/>
      <w:r w:rsidR="000C6EFC" w:rsidRPr="0032048B">
        <w:rPr>
          <w:sz w:val="24"/>
          <w:szCs w:val="24"/>
          <w:lang w:val="sq-AL"/>
        </w:rPr>
        <w:t>Efic</w:t>
      </w:r>
      <w:r w:rsidRPr="0032048B">
        <w:rPr>
          <w:sz w:val="24"/>
          <w:szCs w:val="24"/>
          <w:lang w:val="sq-AL"/>
        </w:rPr>
        <w:t>ens</w:t>
      </w:r>
      <w:r w:rsidR="005D3CCC" w:rsidRPr="0032048B">
        <w:rPr>
          <w:sz w:val="24"/>
          <w:szCs w:val="24"/>
          <w:lang w:val="sq-AL"/>
        </w:rPr>
        <w:t>ë</w:t>
      </w:r>
      <w:r w:rsidRPr="0032048B">
        <w:rPr>
          <w:sz w:val="24"/>
          <w:szCs w:val="24"/>
          <w:lang w:val="sq-AL"/>
        </w:rPr>
        <w:t>n</w:t>
      </w:r>
      <w:proofErr w:type="spellEnd"/>
      <w:r w:rsidRPr="0032048B">
        <w:rPr>
          <w:sz w:val="24"/>
          <w:szCs w:val="24"/>
          <w:lang w:val="sq-AL"/>
        </w:rPr>
        <w:t xml:space="preserve"> e Drejtësisë (CEPEJ). Mesatarja e BE -së në 2021 ishte 24.1 gjyqtarë dhe 10.8 prokurorë për 100 000 banorë. Numri i gjyqtarëve në Shqipëri u rrit në vitin 2022 në krahasim me raportin e vitit të kaluar, pas disa emërimeve të reja, por pati një rënie të lehtë të numrit të prokurorëve në krahasim me periudhën e mëparshme të raportimit. Buxheti i vitit 2021 për sistemin gjyqësor ishte rreth 70 milion EURO. Kjo p</w:t>
      </w:r>
      <w:r w:rsidR="005D3CCC" w:rsidRPr="0032048B">
        <w:rPr>
          <w:sz w:val="24"/>
          <w:szCs w:val="24"/>
          <w:lang w:val="sq-AL"/>
        </w:rPr>
        <w:t>ë</w:t>
      </w:r>
      <w:r w:rsidRPr="0032048B">
        <w:rPr>
          <w:sz w:val="24"/>
          <w:szCs w:val="24"/>
          <w:lang w:val="sq-AL"/>
        </w:rPr>
        <w:t>rllogaritet në mbi 14.5 EURO për banor. Buxheti për gjykatat p</w:t>
      </w:r>
      <w:r w:rsidR="005D3CCC" w:rsidRPr="0032048B">
        <w:rPr>
          <w:sz w:val="24"/>
          <w:szCs w:val="24"/>
          <w:lang w:val="sq-AL"/>
        </w:rPr>
        <w:t>ë</w:t>
      </w:r>
      <w:r w:rsidRPr="0032048B">
        <w:rPr>
          <w:sz w:val="24"/>
          <w:szCs w:val="24"/>
          <w:lang w:val="sq-AL"/>
        </w:rPr>
        <w:t>soi një rritje të konsiderueshme, megjithatë infrastruktura e gjykatave mbetet përgjith</w:t>
      </w:r>
      <w:r w:rsidR="005D3CCC" w:rsidRPr="0032048B">
        <w:rPr>
          <w:sz w:val="24"/>
          <w:szCs w:val="24"/>
          <w:lang w:val="sq-AL"/>
        </w:rPr>
        <w:t>ë</w:t>
      </w:r>
      <w:r w:rsidRPr="0032048B">
        <w:rPr>
          <w:sz w:val="24"/>
          <w:szCs w:val="24"/>
          <w:lang w:val="sq-AL"/>
        </w:rPr>
        <w:t>sisht e dobët dhe buxheti n</w:t>
      </w:r>
      <w:r w:rsidR="005D3CCC" w:rsidRPr="0032048B">
        <w:rPr>
          <w:sz w:val="24"/>
          <w:szCs w:val="24"/>
          <w:lang w:val="sq-AL"/>
        </w:rPr>
        <w:t>ë</w:t>
      </w:r>
      <w:r w:rsidRPr="0032048B">
        <w:rPr>
          <w:sz w:val="24"/>
          <w:szCs w:val="24"/>
          <w:lang w:val="sq-AL"/>
        </w:rPr>
        <w:t xml:space="preserve"> t</w:t>
      </w:r>
      <w:r w:rsidR="005D3CCC" w:rsidRPr="0032048B">
        <w:rPr>
          <w:sz w:val="24"/>
          <w:szCs w:val="24"/>
          <w:lang w:val="sq-AL"/>
        </w:rPr>
        <w:t>ë</w:t>
      </w:r>
      <w:r w:rsidRPr="0032048B">
        <w:rPr>
          <w:sz w:val="24"/>
          <w:szCs w:val="24"/>
          <w:lang w:val="sq-AL"/>
        </w:rPr>
        <w:t xml:space="preserve"> ardhmen duhet t</w:t>
      </w:r>
      <w:r w:rsidR="005D3CCC" w:rsidRPr="0032048B">
        <w:rPr>
          <w:sz w:val="24"/>
          <w:szCs w:val="24"/>
          <w:lang w:val="sq-AL"/>
        </w:rPr>
        <w:t>ë</w:t>
      </w:r>
      <w:r w:rsidRPr="0032048B">
        <w:rPr>
          <w:sz w:val="24"/>
          <w:szCs w:val="24"/>
          <w:lang w:val="sq-AL"/>
        </w:rPr>
        <w:t xml:space="preserve"> trajtoj</w:t>
      </w:r>
      <w:r w:rsidR="005D3CCC" w:rsidRPr="0032048B">
        <w:rPr>
          <w:sz w:val="24"/>
          <w:szCs w:val="24"/>
          <w:lang w:val="sq-AL"/>
        </w:rPr>
        <w:t>ë</w:t>
      </w:r>
      <w:r w:rsidRPr="0032048B">
        <w:rPr>
          <w:sz w:val="24"/>
          <w:szCs w:val="24"/>
          <w:lang w:val="sq-AL"/>
        </w:rPr>
        <w:t xml:space="preserve"> me m</w:t>
      </w:r>
      <w:r w:rsidR="005D3CCC" w:rsidRPr="0032048B">
        <w:rPr>
          <w:sz w:val="24"/>
          <w:szCs w:val="24"/>
          <w:lang w:val="sq-AL"/>
        </w:rPr>
        <w:t>ë</w:t>
      </w:r>
      <w:r w:rsidRPr="0032048B">
        <w:rPr>
          <w:sz w:val="24"/>
          <w:szCs w:val="24"/>
          <w:lang w:val="sq-AL"/>
        </w:rPr>
        <w:t xml:space="preserve"> shum</w:t>
      </w:r>
      <w:r w:rsidR="005D3CCC" w:rsidRPr="0032048B">
        <w:rPr>
          <w:sz w:val="24"/>
          <w:szCs w:val="24"/>
          <w:lang w:val="sq-AL"/>
        </w:rPr>
        <w:t>ë</w:t>
      </w:r>
      <w:r w:rsidRPr="0032048B">
        <w:rPr>
          <w:sz w:val="24"/>
          <w:szCs w:val="24"/>
          <w:lang w:val="sq-AL"/>
        </w:rPr>
        <w:t xml:space="preserve"> vendosm</w:t>
      </w:r>
      <w:r w:rsidR="005D3CCC" w:rsidRPr="0032048B">
        <w:rPr>
          <w:sz w:val="24"/>
          <w:szCs w:val="24"/>
          <w:lang w:val="sq-AL"/>
        </w:rPr>
        <w:t>ë</w:t>
      </w:r>
      <w:r w:rsidRPr="0032048B">
        <w:rPr>
          <w:sz w:val="24"/>
          <w:szCs w:val="24"/>
          <w:lang w:val="sq-AL"/>
        </w:rPr>
        <w:t>ri nevojat e ngutshme të institucioneve gjyqësore</w:t>
      </w:r>
      <w:r w:rsidRPr="0032048B">
        <w:rPr>
          <w:spacing w:val="-2"/>
          <w:sz w:val="24"/>
          <w:szCs w:val="24"/>
          <w:lang w:val="sq-AL"/>
        </w:rPr>
        <w:t>.</w:t>
      </w:r>
    </w:p>
    <w:p w14:paraId="77671D8D" w14:textId="77777777" w:rsidR="00380775" w:rsidRPr="0032048B" w:rsidRDefault="00380775" w:rsidP="00361D5A">
      <w:pPr>
        <w:tabs>
          <w:tab w:val="left" w:pos="1134"/>
        </w:tabs>
        <w:spacing w:before="120"/>
        <w:ind w:left="993" w:right="1067"/>
        <w:rPr>
          <w:sz w:val="24"/>
          <w:szCs w:val="24"/>
          <w:lang w:val="sq-AL"/>
        </w:rPr>
      </w:pPr>
      <w:proofErr w:type="spellStart"/>
      <w:r w:rsidRPr="0032048B">
        <w:rPr>
          <w:spacing w:val="-2"/>
          <w:sz w:val="24"/>
          <w:szCs w:val="24"/>
          <w:u w:val="single"/>
          <w:lang w:val="sq-AL"/>
        </w:rPr>
        <w:t>Eficensa</w:t>
      </w:r>
      <w:proofErr w:type="spellEnd"/>
    </w:p>
    <w:p w14:paraId="49E5A1A8" w14:textId="60D79B41"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Vendet e lira të paplotësuara, procedurat e zgjatura, shkalla e ulët e p</w:t>
      </w:r>
      <w:r w:rsidR="005D3CCC" w:rsidRPr="0032048B">
        <w:rPr>
          <w:sz w:val="24"/>
          <w:szCs w:val="24"/>
          <w:lang w:val="sq-AL"/>
        </w:rPr>
        <w:t>ë</w:t>
      </w:r>
      <w:r w:rsidRPr="0032048B">
        <w:rPr>
          <w:sz w:val="24"/>
          <w:szCs w:val="24"/>
          <w:lang w:val="sq-AL"/>
        </w:rPr>
        <w:t xml:space="preserve">rpunimit dhe numri i madh i rasteve të pazgjidhura vazhdojnë të ndikojnë në </w:t>
      </w:r>
      <w:proofErr w:type="spellStart"/>
      <w:r w:rsidRPr="0032048B">
        <w:rPr>
          <w:sz w:val="24"/>
          <w:szCs w:val="24"/>
          <w:lang w:val="sq-AL"/>
        </w:rPr>
        <w:t>eficens</w:t>
      </w:r>
      <w:r w:rsidR="005D3CCC" w:rsidRPr="0032048B">
        <w:rPr>
          <w:sz w:val="24"/>
          <w:szCs w:val="24"/>
          <w:lang w:val="sq-AL"/>
        </w:rPr>
        <w:t>ë</w:t>
      </w:r>
      <w:r w:rsidRPr="0032048B">
        <w:rPr>
          <w:sz w:val="24"/>
          <w:szCs w:val="24"/>
          <w:lang w:val="sq-AL"/>
        </w:rPr>
        <w:t>n</w:t>
      </w:r>
      <w:proofErr w:type="spellEnd"/>
      <w:r w:rsidRPr="0032048B">
        <w:rPr>
          <w:sz w:val="24"/>
          <w:szCs w:val="24"/>
          <w:lang w:val="sq-AL"/>
        </w:rPr>
        <w:t xml:space="preserve"> e sistemit gjyqësor.</w:t>
      </w:r>
    </w:p>
    <w:p w14:paraId="0977988E" w14:textId="5C0D3A50"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Shumica e gjykatave në Shqipëri funksionojnë me personel të zvogëluar, për shkak të vendeve të lira p</w:t>
      </w:r>
      <w:r w:rsidR="005D3CCC" w:rsidRPr="0032048B">
        <w:rPr>
          <w:sz w:val="24"/>
          <w:szCs w:val="24"/>
          <w:lang w:val="sq-AL"/>
        </w:rPr>
        <w:t>ë</w:t>
      </w:r>
      <w:r w:rsidRPr="0032048B">
        <w:rPr>
          <w:sz w:val="24"/>
          <w:szCs w:val="24"/>
          <w:lang w:val="sq-AL"/>
        </w:rPr>
        <w:t>r gjyqtar</w:t>
      </w:r>
      <w:r w:rsidR="005D3CCC" w:rsidRPr="0032048B">
        <w:rPr>
          <w:sz w:val="24"/>
          <w:szCs w:val="24"/>
          <w:lang w:val="sq-AL"/>
        </w:rPr>
        <w:t>ë</w:t>
      </w:r>
      <w:r w:rsidRPr="0032048B">
        <w:rPr>
          <w:sz w:val="24"/>
          <w:szCs w:val="24"/>
          <w:lang w:val="sq-AL"/>
        </w:rPr>
        <w:t xml:space="preserve">, mesatarisht me më pak se gjysmën e kapacitetit të tyre normal. </w:t>
      </w:r>
      <w:r w:rsidR="005D3CCC" w:rsidRPr="0032048B">
        <w:rPr>
          <w:sz w:val="24"/>
          <w:szCs w:val="24"/>
          <w:lang w:val="sq-AL"/>
        </w:rPr>
        <w:t>Ë</w:t>
      </w:r>
      <w:r w:rsidRPr="0032048B">
        <w:rPr>
          <w:sz w:val="24"/>
          <w:szCs w:val="24"/>
          <w:lang w:val="sq-AL"/>
        </w:rPr>
        <w:t>sht</w:t>
      </w:r>
      <w:r w:rsidR="005D3CCC" w:rsidRPr="0032048B">
        <w:rPr>
          <w:sz w:val="24"/>
          <w:szCs w:val="24"/>
          <w:lang w:val="sq-AL"/>
        </w:rPr>
        <w:t>ë</w:t>
      </w:r>
      <w:r w:rsidRPr="0032048B">
        <w:rPr>
          <w:sz w:val="24"/>
          <w:szCs w:val="24"/>
          <w:lang w:val="sq-AL"/>
        </w:rPr>
        <w:t xml:space="preserve"> b</w:t>
      </w:r>
      <w:r w:rsidR="005D3CCC" w:rsidRPr="0032048B">
        <w:rPr>
          <w:sz w:val="24"/>
          <w:szCs w:val="24"/>
          <w:lang w:val="sq-AL"/>
        </w:rPr>
        <w:t>ë</w:t>
      </w:r>
      <w:r w:rsidRPr="0032048B">
        <w:rPr>
          <w:sz w:val="24"/>
          <w:szCs w:val="24"/>
          <w:lang w:val="sq-AL"/>
        </w:rPr>
        <w:t>r</w:t>
      </w:r>
      <w:r w:rsidR="005D3CCC" w:rsidRPr="0032048B">
        <w:rPr>
          <w:sz w:val="24"/>
          <w:szCs w:val="24"/>
          <w:lang w:val="sq-AL"/>
        </w:rPr>
        <w:t>ë</w:t>
      </w:r>
      <w:r w:rsidRPr="0032048B">
        <w:rPr>
          <w:sz w:val="24"/>
          <w:szCs w:val="24"/>
          <w:lang w:val="sq-AL"/>
        </w:rPr>
        <w:t xml:space="preserve"> progres në plot</w:t>
      </w:r>
      <w:r w:rsidR="005D3CCC" w:rsidRPr="0032048B">
        <w:rPr>
          <w:sz w:val="24"/>
          <w:szCs w:val="24"/>
          <w:lang w:val="sq-AL"/>
        </w:rPr>
        <w:t>ë</w:t>
      </w:r>
      <w:r w:rsidRPr="0032048B">
        <w:rPr>
          <w:sz w:val="24"/>
          <w:szCs w:val="24"/>
          <w:lang w:val="sq-AL"/>
        </w:rPr>
        <w:t>simin e vendeve të lira p</w:t>
      </w:r>
      <w:r w:rsidR="005D3CCC" w:rsidRPr="0032048B">
        <w:rPr>
          <w:sz w:val="24"/>
          <w:szCs w:val="24"/>
          <w:lang w:val="sq-AL"/>
        </w:rPr>
        <w:t>ë</w:t>
      </w:r>
      <w:r w:rsidRPr="0032048B">
        <w:rPr>
          <w:sz w:val="24"/>
          <w:szCs w:val="24"/>
          <w:lang w:val="sq-AL"/>
        </w:rPr>
        <w:t>r gjyqtar</w:t>
      </w:r>
      <w:r w:rsidR="005D3CCC" w:rsidRPr="0032048B">
        <w:rPr>
          <w:sz w:val="24"/>
          <w:szCs w:val="24"/>
          <w:lang w:val="sq-AL"/>
        </w:rPr>
        <w:t>ë</w:t>
      </w:r>
      <w:r w:rsidRPr="0032048B">
        <w:rPr>
          <w:sz w:val="24"/>
          <w:szCs w:val="24"/>
          <w:lang w:val="sq-AL"/>
        </w:rPr>
        <w:t>, përmes emërimit të 40 magjistratëve të rinj që u betuan në detyrë në Këshillin e Lartë Gjyqësor në tetor 2023 dhe menjëherë do të marrin detyr</w:t>
      </w:r>
      <w:r w:rsidR="005D3CCC" w:rsidRPr="0032048B">
        <w:rPr>
          <w:sz w:val="24"/>
          <w:szCs w:val="24"/>
          <w:lang w:val="sq-AL"/>
        </w:rPr>
        <w:t>ë</w:t>
      </w:r>
      <w:r w:rsidRPr="0032048B">
        <w:rPr>
          <w:sz w:val="24"/>
          <w:szCs w:val="24"/>
          <w:lang w:val="sq-AL"/>
        </w:rPr>
        <w:t>n në gjykatat e shkallës së parë në të gjithë vendin. Shqipëria ka filluar zbatimin e hartës s</w:t>
      </w:r>
      <w:r w:rsidR="005D3CCC" w:rsidRPr="0032048B">
        <w:rPr>
          <w:sz w:val="24"/>
          <w:szCs w:val="24"/>
          <w:lang w:val="sq-AL"/>
        </w:rPr>
        <w:t>ë</w:t>
      </w:r>
      <w:r w:rsidRPr="0032048B">
        <w:rPr>
          <w:sz w:val="24"/>
          <w:szCs w:val="24"/>
          <w:lang w:val="sq-AL"/>
        </w:rPr>
        <w:t xml:space="preserve"> re gjyqësore, e cila synon të ndihmojë në </w:t>
      </w:r>
      <w:proofErr w:type="spellStart"/>
      <w:r w:rsidRPr="0032048B">
        <w:rPr>
          <w:sz w:val="24"/>
          <w:szCs w:val="24"/>
          <w:lang w:val="sq-AL"/>
        </w:rPr>
        <w:t>optimizimin</w:t>
      </w:r>
      <w:proofErr w:type="spellEnd"/>
      <w:r w:rsidRPr="0032048B">
        <w:rPr>
          <w:sz w:val="24"/>
          <w:szCs w:val="24"/>
          <w:lang w:val="sq-AL"/>
        </w:rPr>
        <w:t xml:space="preserve"> e burimeve njerëzore dhe financiare, të rrisë specializimin, të rrisë </w:t>
      </w:r>
      <w:proofErr w:type="spellStart"/>
      <w:r w:rsidRPr="0032048B">
        <w:rPr>
          <w:sz w:val="24"/>
          <w:szCs w:val="24"/>
          <w:lang w:val="sq-AL"/>
        </w:rPr>
        <w:t>eficens</w:t>
      </w:r>
      <w:r w:rsidR="005D3CCC" w:rsidRPr="0032048B">
        <w:rPr>
          <w:sz w:val="24"/>
          <w:szCs w:val="24"/>
          <w:lang w:val="sq-AL"/>
        </w:rPr>
        <w:t>ë</w:t>
      </w:r>
      <w:r w:rsidRPr="0032048B">
        <w:rPr>
          <w:sz w:val="24"/>
          <w:szCs w:val="24"/>
          <w:lang w:val="sq-AL"/>
        </w:rPr>
        <w:t>n</w:t>
      </w:r>
      <w:proofErr w:type="spellEnd"/>
      <w:r w:rsidRPr="0032048B">
        <w:rPr>
          <w:sz w:val="24"/>
          <w:szCs w:val="24"/>
          <w:lang w:val="sq-AL"/>
        </w:rPr>
        <w:t xml:space="preserve"> e gjykatave dhe të zbusë ndikimin e </w:t>
      </w:r>
      <w:r w:rsidRPr="0032048B">
        <w:rPr>
          <w:sz w:val="24"/>
          <w:szCs w:val="24"/>
          <w:lang w:val="sq-AL"/>
        </w:rPr>
        <w:lastRenderedPageBreak/>
        <w:t>procesit të rivler</w:t>
      </w:r>
      <w:r w:rsidR="005D3CCC" w:rsidRPr="0032048B">
        <w:rPr>
          <w:sz w:val="24"/>
          <w:szCs w:val="24"/>
          <w:lang w:val="sq-AL"/>
        </w:rPr>
        <w:t>ë</w:t>
      </w:r>
      <w:r w:rsidRPr="0032048B">
        <w:rPr>
          <w:sz w:val="24"/>
          <w:szCs w:val="24"/>
          <w:lang w:val="sq-AL"/>
        </w:rPr>
        <w:t>simit. Zbatimi i hartës gjyqësore duhet të sigurojë respektimin e së drejtës për qasje në drejtësi dhe kuadrin ligjor në fuqi, veçanërisht sa u takon transferimeve dhe promovimeve. Nuk ka ende një plan t</w:t>
      </w:r>
      <w:r w:rsidR="005D3CCC" w:rsidRPr="0032048B">
        <w:rPr>
          <w:sz w:val="24"/>
          <w:szCs w:val="24"/>
          <w:lang w:val="sq-AL"/>
        </w:rPr>
        <w:t>ë</w:t>
      </w:r>
      <w:r w:rsidRPr="0032048B">
        <w:rPr>
          <w:sz w:val="24"/>
          <w:szCs w:val="24"/>
          <w:lang w:val="sq-AL"/>
        </w:rPr>
        <w:t xml:space="preserve"> fortë zbatimi për hartën</w:t>
      </w:r>
      <w:r w:rsidR="004D53EC">
        <w:rPr>
          <w:sz w:val="24"/>
          <w:szCs w:val="24"/>
          <w:lang w:val="sq-AL"/>
        </w:rPr>
        <w:t xml:space="preserve"> </w:t>
      </w:r>
      <w:r w:rsidRPr="0032048B">
        <w:rPr>
          <w:sz w:val="24"/>
          <w:szCs w:val="24"/>
          <w:lang w:val="sq-AL"/>
        </w:rPr>
        <w:t>e re gjyqësore dhe kjo mang</w:t>
      </w:r>
      <w:r w:rsidR="005D3CCC" w:rsidRPr="0032048B">
        <w:rPr>
          <w:sz w:val="24"/>
          <w:szCs w:val="24"/>
          <w:lang w:val="sq-AL"/>
        </w:rPr>
        <w:t>ë</w:t>
      </w:r>
      <w:r w:rsidRPr="0032048B">
        <w:rPr>
          <w:sz w:val="24"/>
          <w:szCs w:val="24"/>
          <w:lang w:val="sq-AL"/>
        </w:rPr>
        <w:t>si duhet t</w:t>
      </w:r>
      <w:r w:rsidR="005D3CCC" w:rsidRPr="0032048B">
        <w:rPr>
          <w:sz w:val="24"/>
          <w:szCs w:val="24"/>
          <w:lang w:val="sq-AL"/>
        </w:rPr>
        <w:t>ë</w:t>
      </w:r>
      <w:r w:rsidRPr="0032048B">
        <w:rPr>
          <w:sz w:val="24"/>
          <w:szCs w:val="24"/>
          <w:lang w:val="sq-AL"/>
        </w:rPr>
        <w:t xml:space="preserve"> zgjidhet urgjentisht. Gjithashtu, duhet të merren masa p</w:t>
      </w:r>
      <w:r w:rsidR="005D3CCC" w:rsidRPr="0032048B">
        <w:rPr>
          <w:sz w:val="24"/>
          <w:szCs w:val="24"/>
          <w:lang w:val="sq-AL"/>
        </w:rPr>
        <w:t>ë</w:t>
      </w:r>
      <w:r w:rsidRPr="0032048B">
        <w:rPr>
          <w:sz w:val="24"/>
          <w:szCs w:val="24"/>
          <w:lang w:val="sq-AL"/>
        </w:rPr>
        <w:t>r vlerësimet periodike, komunikimin efektiv dhe buxhetet e p</w:t>
      </w:r>
      <w:r w:rsidR="005D3CCC" w:rsidRPr="0032048B">
        <w:rPr>
          <w:sz w:val="24"/>
          <w:szCs w:val="24"/>
          <w:lang w:val="sq-AL"/>
        </w:rPr>
        <w:t>ë</w:t>
      </w:r>
      <w:r w:rsidRPr="0032048B">
        <w:rPr>
          <w:sz w:val="24"/>
          <w:szCs w:val="24"/>
          <w:lang w:val="sq-AL"/>
        </w:rPr>
        <w:t xml:space="preserve">rshtatshme. </w:t>
      </w:r>
    </w:p>
    <w:p w14:paraId="4C242FFD" w14:textId="209F536C"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Numri mesatar i çështjeve për gjyqtar mbetet i lartë, gjë që është shqetësuese, veçanërisht në nivelin e apelit. Përpjekjet për të stabilizuar rastet e prapambetura nuk kanë prodhuar ende rezultate. Ka pasur një rritje prej 31% të rasteve në pritje të gjykimit në të gjithë vendin. Koh</w:t>
      </w:r>
      <w:r w:rsidR="005D3CCC" w:rsidRPr="0032048B">
        <w:rPr>
          <w:sz w:val="24"/>
          <w:szCs w:val="24"/>
          <w:lang w:val="sq-AL"/>
        </w:rPr>
        <w:t>ë</w:t>
      </w:r>
      <w:r w:rsidRPr="0032048B">
        <w:rPr>
          <w:sz w:val="24"/>
          <w:szCs w:val="24"/>
          <w:lang w:val="sq-AL"/>
        </w:rPr>
        <w:t>zgjatja mesatare e një çështjeje në nivelin e apelit ishte 893 ditë në 2022. Në Gjykatën e Apelit në Tiranë, koh</w:t>
      </w:r>
      <w:r w:rsidR="005D3CCC" w:rsidRPr="0032048B">
        <w:rPr>
          <w:sz w:val="24"/>
          <w:szCs w:val="24"/>
          <w:lang w:val="sq-AL"/>
        </w:rPr>
        <w:t>ë</w:t>
      </w:r>
      <w:r w:rsidRPr="0032048B">
        <w:rPr>
          <w:sz w:val="24"/>
          <w:szCs w:val="24"/>
          <w:lang w:val="sq-AL"/>
        </w:rPr>
        <w:t>zgjatja mesatare e një çështjeje penale ishte 5 820 ditë.</w:t>
      </w:r>
    </w:p>
    <w:p w14:paraId="2351E3CA" w14:textId="20E89A66"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Gjykatat me prapambetjen më të madhe janë Gjykata e Lartë, Gjykata e Apelit dhe Gjykata Administrative e Apelit. Në vitin 2022, stoku i prapambetur në Gjykatën Administrative të Apelit u rrit me 15%, me 21 166 raste në pritje, krahasuar me vitin 2021, megjithëse shkalla e p</w:t>
      </w:r>
      <w:r w:rsidR="005D3CCC" w:rsidRPr="0032048B">
        <w:rPr>
          <w:sz w:val="24"/>
          <w:szCs w:val="24"/>
          <w:lang w:val="sq-AL"/>
        </w:rPr>
        <w:t>ë</w:t>
      </w:r>
      <w:r w:rsidRPr="0032048B">
        <w:rPr>
          <w:sz w:val="24"/>
          <w:szCs w:val="24"/>
          <w:lang w:val="sq-AL"/>
        </w:rPr>
        <w:t>rpunimit u përmirësua. Stoku i prapambetur në gjykatat e apelit të juridiksionit të përgjithshëm është 28 140 raste, d.m.th. nj</w:t>
      </w:r>
      <w:r w:rsidR="005D3CCC" w:rsidRPr="0032048B">
        <w:rPr>
          <w:sz w:val="24"/>
          <w:szCs w:val="24"/>
          <w:lang w:val="sq-AL"/>
        </w:rPr>
        <w:t>ë</w:t>
      </w:r>
      <w:r w:rsidRPr="0032048B">
        <w:rPr>
          <w:sz w:val="24"/>
          <w:szCs w:val="24"/>
          <w:lang w:val="sq-AL"/>
        </w:rPr>
        <w:t xml:space="preserve"> rritje prej 24% nga periudha e mëparshme e raportimit. Të gjithë treguesit e tjerë të </w:t>
      </w:r>
      <w:proofErr w:type="spellStart"/>
      <w:r w:rsidRPr="0032048B">
        <w:rPr>
          <w:sz w:val="24"/>
          <w:szCs w:val="24"/>
          <w:lang w:val="sq-AL"/>
        </w:rPr>
        <w:t>eficens</w:t>
      </w:r>
      <w:r w:rsidR="005D3CCC" w:rsidRPr="0032048B">
        <w:rPr>
          <w:sz w:val="24"/>
          <w:szCs w:val="24"/>
          <w:lang w:val="sq-AL"/>
        </w:rPr>
        <w:t>ë</w:t>
      </w:r>
      <w:r w:rsidRPr="0032048B">
        <w:rPr>
          <w:sz w:val="24"/>
          <w:szCs w:val="24"/>
          <w:lang w:val="sq-AL"/>
        </w:rPr>
        <w:t>s</w:t>
      </w:r>
      <w:proofErr w:type="spellEnd"/>
      <w:r w:rsidRPr="0032048B">
        <w:rPr>
          <w:sz w:val="24"/>
          <w:szCs w:val="24"/>
          <w:lang w:val="sq-AL"/>
        </w:rPr>
        <w:t xml:space="preserve"> për rastet në nivelin e apelit janë përkeqësuar në krahasim me periudhën e mëparshme të raportimit, e cila është një prirje shqetësuese. Gjykata e Lartë ka prapambetjen më të madhe, prej mbi 31 827 raste, por ka arritur ta zvogëlojë atë me 12% në krahasim me një vit më parë. Numri më i madh i çështjeve në pritje në Gjykatën e Lartë janë çështjet civile, ndërsa numri i çështjeve të reja të regjistruara në gjykatë ra me 27% krahasuar me vitin e kaluar.</w:t>
      </w:r>
    </w:p>
    <w:p w14:paraId="179C7EEC" w14:textId="743FCB16"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Stoku i prapambetur i akumuluar ka një ndikim të rëndësishëm në shkallën e p</w:t>
      </w:r>
      <w:r w:rsidR="005D3CCC" w:rsidRPr="0032048B">
        <w:rPr>
          <w:sz w:val="24"/>
          <w:szCs w:val="24"/>
          <w:lang w:val="sq-AL"/>
        </w:rPr>
        <w:t>ë</w:t>
      </w:r>
      <w:r w:rsidRPr="0032048B">
        <w:rPr>
          <w:sz w:val="24"/>
          <w:szCs w:val="24"/>
          <w:lang w:val="sq-AL"/>
        </w:rPr>
        <w:t xml:space="preserve">rpunimit dhe aftësinë e gjyqtarëve për të përpunuar çështjet në kohën e duhur. KLGJ-ja dhe KLP-ja duhet të zgjedhin një metodologji të përshtatshme dhe të ndërmarrin hapat e nevojshëm për të zvogëluar stokun e prapambetur në të gjitha nivelet dhe për të siguruar një kohë të arsyeshme për seancën dëgjimore, arsyetimin dhe publikimin e vendimeve përfundimtare të gjykatave. Mungesa e avokatëve të mbrojtjes është arsyeja më e shpeshtë për shtyrjen e seancave dëgjimore. Së bashku me plotësimin e vendeve të lira të punës, si dhe çështje të tjera administrative dhe procedurale, kjo çështje duhet të zgjidhet për të përmirësuar </w:t>
      </w:r>
      <w:proofErr w:type="spellStart"/>
      <w:r w:rsidRPr="0032048B">
        <w:rPr>
          <w:sz w:val="24"/>
          <w:szCs w:val="24"/>
          <w:lang w:val="sq-AL"/>
        </w:rPr>
        <w:t>eficens</w:t>
      </w:r>
      <w:r w:rsidR="005D3CCC" w:rsidRPr="0032048B">
        <w:rPr>
          <w:sz w:val="24"/>
          <w:szCs w:val="24"/>
          <w:lang w:val="sq-AL"/>
        </w:rPr>
        <w:t>ë</w:t>
      </w:r>
      <w:r w:rsidRPr="0032048B">
        <w:rPr>
          <w:sz w:val="24"/>
          <w:szCs w:val="24"/>
          <w:lang w:val="sq-AL"/>
        </w:rPr>
        <w:t>n</w:t>
      </w:r>
      <w:proofErr w:type="spellEnd"/>
      <w:r w:rsidRPr="0032048B">
        <w:rPr>
          <w:sz w:val="24"/>
          <w:szCs w:val="24"/>
          <w:lang w:val="sq-AL"/>
        </w:rPr>
        <w:t xml:space="preserve"> n</w:t>
      </w:r>
      <w:r w:rsidR="005D3CCC" w:rsidRPr="0032048B">
        <w:rPr>
          <w:sz w:val="24"/>
          <w:szCs w:val="24"/>
          <w:lang w:val="sq-AL"/>
        </w:rPr>
        <w:t>ë</w:t>
      </w:r>
      <w:r w:rsidRPr="0032048B">
        <w:rPr>
          <w:sz w:val="24"/>
          <w:szCs w:val="24"/>
          <w:lang w:val="sq-AL"/>
        </w:rPr>
        <w:t xml:space="preserve"> gjyqësor.</w:t>
      </w:r>
    </w:p>
    <w:p w14:paraId="69BDE299" w14:textId="6943F50A"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Përpjekje të mëtejshme janë të nevojshme për të përmirësuar mbledhjen dhe raportimin e të dhënave statistikore gjyqësore. Është urgjente të krijohet një sistem të ri i menaxhimit të integruar të çështjeve përmes politikave të përcaktuara, planifikimit dhe përpjekjeve buxhetore, si dhe të sigurohet ndërveprimi i tij në të gjithë sistemin e drejtësisë, në përputhje me metodologjinë CEPEJ. Krijimi i Grupit t</w:t>
      </w:r>
      <w:r w:rsidR="005D3CCC" w:rsidRPr="0032048B">
        <w:rPr>
          <w:sz w:val="24"/>
          <w:szCs w:val="24"/>
          <w:lang w:val="sq-AL"/>
        </w:rPr>
        <w:t>ë</w:t>
      </w:r>
      <w:r w:rsidRPr="0032048B">
        <w:rPr>
          <w:sz w:val="24"/>
          <w:szCs w:val="24"/>
          <w:lang w:val="sq-AL"/>
        </w:rPr>
        <w:t xml:space="preserve"> Pun</w:t>
      </w:r>
      <w:r w:rsidR="005D3CCC" w:rsidRPr="0032048B">
        <w:rPr>
          <w:sz w:val="24"/>
          <w:szCs w:val="24"/>
          <w:lang w:val="sq-AL"/>
        </w:rPr>
        <w:t>ë</w:t>
      </w:r>
      <w:r w:rsidRPr="0032048B">
        <w:rPr>
          <w:sz w:val="24"/>
          <w:szCs w:val="24"/>
          <w:lang w:val="sq-AL"/>
        </w:rPr>
        <w:t>s p</w:t>
      </w:r>
      <w:r w:rsidR="005D3CCC" w:rsidRPr="0032048B">
        <w:rPr>
          <w:sz w:val="24"/>
          <w:szCs w:val="24"/>
          <w:lang w:val="sq-AL"/>
        </w:rPr>
        <w:t>ë</w:t>
      </w:r>
      <w:r w:rsidRPr="0032048B">
        <w:rPr>
          <w:sz w:val="24"/>
          <w:szCs w:val="24"/>
          <w:lang w:val="sq-AL"/>
        </w:rPr>
        <w:t>r Nd</w:t>
      </w:r>
      <w:r w:rsidR="005D3CCC" w:rsidRPr="0032048B">
        <w:rPr>
          <w:sz w:val="24"/>
          <w:szCs w:val="24"/>
          <w:lang w:val="sq-AL"/>
        </w:rPr>
        <w:t>ë</w:t>
      </w:r>
      <w:r w:rsidRPr="0032048B">
        <w:rPr>
          <w:sz w:val="24"/>
          <w:szCs w:val="24"/>
          <w:lang w:val="sq-AL"/>
        </w:rPr>
        <w:t>rveprimin dhe miratimi i Kuadrit të Ndërveprimit sh</w:t>
      </w:r>
      <w:r w:rsidR="005D3CCC" w:rsidRPr="0032048B">
        <w:rPr>
          <w:sz w:val="24"/>
          <w:szCs w:val="24"/>
          <w:lang w:val="sq-AL"/>
        </w:rPr>
        <w:t>ë</w:t>
      </w:r>
      <w:r w:rsidRPr="0032048B">
        <w:rPr>
          <w:sz w:val="24"/>
          <w:szCs w:val="24"/>
          <w:lang w:val="sq-AL"/>
        </w:rPr>
        <w:t>noi progres dhe krijoi bazën për shtrirjen e sistemit.</w:t>
      </w:r>
    </w:p>
    <w:p w14:paraId="34AAF0A2" w14:textId="51C9E945"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 xml:space="preserve">Zgjidhja alternative e mosmarrëveshjeve nuk përdoret, dhe gjykatat nuk </w:t>
      </w:r>
      <w:proofErr w:type="spellStart"/>
      <w:r w:rsidRPr="0032048B">
        <w:rPr>
          <w:sz w:val="24"/>
          <w:szCs w:val="24"/>
          <w:lang w:val="sq-AL"/>
        </w:rPr>
        <w:t>ireferuan</w:t>
      </w:r>
      <w:proofErr w:type="spellEnd"/>
      <w:r w:rsidRPr="0032048B">
        <w:rPr>
          <w:sz w:val="24"/>
          <w:szCs w:val="24"/>
          <w:lang w:val="sq-AL"/>
        </w:rPr>
        <w:t xml:space="preserve"> asnjë rast p</w:t>
      </w:r>
      <w:r w:rsidR="005D3CCC" w:rsidRPr="0032048B">
        <w:rPr>
          <w:sz w:val="24"/>
          <w:szCs w:val="24"/>
          <w:lang w:val="sq-AL"/>
        </w:rPr>
        <w:t>ë</w:t>
      </w:r>
      <w:r w:rsidRPr="0032048B">
        <w:rPr>
          <w:sz w:val="24"/>
          <w:szCs w:val="24"/>
          <w:lang w:val="sq-AL"/>
        </w:rPr>
        <w:t>r nd</w:t>
      </w:r>
      <w:r w:rsidR="005D3CCC" w:rsidRPr="0032048B">
        <w:rPr>
          <w:sz w:val="24"/>
          <w:szCs w:val="24"/>
          <w:lang w:val="sq-AL"/>
        </w:rPr>
        <w:t>ë</w:t>
      </w:r>
      <w:r w:rsidRPr="0032048B">
        <w:rPr>
          <w:sz w:val="24"/>
          <w:szCs w:val="24"/>
          <w:lang w:val="sq-AL"/>
        </w:rPr>
        <w:t>rmjet</w:t>
      </w:r>
      <w:r w:rsidR="005D3CCC" w:rsidRPr="0032048B">
        <w:rPr>
          <w:sz w:val="24"/>
          <w:szCs w:val="24"/>
          <w:lang w:val="sq-AL"/>
        </w:rPr>
        <w:t>ë</w:t>
      </w:r>
      <w:r w:rsidRPr="0032048B">
        <w:rPr>
          <w:sz w:val="24"/>
          <w:szCs w:val="24"/>
          <w:lang w:val="sq-AL"/>
        </w:rPr>
        <w:t xml:space="preserve">sim në vitin 2022. Është e nevojshme të përmirësohet ndërgjegjësimi i qytetarëve për zgjidhjen alternative, </w:t>
      </w:r>
      <w:r w:rsidR="00A10A50" w:rsidRPr="0032048B">
        <w:rPr>
          <w:sz w:val="24"/>
          <w:szCs w:val="24"/>
          <w:lang w:val="sq-AL"/>
        </w:rPr>
        <w:t>çka</w:t>
      </w:r>
      <w:r w:rsidRPr="0032048B">
        <w:rPr>
          <w:sz w:val="24"/>
          <w:szCs w:val="24"/>
          <w:lang w:val="sq-AL"/>
        </w:rPr>
        <w:t xml:space="preserve"> </w:t>
      </w:r>
      <w:r w:rsidR="005D3CCC" w:rsidRPr="0032048B">
        <w:rPr>
          <w:sz w:val="24"/>
          <w:szCs w:val="24"/>
          <w:lang w:val="sq-AL"/>
        </w:rPr>
        <w:t>ë</w:t>
      </w:r>
      <w:r w:rsidRPr="0032048B">
        <w:rPr>
          <w:sz w:val="24"/>
          <w:szCs w:val="24"/>
          <w:lang w:val="sq-AL"/>
        </w:rPr>
        <w:t>sht</w:t>
      </w:r>
      <w:r w:rsidR="005D3CCC" w:rsidRPr="0032048B">
        <w:rPr>
          <w:sz w:val="24"/>
          <w:szCs w:val="24"/>
          <w:lang w:val="sq-AL"/>
        </w:rPr>
        <w:t>ë</w:t>
      </w:r>
      <w:r w:rsidRPr="0032048B">
        <w:rPr>
          <w:sz w:val="24"/>
          <w:szCs w:val="24"/>
          <w:lang w:val="sq-AL"/>
        </w:rPr>
        <w:t xml:space="preserve"> një çështje përparësie për të zvogëluar stokun e prapambetur dhe për të zgjeruar qasjen në drejtësi.</w:t>
      </w:r>
    </w:p>
    <w:p w14:paraId="1CDE43A8" w14:textId="094EE0FE"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P</w:t>
      </w:r>
      <w:r w:rsidR="005D3CCC" w:rsidRPr="0032048B">
        <w:rPr>
          <w:sz w:val="24"/>
          <w:szCs w:val="24"/>
          <w:lang w:val="sq-AL"/>
        </w:rPr>
        <w:t>ë</w:t>
      </w:r>
      <w:r w:rsidRPr="0032048B">
        <w:rPr>
          <w:sz w:val="24"/>
          <w:szCs w:val="24"/>
          <w:lang w:val="sq-AL"/>
        </w:rPr>
        <w:t xml:space="preserve">rpara Këshillit të Komitetit të Ministrave të Këshillit </w:t>
      </w:r>
      <w:r w:rsidR="00A10A50" w:rsidRPr="0032048B">
        <w:rPr>
          <w:sz w:val="24"/>
          <w:szCs w:val="24"/>
          <w:lang w:val="sq-AL"/>
        </w:rPr>
        <w:t>Evropian</w:t>
      </w:r>
      <w:r w:rsidRPr="0032048B">
        <w:rPr>
          <w:sz w:val="24"/>
          <w:szCs w:val="24"/>
          <w:lang w:val="sq-AL"/>
        </w:rPr>
        <w:t xml:space="preserve"> jan</w:t>
      </w:r>
      <w:r w:rsidR="005D3CCC" w:rsidRPr="0032048B">
        <w:rPr>
          <w:sz w:val="24"/>
          <w:szCs w:val="24"/>
          <w:lang w:val="sq-AL"/>
        </w:rPr>
        <w:t>ë</w:t>
      </w:r>
      <w:r w:rsidRPr="0032048B">
        <w:rPr>
          <w:sz w:val="24"/>
          <w:szCs w:val="24"/>
          <w:lang w:val="sq-AL"/>
        </w:rPr>
        <w:t xml:space="preserve"> n</w:t>
      </w:r>
      <w:r w:rsidR="005D3CCC" w:rsidRPr="0032048B">
        <w:rPr>
          <w:sz w:val="24"/>
          <w:szCs w:val="24"/>
          <w:lang w:val="sq-AL"/>
        </w:rPr>
        <w:t>ë</w:t>
      </w:r>
      <w:r w:rsidRPr="0032048B">
        <w:rPr>
          <w:sz w:val="24"/>
          <w:szCs w:val="24"/>
          <w:lang w:val="sq-AL"/>
        </w:rPr>
        <w:t xml:space="preserve"> pritje 18 raste për mbikëqyrjen e ekzekutimit të gjykimeve përfundimtare të Gjykatës Evropiane të </w:t>
      </w:r>
      <w:proofErr w:type="spellStart"/>
      <w:r w:rsidRPr="0032048B">
        <w:rPr>
          <w:sz w:val="24"/>
          <w:szCs w:val="24"/>
          <w:lang w:val="sq-AL"/>
        </w:rPr>
        <w:t>të</w:t>
      </w:r>
      <w:proofErr w:type="spellEnd"/>
      <w:r w:rsidRPr="0032048B">
        <w:rPr>
          <w:sz w:val="24"/>
          <w:szCs w:val="24"/>
          <w:lang w:val="sq-AL"/>
        </w:rPr>
        <w:t xml:space="preserve"> Drejtave të Njeriut.</w:t>
      </w:r>
    </w:p>
    <w:p w14:paraId="15D63E7A" w14:textId="77777777" w:rsidR="00380775" w:rsidRPr="0032048B" w:rsidRDefault="00380775" w:rsidP="00361D5A">
      <w:pPr>
        <w:tabs>
          <w:tab w:val="left" w:pos="1134"/>
        </w:tabs>
        <w:spacing w:before="120"/>
        <w:ind w:left="993" w:right="1067"/>
        <w:jc w:val="both"/>
        <w:outlineLvl w:val="0"/>
        <w:rPr>
          <w:b/>
          <w:bCs/>
          <w:sz w:val="24"/>
          <w:szCs w:val="24"/>
          <w:u w:val="single"/>
          <w:lang w:val="sq-AL"/>
        </w:rPr>
      </w:pPr>
      <w:r w:rsidRPr="0032048B">
        <w:rPr>
          <w:b/>
          <w:bCs/>
          <w:sz w:val="24"/>
          <w:szCs w:val="24"/>
          <w:u w:val="single"/>
          <w:lang w:val="sq-AL"/>
        </w:rPr>
        <w:t>Lufta kundër korrupsionit</w:t>
      </w:r>
    </w:p>
    <w:p w14:paraId="57279BDF" w14:textId="77777777" w:rsidR="00380775" w:rsidRPr="0032048B" w:rsidRDefault="00380775" w:rsidP="00361D5A">
      <w:pPr>
        <w:tabs>
          <w:tab w:val="left" w:pos="1134"/>
        </w:tabs>
        <w:spacing w:before="6"/>
        <w:ind w:left="993" w:right="1067"/>
        <w:rPr>
          <w:b/>
          <w:sz w:val="10"/>
          <w:szCs w:val="24"/>
          <w:lang w:val="sq-AL"/>
        </w:rPr>
      </w:pPr>
    </w:p>
    <w:tbl>
      <w:tblPr>
        <w:tblW w:w="0" w:type="auto"/>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416"/>
      </w:tblGrid>
      <w:tr w:rsidR="00380775" w:rsidRPr="0032048B" w14:paraId="3AD42238" w14:textId="77777777" w:rsidTr="004D4436">
        <w:trPr>
          <w:trHeight w:val="11057"/>
        </w:trPr>
        <w:tc>
          <w:tcPr>
            <w:tcW w:w="8416" w:type="dxa"/>
            <w:shd w:val="clear" w:color="auto" w:fill="D9D9D9"/>
          </w:tcPr>
          <w:p w14:paraId="259393C7" w14:textId="761ED5B4" w:rsidR="00380775" w:rsidRPr="0032048B" w:rsidRDefault="00380775" w:rsidP="00D830BE">
            <w:pPr>
              <w:spacing w:before="19"/>
              <w:ind w:left="253" w:right="207"/>
              <w:jc w:val="both"/>
              <w:rPr>
                <w:sz w:val="24"/>
                <w:lang w:val="sq-AL"/>
              </w:rPr>
            </w:pPr>
            <w:r w:rsidRPr="0032048B">
              <w:rPr>
                <w:sz w:val="24"/>
                <w:lang w:val="sq-AL"/>
              </w:rPr>
              <w:lastRenderedPageBreak/>
              <w:t xml:space="preserve">Shqipëria ka </w:t>
            </w:r>
            <w:r w:rsidRPr="0032048B">
              <w:rPr>
                <w:b/>
                <w:sz w:val="24"/>
                <w:lang w:val="sq-AL"/>
              </w:rPr>
              <w:t>përgatitje</w:t>
            </w:r>
            <w:r w:rsidR="00B31C99" w:rsidRPr="0032048B">
              <w:rPr>
                <w:b/>
                <w:sz w:val="24"/>
                <w:lang w:val="sq-AL"/>
              </w:rPr>
              <w:t xml:space="preserve"> </w:t>
            </w:r>
            <w:r w:rsidR="000C6EFC" w:rsidRPr="0032048B">
              <w:rPr>
                <w:b/>
                <w:sz w:val="24"/>
                <w:lang w:val="sq-AL"/>
              </w:rPr>
              <w:t>të</w:t>
            </w:r>
            <w:r w:rsidR="00B31C99" w:rsidRPr="0032048B">
              <w:rPr>
                <w:b/>
                <w:sz w:val="24"/>
                <w:lang w:val="sq-AL"/>
              </w:rPr>
              <w:t xml:space="preserve"> mjaftueshme </w:t>
            </w:r>
            <w:r w:rsidRPr="0032048B">
              <w:rPr>
                <w:sz w:val="24"/>
                <w:lang w:val="sq-AL"/>
              </w:rPr>
              <w:t xml:space="preserve">në luftën kundër korrupsionit. Pavarësisht </w:t>
            </w:r>
            <w:r w:rsidRPr="0032048B">
              <w:rPr>
                <w:b/>
                <w:sz w:val="24"/>
                <w:lang w:val="sq-AL"/>
              </w:rPr>
              <w:t>progresi</w:t>
            </w:r>
            <w:r w:rsidR="00B31C99" w:rsidRPr="0032048B">
              <w:rPr>
                <w:b/>
                <w:sz w:val="24"/>
                <w:lang w:val="sq-AL"/>
              </w:rPr>
              <w:t xml:space="preserve">t </w:t>
            </w:r>
            <w:r w:rsidR="000C6EFC" w:rsidRPr="0032048B">
              <w:rPr>
                <w:b/>
                <w:sz w:val="24"/>
                <w:lang w:val="sq-AL"/>
              </w:rPr>
              <w:t>të</w:t>
            </w:r>
            <w:r w:rsidR="00B31C99" w:rsidRPr="0032048B">
              <w:rPr>
                <w:b/>
                <w:sz w:val="24"/>
                <w:lang w:val="sq-AL"/>
              </w:rPr>
              <w:t xml:space="preserve"> </w:t>
            </w:r>
            <w:r w:rsidR="000C6EFC" w:rsidRPr="0032048B">
              <w:rPr>
                <w:b/>
                <w:sz w:val="24"/>
                <w:lang w:val="sq-AL"/>
              </w:rPr>
              <w:t>mirë</w:t>
            </w:r>
            <w:r w:rsidRPr="0032048B">
              <w:rPr>
                <w:b/>
                <w:sz w:val="24"/>
                <w:lang w:val="sq-AL"/>
              </w:rPr>
              <w:t xml:space="preserve"> </w:t>
            </w:r>
            <w:r w:rsidRPr="0032048B">
              <w:rPr>
                <w:sz w:val="24"/>
                <w:lang w:val="sq-AL"/>
              </w:rPr>
              <w:t>dhe përpjekjeve të vazhdueshme në luft</w:t>
            </w:r>
            <w:r w:rsidR="005D3CCC" w:rsidRPr="0032048B">
              <w:rPr>
                <w:sz w:val="24"/>
                <w:lang w:val="sq-AL"/>
              </w:rPr>
              <w:t>ë</w:t>
            </w:r>
            <w:r w:rsidRPr="0032048B">
              <w:rPr>
                <w:sz w:val="24"/>
                <w:lang w:val="sq-AL"/>
              </w:rPr>
              <w:t>n kund</w:t>
            </w:r>
            <w:r w:rsidR="005D3CCC" w:rsidRPr="0032048B">
              <w:rPr>
                <w:sz w:val="24"/>
                <w:lang w:val="sq-AL"/>
              </w:rPr>
              <w:t>ë</w:t>
            </w:r>
            <w:r w:rsidRPr="0032048B">
              <w:rPr>
                <w:sz w:val="24"/>
                <w:lang w:val="sq-AL"/>
              </w:rPr>
              <w:t>r korrupsionit, përfshirë një numër dënimesh të nivelit të lartë dhe hetimet financiare të personave t</w:t>
            </w:r>
            <w:r w:rsidR="005D3CCC" w:rsidRPr="0032048B">
              <w:rPr>
                <w:sz w:val="24"/>
                <w:lang w:val="sq-AL"/>
              </w:rPr>
              <w:t>ë</w:t>
            </w:r>
            <w:r w:rsidRPr="0032048B">
              <w:rPr>
                <w:sz w:val="24"/>
                <w:lang w:val="sq-AL"/>
              </w:rPr>
              <w:t xml:space="preserve"> nivelit t</w:t>
            </w:r>
            <w:r w:rsidR="005D3CCC" w:rsidRPr="0032048B">
              <w:rPr>
                <w:sz w:val="24"/>
                <w:lang w:val="sq-AL"/>
              </w:rPr>
              <w:t>ë</w:t>
            </w:r>
            <w:r w:rsidRPr="0032048B">
              <w:rPr>
                <w:sz w:val="24"/>
                <w:lang w:val="sq-AL"/>
              </w:rPr>
              <w:t xml:space="preserve"> lartë, kjo mbetet një fushë shqetësuese serioze. Në përgjithësi, korrupsioni është i përhapur në shumë fusha të jetës publike dhe të biznesit dhe masat për ta parandaluar vazhdojnë të kenë një ndikim të kufizuar, veçanërisht në sektorët e cenueshëm. Struktura e specializuar për </w:t>
            </w:r>
            <w:proofErr w:type="spellStart"/>
            <w:r w:rsidRPr="0032048B">
              <w:rPr>
                <w:sz w:val="24"/>
                <w:lang w:val="sq-AL"/>
              </w:rPr>
              <w:t>antikorrupsion</w:t>
            </w:r>
            <w:proofErr w:type="spellEnd"/>
            <w:r w:rsidRPr="0032048B">
              <w:rPr>
                <w:sz w:val="24"/>
                <w:lang w:val="sq-AL"/>
              </w:rPr>
              <w:t xml:space="preserve"> dhe krimin e organizuar (SPAK-u) ushtroi ndjekjen penale dhe hetimet financiare në disa raste të nivelit të lartë. Gjykatat e </w:t>
            </w:r>
            <w:r w:rsidR="00A10A50" w:rsidRPr="0032048B">
              <w:rPr>
                <w:sz w:val="24"/>
                <w:lang w:val="sq-AL"/>
              </w:rPr>
              <w:t>Posaçme</w:t>
            </w:r>
            <w:r w:rsidRPr="0032048B">
              <w:rPr>
                <w:sz w:val="24"/>
                <w:lang w:val="sq-AL"/>
              </w:rPr>
              <w:t xml:space="preserve"> dhan</w:t>
            </w:r>
            <w:r w:rsidR="005D3CCC" w:rsidRPr="0032048B">
              <w:rPr>
                <w:sz w:val="24"/>
                <w:lang w:val="sq-AL"/>
              </w:rPr>
              <w:t>ë</w:t>
            </w:r>
            <w:r w:rsidRPr="0032048B">
              <w:rPr>
                <w:sz w:val="24"/>
                <w:lang w:val="sq-AL"/>
              </w:rPr>
              <w:t xml:space="preserve"> dënime penale në raste të profilit të lartë, veçanërisht p</w:t>
            </w:r>
            <w:r w:rsidR="005D3CCC" w:rsidRPr="0032048B">
              <w:rPr>
                <w:sz w:val="24"/>
                <w:lang w:val="sq-AL"/>
              </w:rPr>
              <w:t>ë</w:t>
            </w:r>
            <w:r w:rsidRPr="0032048B">
              <w:rPr>
                <w:sz w:val="24"/>
                <w:lang w:val="sq-AL"/>
              </w:rPr>
              <w:t>r</w:t>
            </w:r>
            <w:r w:rsidR="004D53EC">
              <w:rPr>
                <w:sz w:val="24"/>
                <w:lang w:val="sq-AL"/>
              </w:rPr>
              <w:t xml:space="preserve"> </w:t>
            </w:r>
            <w:r w:rsidRPr="0032048B">
              <w:rPr>
                <w:sz w:val="24"/>
                <w:lang w:val="sq-AL"/>
              </w:rPr>
              <w:t>një ish-minist</w:t>
            </w:r>
            <w:r w:rsidR="005D3CCC" w:rsidRPr="0032048B">
              <w:rPr>
                <w:sz w:val="24"/>
                <w:lang w:val="sq-AL"/>
              </w:rPr>
              <w:t>ë</w:t>
            </w:r>
            <w:r w:rsidRPr="0032048B">
              <w:rPr>
                <w:sz w:val="24"/>
                <w:lang w:val="sq-AL"/>
              </w:rPr>
              <w:t>r të mjedisit dhe një deputeti, n</w:t>
            </w:r>
            <w:r w:rsidR="005D3CCC" w:rsidRPr="0032048B">
              <w:rPr>
                <w:sz w:val="24"/>
                <w:lang w:val="sq-AL"/>
              </w:rPr>
              <w:t>ë</w:t>
            </w:r>
            <w:r w:rsidRPr="0032048B">
              <w:rPr>
                <w:sz w:val="24"/>
                <w:lang w:val="sq-AL"/>
              </w:rPr>
              <w:t xml:space="preserve"> kuad</w:t>
            </w:r>
            <w:r w:rsidR="005D3CCC" w:rsidRPr="0032048B">
              <w:rPr>
                <w:sz w:val="24"/>
                <w:lang w:val="sq-AL"/>
              </w:rPr>
              <w:t>ë</w:t>
            </w:r>
            <w:r w:rsidRPr="0032048B">
              <w:rPr>
                <w:sz w:val="24"/>
                <w:lang w:val="sq-AL"/>
              </w:rPr>
              <w:t>r t</w:t>
            </w:r>
            <w:r w:rsidR="005D3CCC" w:rsidRPr="0032048B">
              <w:rPr>
                <w:sz w:val="24"/>
                <w:lang w:val="sq-AL"/>
              </w:rPr>
              <w:t>ë</w:t>
            </w:r>
            <w:r w:rsidRPr="0032048B">
              <w:rPr>
                <w:sz w:val="24"/>
                <w:lang w:val="sq-AL"/>
              </w:rPr>
              <w:t xml:space="preserve"> një hetimi mbi kontratat e koncesionit për trajtimin e mbetjeve urbane (</w:t>
            </w:r>
            <w:r w:rsidR="00A10A50" w:rsidRPr="0032048B">
              <w:rPr>
                <w:sz w:val="24"/>
                <w:lang w:val="sq-AL"/>
              </w:rPr>
              <w:t>çështja</w:t>
            </w:r>
            <w:r w:rsidRPr="0032048B">
              <w:rPr>
                <w:sz w:val="24"/>
                <w:lang w:val="sq-AL"/>
              </w:rPr>
              <w:t xml:space="preserve"> e </w:t>
            </w:r>
            <w:proofErr w:type="spellStart"/>
            <w:r w:rsidRPr="0032048B">
              <w:rPr>
                <w:sz w:val="24"/>
                <w:lang w:val="sq-AL"/>
              </w:rPr>
              <w:t>incenerator</w:t>
            </w:r>
            <w:r w:rsidR="005D3CCC" w:rsidRPr="0032048B">
              <w:rPr>
                <w:sz w:val="24"/>
                <w:lang w:val="sq-AL"/>
              </w:rPr>
              <w:t>ë</w:t>
            </w:r>
            <w:r w:rsidRPr="0032048B">
              <w:rPr>
                <w:sz w:val="24"/>
                <w:lang w:val="sq-AL"/>
              </w:rPr>
              <w:t>ve</w:t>
            </w:r>
            <w:proofErr w:type="spellEnd"/>
            <w:r w:rsidRPr="0032048B">
              <w:rPr>
                <w:sz w:val="24"/>
                <w:lang w:val="sq-AL"/>
              </w:rPr>
              <w:t>). Rritja e numrit të dënimeve përfundimtare në raste të nivelit të lartë mbetet një përparësi e rëndësishme p</w:t>
            </w:r>
            <w:r w:rsidR="005D3CCC" w:rsidRPr="0032048B">
              <w:rPr>
                <w:sz w:val="24"/>
                <w:lang w:val="sq-AL"/>
              </w:rPr>
              <w:t>ë</w:t>
            </w:r>
            <w:r w:rsidRPr="0032048B">
              <w:rPr>
                <w:sz w:val="24"/>
                <w:lang w:val="sq-AL"/>
              </w:rPr>
              <w:t>r t</w:t>
            </w:r>
            <w:r w:rsidR="005D3CCC" w:rsidRPr="0032048B">
              <w:rPr>
                <w:sz w:val="24"/>
                <w:lang w:val="sq-AL"/>
              </w:rPr>
              <w:t>ë</w:t>
            </w:r>
            <w:r w:rsidRPr="0032048B">
              <w:rPr>
                <w:sz w:val="24"/>
                <w:lang w:val="sq-AL"/>
              </w:rPr>
              <w:t xml:space="preserve"> luftuar më tej kulturën e </w:t>
            </w:r>
            <w:proofErr w:type="spellStart"/>
            <w:r w:rsidRPr="0032048B">
              <w:rPr>
                <w:sz w:val="24"/>
                <w:lang w:val="sq-AL"/>
              </w:rPr>
              <w:t>pandëshkueshmërisë</w:t>
            </w:r>
            <w:proofErr w:type="spellEnd"/>
            <w:r w:rsidRPr="0032048B">
              <w:rPr>
                <w:sz w:val="24"/>
                <w:lang w:val="sq-AL"/>
              </w:rPr>
              <w:t>. Rivler</w:t>
            </w:r>
            <w:r w:rsidR="005D3CCC" w:rsidRPr="0032048B">
              <w:rPr>
                <w:sz w:val="24"/>
                <w:lang w:val="sq-AL"/>
              </w:rPr>
              <w:t>ë</w:t>
            </w:r>
            <w:r w:rsidRPr="0032048B">
              <w:rPr>
                <w:sz w:val="24"/>
                <w:lang w:val="sq-AL"/>
              </w:rPr>
              <w:t>simi kalimtar i gjyqtarëve dhe prokurorëve vazhdon të prodhoj</w:t>
            </w:r>
            <w:r w:rsidR="005D3CCC" w:rsidRPr="0032048B">
              <w:rPr>
                <w:sz w:val="24"/>
                <w:lang w:val="sq-AL"/>
              </w:rPr>
              <w:t>ë</w:t>
            </w:r>
            <w:r w:rsidRPr="0032048B">
              <w:rPr>
                <w:sz w:val="24"/>
                <w:lang w:val="sq-AL"/>
              </w:rPr>
              <w:t xml:space="preserve"> rezultate në luftën kundër korrupsionit brenda gjyqësorit, megjithatë nevojiten përpjekje të mëtejshme për të siguruar ndjekjen e duhur gjyqësore në çështjet e rivler</w:t>
            </w:r>
            <w:r w:rsidR="005D3CCC" w:rsidRPr="0032048B">
              <w:rPr>
                <w:sz w:val="24"/>
                <w:lang w:val="sq-AL"/>
              </w:rPr>
              <w:t>ë</w:t>
            </w:r>
            <w:r w:rsidRPr="0032048B">
              <w:rPr>
                <w:sz w:val="24"/>
                <w:lang w:val="sq-AL"/>
              </w:rPr>
              <w:t>simit kur ka indikacione p</w:t>
            </w:r>
            <w:r w:rsidR="005D3CCC" w:rsidRPr="0032048B">
              <w:rPr>
                <w:sz w:val="24"/>
                <w:lang w:val="sq-AL"/>
              </w:rPr>
              <w:t>ë</w:t>
            </w:r>
            <w:r w:rsidRPr="0032048B">
              <w:rPr>
                <w:sz w:val="24"/>
                <w:lang w:val="sq-AL"/>
              </w:rPr>
              <w:t>r vepra penale. Kapaciteti institucional i Drejtorisë së Përgjithshme Kundër Korrupsionit në Ministrinë e Drejtësisë duhet të forcohet më tej. Përbërja e Komisionit të Etikës duhet të rishikohet, pasi prania e një anëtari të qeverisë p</w:t>
            </w:r>
            <w:r w:rsidR="005D3CCC" w:rsidRPr="0032048B">
              <w:rPr>
                <w:sz w:val="24"/>
                <w:lang w:val="sq-AL"/>
              </w:rPr>
              <w:t>ë</w:t>
            </w:r>
            <w:r w:rsidRPr="0032048B">
              <w:rPr>
                <w:sz w:val="24"/>
                <w:lang w:val="sq-AL"/>
              </w:rPr>
              <w:t>rb</w:t>
            </w:r>
            <w:r w:rsidR="005D3CCC" w:rsidRPr="0032048B">
              <w:rPr>
                <w:sz w:val="24"/>
                <w:lang w:val="sq-AL"/>
              </w:rPr>
              <w:t>ë</w:t>
            </w:r>
            <w:r w:rsidRPr="0032048B">
              <w:rPr>
                <w:sz w:val="24"/>
                <w:lang w:val="sq-AL"/>
              </w:rPr>
              <w:t>n baz</w:t>
            </w:r>
            <w:r w:rsidR="005D3CCC" w:rsidRPr="0032048B">
              <w:rPr>
                <w:sz w:val="24"/>
                <w:lang w:val="sq-AL"/>
              </w:rPr>
              <w:t>ë</w:t>
            </w:r>
            <w:r w:rsidRPr="0032048B">
              <w:rPr>
                <w:sz w:val="24"/>
                <w:lang w:val="sq-AL"/>
              </w:rPr>
              <w:t xml:space="preserve"> për shqetësim serioz. Sektorët që janë më të prekshëm ndaj korrupsionit kërkojnë vlerësime të </w:t>
            </w:r>
            <w:r w:rsidR="001D7540" w:rsidRPr="0032048B">
              <w:rPr>
                <w:sz w:val="24"/>
                <w:lang w:val="sq-AL"/>
              </w:rPr>
              <w:t>posaçme</w:t>
            </w:r>
            <w:r w:rsidRPr="0032048B">
              <w:rPr>
                <w:sz w:val="24"/>
                <w:lang w:val="sq-AL"/>
              </w:rPr>
              <w:t xml:space="preserve"> të rrezikut dhe veprime të dedikuara. Rekomandimet e vitit 2022 u zbatuan vetëm pjesërisht, kështu që ato vazhdojn</w:t>
            </w:r>
            <w:r w:rsidR="005D3CCC" w:rsidRPr="0032048B">
              <w:rPr>
                <w:sz w:val="24"/>
                <w:lang w:val="sq-AL"/>
              </w:rPr>
              <w:t>ë</w:t>
            </w:r>
            <w:r w:rsidRPr="0032048B">
              <w:rPr>
                <w:sz w:val="24"/>
                <w:lang w:val="sq-AL"/>
              </w:rPr>
              <w:t xml:space="preserve"> të jen</w:t>
            </w:r>
            <w:r w:rsidR="005D3CCC" w:rsidRPr="0032048B">
              <w:rPr>
                <w:sz w:val="24"/>
                <w:lang w:val="sq-AL"/>
              </w:rPr>
              <w:t>ë</w:t>
            </w:r>
            <w:r w:rsidRPr="0032048B">
              <w:rPr>
                <w:sz w:val="24"/>
                <w:lang w:val="sq-AL"/>
              </w:rPr>
              <w:t xml:space="preserve"> t</w:t>
            </w:r>
            <w:r w:rsidR="005D3CCC" w:rsidRPr="0032048B">
              <w:rPr>
                <w:sz w:val="24"/>
                <w:lang w:val="sq-AL"/>
              </w:rPr>
              <w:t>ë</w:t>
            </w:r>
            <w:r w:rsidRPr="0032048B">
              <w:rPr>
                <w:sz w:val="24"/>
                <w:lang w:val="sq-AL"/>
              </w:rPr>
              <w:t xml:space="preserve"> vlefshme.</w:t>
            </w:r>
          </w:p>
          <w:p w14:paraId="29990400" w14:textId="77777777" w:rsidR="00380775" w:rsidRPr="0032048B" w:rsidRDefault="00380775" w:rsidP="00D830BE">
            <w:pPr>
              <w:spacing w:before="119"/>
              <w:ind w:left="253" w:right="207"/>
              <w:jc w:val="both"/>
              <w:rPr>
                <w:sz w:val="24"/>
                <w:lang w:val="sq-AL"/>
              </w:rPr>
            </w:pPr>
            <w:r w:rsidRPr="0032048B">
              <w:rPr>
                <w:sz w:val="24"/>
                <w:lang w:val="sq-AL"/>
              </w:rPr>
              <w:t>Në vitin e ardhshëm, Shqipëria në veçanti duhet të</w:t>
            </w:r>
            <w:r w:rsidRPr="0032048B">
              <w:rPr>
                <w:spacing w:val="-2"/>
                <w:sz w:val="24"/>
                <w:lang w:val="sq-AL"/>
              </w:rPr>
              <w:t>:</w:t>
            </w:r>
          </w:p>
          <w:p w14:paraId="6E3B2B25" w14:textId="2D9BA601" w:rsidR="00380775" w:rsidRPr="0032048B" w:rsidRDefault="00380775" w:rsidP="00D830BE">
            <w:pPr>
              <w:spacing w:before="120"/>
              <w:ind w:left="253" w:right="207"/>
              <w:jc w:val="both"/>
              <w:rPr>
                <w:sz w:val="24"/>
                <w:lang w:val="sq-AL"/>
              </w:rPr>
            </w:pPr>
            <w:r w:rsidRPr="0032048B">
              <w:rPr>
                <w:rFonts w:ascii="Symbol" w:hAnsi="Symbol"/>
                <w:sz w:val="24"/>
                <w:lang w:val="sq-AL"/>
              </w:rPr>
              <w:t></w:t>
            </w:r>
            <w:r w:rsidRPr="0032048B">
              <w:rPr>
                <w:spacing w:val="40"/>
                <w:sz w:val="24"/>
                <w:lang w:val="sq-AL"/>
              </w:rPr>
              <w:t xml:space="preserve"> </w:t>
            </w:r>
            <w:r w:rsidRPr="0032048B">
              <w:rPr>
                <w:sz w:val="24"/>
                <w:lang w:val="sq-AL"/>
              </w:rPr>
              <w:t>Forcojë hetimin, ndjekjen penale, gjykimin dhe dënimin përfundimtar të çështjeve të korrupsionit, veçanërisht në nivelin e lartë, dhe t</w:t>
            </w:r>
            <w:r w:rsidR="005D3CCC" w:rsidRPr="0032048B">
              <w:rPr>
                <w:sz w:val="24"/>
                <w:lang w:val="sq-AL"/>
              </w:rPr>
              <w:t>ë</w:t>
            </w:r>
            <w:r w:rsidRPr="0032048B">
              <w:rPr>
                <w:sz w:val="24"/>
                <w:lang w:val="sq-AL"/>
              </w:rPr>
              <w:t xml:space="preserve"> rris</w:t>
            </w:r>
            <w:r w:rsidR="005D3CCC" w:rsidRPr="0032048B">
              <w:rPr>
                <w:sz w:val="24"/>
                <w:lang w:val="sq-AL"/>
              </w:rPr>
              <w:t>ë</w:t>
            </w:r>
            <w:r w:rsidRPr="0032048B">
              <w:rPr>
                <w:sz w:val="24"/>
                <w:lang w:val="sq-AL"/>
              </w:rPr>
              <w:t xml:space="preserve"> sekuestrimin dhe konfiskimin ose rikuperimin e pasurive që vijnë nga veprat penale të lidhura me korrupsionin;</w:t>
            </w:r>
          </w:p>
          <w:p w14:paraId="6EF31EA7" w14:textId="77777777" w:rsidR="00380775" w:rsidRPr="0032048B" w:rsidRDefault="00380775" w:rsidP="00D830BE">
            <w:pPr>
              <w:ind w:left="253" w:right="207"/>
              <w:jc w:val="both"/>
              <w:rPr>
                <w:sz w:val="24"/>
                <w:lang w:val="sq-AL"/>
              </w:rPr>
            </w:pPr>
          </w:p>
          <w:p w14:paraId="7FEBE260" w14:textId="532F6C3D" w:rsidR="00380775" w:rsidRPr="0032048B" w:rsidRDefault="00380775" w:rsidP="00D830BE">
            <w:pPr>
              <w:ind w:left="253" w:right="207"/>
              <w:jc w:val="both"/>
              <w:rPr>
                <w:sz w:val="24"/>
                <w:lang w:val="sq-AL"/>
              </w:rPr>
            </w:pPr>
            <w:r w:rsidRPr="0032048B">
              <w:rPr>
                <w:rFonts w:ascii="Symbol" w:hAnsi="Symbol"/>
                <w:sz w:val="24"/>
                <w:lang w:val="sq-AL"/>
              </w:rPr>
              <w:t></w:t>
            </w:r>
            <w:r w:rsidRPr="0032048B">
              <w:rPr>
                <w:rFonts w:ascii="Symbol" w:hAnsi="Symbol"/>
                <w:sz w:val="24"/>
                <w:lang w:val="sq-AL"/>
              </w:rPr>
              <w:t></w:t>
            </w:r>
            <w:r w:rsidRPr="0032048B">
              <w:rPr>
                <w:rFonts w:ascii="Symbol" w:hAnsi="Symbol"/>
                <w:sz w:val="24"/>
                <w:lang w:val="sq-AL"/>
              </w:rPr>
              <w:t></w:t>
            </w:r>
            <w:r w:rsidRPr="0032048B">
              <w:rPr>
                <w:sz w:val="24"/>
                <w:lang w:val="sq-AL"/>
              </w:rPr>
              <w:t>Forcojë më tej kapacitetet e SPAK-ut, n</w:t>
            </w:r>
            <w:r w:rsidR="005D3CCC" w:rsidRPr="0032048B">
              <w:rPr>
                <w:sz w:val="24"/>
                <w:lang w:val="sq-AL"/>
              </w:rPr>
              <w:t>ë</w:t>
            </w:r>
            <w:r w:rsidRPr="0032048B">
              <w:rPr>
                <w:sz w:val="24"/>
                <w:lang w:val="sq-AL"/>
              </w:rPr>
              <w:t xml:space="preserve"> p</w:t>
            </w:r>
            <w:r w:rsidR="005D3CCC" w:rsidRPr="0032048B">
              <w:rPr>
                <w:sz w:val="24"/>
                <w:lang w:val="sq-AL"/>
              </w:rPr>
              <w:t>ë</w:t>
            </w:r>
            <w:r w:rsidRPr="0032048B">
              <w:rPr>
                <w:sz w:val="24"/>
                <w:lang w:val="sq-AL"/>
              </w:rPr>
              <w:t xml:space="preserve">rputhje me nevojat e tij </w:t>
            </w:r>
            <w:proofErr w:type="spellStart"/>
            <w:r w:rsidRPr="0032048B">
              <w:rPr>
                <w:sz w:val="24"/>
                <w:lang w:val="sq-AL"/>
              </w:rPr>
              <w:t>operacionale</w:t>
            </w:r>
            <w:proofErr w:type="spellEnd"/>
            <w:r w:rsidRPr="0032048B">
              <w:rPr>
                <w:spacing w:val="-2"/>
                <w:sz w:val="24"/>
                <w:lang w:val="sq-AL"/>
              </w:rPr>
              <w:t xml:space="preserve">, </w:t>
            </w:r>
            <w:r w:rsidRPr="0032048B">
              <w:rPr>
                <w:sz w:val="24"/>
                <w:lang w:val="sq-AL"/>
              </w:rPr>
              <w:t>përfshirë duke rritur burimet njerëzore, duke siguruar pajisje të specializuara dhe duke miratuar një strategji q</w:t>
            </w:r>
            <w:r w:rsidR="005D3CCC" w:rsidRPr="0032048B">
              <w:rPr>
                <w:sz w:val="24"/>
                <w:lang w:val="sq-AL"/>
              </w:rPr>
              <w:t>ë</w:t>
            </w:r>
            <w:r w:rsidRPr="0032048B">
              <w:rPr>
                <w:sz w:val="24"/>
                <w:lang w:val="sq-AL"/>
              </w:rPr>
              <w:t xml:space="preserve"> i klasifikon rastet sipas</w:t>
            </w:r>
            <w:r w:rsidR="004D53EC">
              <w:rPr>
                <w:sz w:val="24"/>
                <w:lang w:val="sq-AL"/>
              </w:rPr>
              <w:t xml:space="preserve"> </w:t>
            </w:r>
            <w:r w:rsidRPr="0032048B">
              <w:rPr>
                <w:sz w:val="24"/>
                <w:lang w:val="sq-AL"/>
              </w:rPr>
              <w:t>përparësis</w:t>
            </w:r>
            <w:r w:rsidR="005D3CCC" w:rsidRPr="0032048B">
              <w:rPr>
                <w:sz w:val="24"/>
                <w:lang w:val="sq-AL"/>
              </w:rPr>
              <w:t>ë</w:t>
            </w:r>
            <w:r w:rsidRPr="0032048B">
              <w:rPr>
                <w:sz w:val="24"/>
                <w:lang w:val="sq-AL"/>
              </w:rPr>
              <w:t xml:space="preserve"> si një mënyrë për t</w:t>
            </w:r>
            <w:r w:rsidR="005D3CCC" w:rsidRPr="0032048B">
              <w:rPr>
                <w:sz w:val="24"/>
                <w:lang w:val="sq-AL"/>
              </w:rPr>
              <w:t>ë</w:t>
            </w:r>
            <w:r w:rsidRPr="0032048B">
              <w:rPr>
                <w:sz w:val="24"/>
                <w:lang w:val="sq-AL"/>
              </w:rPr>
              <w:t xml:space="preserve"> ulur numrin e rasteve t</w:t>
            </w:r>
            <w:r w:rsidR="005D3CCC" w:rsidRPr="0032048B">
              <w:rPr>
                <w:sz w:val="24"/>
                <w:lang w:val="sq-AL"/>
              </w:rPr>
              <w:t>ë</w:t>
            </w:r>
            <w:r w:rsidRPr="0032048B">
              <w:rPr>
                <w:sz w:val="24"/>
                <w:lang w:val="sq-AL"/>
              </w:rPr>
              <w:t xml:space="preserve"> prapambetura q</w:t>
            </w:r>
            <w:r w:rsidR="005D3CCC" w:rsidRPr="0032048B">
              <w:rPr>
                <w:sz w:val="24"/>
                <w:lang w:val="sq-AL"/>
              </w:rPr>
              <w:t>ë</w:t>
            </w:r>
            <w:r w:rsidRPr="0032048B">
              <w:rPr>
                <w:sz w:val="24"/>
                <w:lang w:val="sq-AL"/>
              </w:rPr>
              <w:t xml:space="preserve"> vazhdojn</w:t>
            </w:r>
            <w:r w:rsidR="005D3CCC" w:rsidRPr="0032048B">
              <w:rPr>
                <w:sz w:val="24"/>
                <w:lang w:val="sq-AL"/>
              </w:rPr>
              <w:t>ë</w:t>
            </w:r>
            <w:r w:rsidRPr="0032048B">
              <w:rPr>
                <w:sz w:val="24"/>
                <w:lang w:val="sq-AL"/>
              </w:rPr>
              <w:t xml:space="preserve"> t</w:t>
            </w:r>
            <w:r w:rsidR="005D3CCC" w:rsidRPr="0032048B">
              <w:rPr>
                <w:sz w:val="24"/>
                <w:lang w:val="sq-AL"/>
              </w:rPr>
              <w:t>ë</w:t>
            </w:r>
            <w:r w:rsidRPr="0032048B">
              <w:rPr>
                <w:sz w:val="24"/>
                <w:lang w:val="sq-AL"/>
              </w:rPr>
              <w:t xml:space="preserve"> rriten</w:t>
            </w:r>
            <w:r w:rsidRPr="0032048B">
              <w:rPr>
                <w:spacing w:val="-2"/>
                <w:sz w:val="24"/>
                <w:lang w:val="sq-AL"/>
              </w:rPr>
              <w:t>;</w:t>
            </w:r>
          </w:p>
          <w:p w14:paraId="17588ADE" w14:textId="1EB2ACC9" w:rsidR="00380775" w:rsidRPr="0032048B" w:rsidRDefault="00380775" w:rsidP="00D830BE">
            <w:pPr>
              <w:spacing w:before="119" w:line="274" w:lineRule="exact"/>
              <w:ind w:left="253" w:right="207"/>
              <w:jc w:val="both"/>
              <w:rPr>
                <w:sz w:val="24"/>
                <w:lang w:val="sq-AL"/>
              </w:rPr>
            </w:pPr>
            <w:r w:rsidRPr="0032048B">
              <w:rPr>
                <w:rFonts w:ascii="Symbol" w:hAnsi="Symbol"/>
                <w:sz w:val="24"/>
                <w:lang w:val="sq-AL"/>
              </w:rPr>
              <w:t></w:t>
            </w:r>
            <w:r w:rsidR="004D53EC">
              <w:rPr>
                <w:sz w:val="24"/>
                <w:lang w:val="sq-AL"/>
              </w:rPr>
              <w:t xml:space="preserve"> </w:t>
            </w:r>
            <w:r w:rsidRPr="0032048B">
              <w:rPr>
                <w:sz w:val="24"/>
                <w:lang w:val="sq-AL"/>
              </w:rPr>
              <w:t xml:space="preserve"> Miratojë një strategji të re </w:t>
            </w:r>
            <w:proofErr w:type="spellStart"/>
            <w:r w:rsidRPr="0032048B">
              <w:rPr>
                <w:sz w:val="24"/>
                <w:lang w:val="sq-AL"/>
              </w:rPr>
              <w:t>antikorrupsion</w:t>
            </w:r>
            <w:proofErr w:type="spellEnd"/>
            <w:r w:rsidRPr="0032048B">
              <w:rPr>
                <w:sz w:val="24"/>
                <w:lang w:val="sq-AL"/>
              </w:rPr>
              <w:t xml:space="preserve"> për të frenuar në mënyrë efektive korrupsionin, duke përfshirë planet e dedikuara të veprimit dhe treguesit për sektorët më të prekshëm ndaj korrupsionit, dhe t</w:t>
            </w:r>
            <w:r w:rsidR="005D3CCC" w:rsidRPr="0032048B">
              <w:rPr>
                <w:sz w:val="24"/>
                <w:lang w:val="sq-AL"/>
              </w:rPr>
              <w:t>ë</w:t>
            </w:r>
            <w:r w:rsidRPr="0032048B">
              <w:rPr>
                <w:sz w:val="24"/>
                <w:lang w:val="sq-AL"/>
              </w:rPr>
              <w:t xml:space="preserve"> zbatoj</w:t>
            </w:r>
            <w:r w:rsidR="005D3CCC" w:rsidRPr="0032048B">
              <w:rPr>
                <w:sz w:val="24"/>
                <w:lang w:val="sq-AL"/>
              </w:rPr>
              <w:t>ë</w:t>
            </w:r>
            <w:r w:rsidRPr="0032048B">
              <w:rPr>
                <w:sz w:val="24"/>
                <w:lang w:val="sq-AL"/>
              </w:rPr>
              <w:t xml:space="preserve"> në mënyrë efektive rekomandimet e Grupit të Shteteve të Këshillit të Evropës kundër Korrupsionit (</w:t>
            </w:r>
            <w:proofErr w:type="spellStart"/>
            <w:r w:rsidRPr="0032048B">
              <w:rPr>
                <w:sz w:val="24"/>
                <w:lang w:val="sq-AL"/>
              </w:rPr>
              <w:t>Greco</w:t>
            </w:r>
            <w:proofErr w:type="spellEnd"/>
            <w:r w:rsidRPr="0032048B">
              <w:rPr>
                <w:sz w:val="24"/>
                <w:lang w:val="sq-AL"/>
              </w:rPr>
              <w:t>).</w:t>
            </w:r>
          </w:p>
        </w:tc>
      </w:tr>
    </w:tbl>
    <w:p w14:paraId="77318154" w14:textId="77777777" w:rsidR="00380775" w:rsidRPr="0032048B" w:rsidRDefault="00380775" w:rsidP="00361D5A">
      <w:pPr>
        <w:tabs>
          <w:tab w:val="left" w:pos="1134"/>
        </w:tabs>
        <w:spacing w:line="274" w:lineRule="exact"/>
        <w:ind w:left="993" w:right="1067"/>
        <w:jc w:val="both"/>
        <w:rPr>
          <w:sz w:val="24"/>
          <w:lang w:val="sq-AL"/>
        </w:rPr>
        <w:sectPr w:rsidR="00380775" w:rsidRPr="0032048B">
          <w:pgSz w:w="11910" w:h="16840"/>
          <w:pgMar w:top="1360" w:right="460" w:bottom="1460" w:left="460" w:header="0" w:footer="1248" w:gutter="0"/>
          <w:cols w:space="720"/>
        </w:sectPr>
      </w:pPr>
    </w:p>
    <w:p w14:paraId="413B5C31" w14:textId="77777777" w:rsidR="00380775" w:rsidRPr="0032048B" w:rsidRDefault="00380775" w:rsidP="00361D5A">
      <w:pPr>
        <w:tabs>
          <w:tab w:val="left" w:pos="1134"/>
        </w:tabs>
        <w:spacing w:before="143"/>
        <w:ind w:left="993" w:right="1067"/>
        <w:jc w:val="both"/>
        <w:rPr>
          <w:sz w:val="24"/>
          <w:szCs w:val="24"/>
          <w:lang w:val="sq-AL"/>
        </w:rPr>
      </w:pPr>
      <w:r w:rsidRPr="0032048B">
        <w:rPr>
          <w:sz w:val="24"/>
          <w:szCs w:val="24"/>
          <w:u w:val="single"/>
          <w:lang w:val="sq-AL"/>
        </w:rPr>
        <w:t>Arritjet e deritanishme</w:t>
      </w:r>
    </w:p>
    <w:p w14:paraId="1D4C9434" w14:textId="050F085A" w:rsidR="00380775" w:rsidRPr="0032048B" w:rsidRDefault="00380775" w:rsidP="00361D5A">
      <w:pPr>
        <w:tabs>
          <w:tab w:val="left" w:pos="1134"/>
          <w:tab w:val="left" w:pos="8640"/>
        </w:tabs>
        <w:spacing w:before="120"/>
        <w:ind w:left="993" w:right="1067"/>
        <w:jc w:val="both"/>
        <w:rPr>
          <w:sz w:val="24"/>
          <w:lang w:val="sq-AL"/>
        </w:rPr>
      </w:pPr>
      <w:r w:rsidRPr="0032048B">
        <w:rPr>
          <w:sz w:val="24"/>
          <w:lang w:val="sq-AL"/>
        </w:rPr>
        <w:t>Vazhduan p</w:t>
      </w:r>
      <w:r w:rsidR="005D3CCC" w:rsidRPr="0032048B">
        <w:rPr>
          <w:sz w:val="24"/>
          <w:lang w:val="sq-AL"/>
        </w:rPr>
        <w:t>ë</w:t>
      </w:r>
      <w:r w:rsidRPr="0032048B">
        <w:rPr>
          <w:sz w:val="24"/>
          <w:lang w:val="sq-AL"/>
        </w:rPr>
        <w:t>rpjekjet p</w:t>
      </w:r>
      <w:r w:rsidR="005D3CCC" w:rsidRPr="0032048B">
        <w:rPr>
          <w:sz w:val="24"/>
          <w:lang w:val="sq-AL"/>
        </w:rPr>
        <w:t>ë</w:t>
      </w:r>
      <w:r w:rsidRPr="0032048B">
        <w:rPr>
          <w:sz w:val="24"/>
          <w:lang w:val="sq-AL"/>
        </w:rPr>
        <w:t>r t</w:t>
      </w:r>
      <w:r w:rsidR="005D3CCC" w:rsidRPr="0032048B">
        <w:rPr>
          <w:sz w:val="24"/>
          <w:lang w:val="sq-AL"/>
        </w:rPr>
        <w:t>ë</w:t>
      </w:r>
      <w:r w:rsidRPr="0032048B">
        <w:rPr>
          <w:sz w:val="24"/>
          <w:lang w:val="sq-AL"/>
        </w:rPr>
        <w:t xml:space="preserve"> p</w:t>
      </w:r>
      <w:r w:rsidR="005D3CCC" w:rsidRPr="0032048B">
        <w:rPr>
          <w:sz w:val="24"/>
          <w:lang w:val="sq-AL"/>
        </w:rPr>
        <w:t>ë</w:t>
      </w:r>
      <w:r w:rsidRPr="0032048B">
        <w:rPr>
          <w:sz w:val="24"/>
          <w:lang w:val="sq-AL"/>
        </w:rPr>
        <w:t>rmir</w:t>
      </w:r>
      <w:r w:rsidR="005D3CCC" w:rsidRPr="0032048B">
        <w:rPr>
          <w:sz w:val="24"/>
          <w:lang w:val="sq-AL"/>
        </w:rPr>
        <w:t>ë</w:t>
      </w:r>
      <w:r w:rsidRPr="0032048B">
        <w:rPr>
          <w:sz w:val="24"/>
          <w:lang w:val="sq-AL"/>
        </w:rPr>
        <w:t>suar arritjet n</w:t>
      </w:r>
      <w:r w:rsidR="005D3CCC" w:rsidRPr="0032048B">
        <w:rPr>
          <w:sz w:val="24"/>
          <w:lang w:val="sq-AL"/>
        </w:rPr>
        <w:t>ë</w:t>
      </w:r>
      <w:r w:rsidRPr="0032048B">
        <w:rPr>
          <w:sz w:val="24"/>
          <w:lang w:val="sq-AL"/>
        </w:rPr>
        <w:t xml:space="preserve"> fush</w:t>
      </w:r>
      <w:r w:rsidR="005D3CCC" w:rsidRPr="0032048B">
        <w:rPr>
          <w:sz w:val="24"/>
          <w:lang w:val="sq-AL"/>
        </w:rPr>
        <w:t>ë</w:t>
      </w:r>
      <w:r w:rsidRPr="0032048B">
        <w:rPr>
          <w:sz w:val="24"/>
          <w:lang w:val="sq-AL"/>
        </w:rPr>
        <w:t>n e hetimeve, ndjekjeve penale dhe dënimeve në luftën kundër korrupsionit.</w:t>
      </w:r>
    </w:p>
    <w:p w14:paraId="1DDE3E8C" w14:textId="2BF9D17E" w:rsidR="00380775" w:rsidRPr="0032048B" w:rsidRDefault="00380775" w:rsidP="00361D5A">
      <w:pPr>
        <w:tabs>
          <w:tab w:val="left" w:pos="1134"/>
          <w:tab w:val="left" w:pos="8640"/>
        </w:tabs>
        <w:spacing w:before="120"/>
        <w:ind w:left="993" w:right="1067"/>
        <w:jc w:val="both"/>
        <w:rPr>
          <w:sz w:val="24"/>
          <w:lang w:val="sq-AL"/>
        </w:rPr>
      </w:pPr>
      <w:r w:rsidRPr="0032048B">
        <w:rPr>
          <w:sz w:val="24"/>
          <w:lang w:val="sq-AL"/>
        </w:rPr>
        <w:t>Organet e specializuara të zbatimit të ligjit, përgjegjës për hetimin, ndjekjen penale dhe gjykimin e çështjeve komplekse të korrupsionit - SPAK-u dhe gjykatat e posaçme kund</w:t>
      </w:r>
      <w:r w:rsidR="005D3CCC" w:rsidRPr="0032048B">
        <w:rPr>
          <w:sz w:val="24"/>
          <w:lang w:val="sq-AL"/>
        </w:rPr>
        <w:t>ë</w:t>
      </w:r>
      <w:r w:rsidRPr="0032048B">
        <w:rPr>
          <w:sz w:val="24"/>
          <w:lang w:val="sq-AL"/>
        </w:rPr>
        <w:t>r korrupsionit dhe krimit t</w:t>
      </w:r>
      <w:r w:rsidR="005D3CCC" w:rsidRPr="0032048B">
        <w:rPr>
          <w:sz w:val="24"/>
          <w:lang w:val="sq-AL"/>
        </w:rPr>
        <w:t>ë</w:t>
      </w:r>
      <w:r w:rsidRPr="0032048B">
        <w:rPr>
          <w:sz w:val="24"/>
          <w:lang w:val="sq-AL"/>
        </w:rPr>
        <w:t xml:space="preserve"> </w:t>
      </w:r>
      <w:r w:rsidR="00A10A50" w:rsidRPr="0032048B">
        <w:rPr>
          <w:sz w:val="24"/>
          <w:lang w:val="sq-AL"/>
        </w:rPr>
        <w:t>organizuar</w:t>
      </w:r>
      <w:r w:rsidRPr="0032048B">
        <w:rPr>
          <w:sz w:val="24"/>
          <w:lang w:val="sq-AL"/>
        </w:rPr>
        <w:t xml:space="preserve"> -vazhduan t</w:t>
      </w:r>
      <w:r w:rsidR="005D3CCC" w:rsidRPr="0032048B">
        <w:rPr>
          <w:sz w:val="24"/>
          <w:lang w:val="sq-AL"/>
        </w:rPr>
        <w:t>ë</w:t>
      </w:r>
      <w:r w:rsidRPr="0032048B">
        <w:rPr>
          <w:sz w:val="24"/>
          <w:lang w:val="sq-AL"/>
        </w:rPr>
        <w:t xml:space="preserve"> jen</w:t>
      </w:r>
      <w:r w:rsidR="005D3CCC" w:rsidRPr="0032048B">
        <w:rPr>
          <w:sz w:val="24"/>
          <w:lang w:val="sq-AL"/>
        </w:rPr>
        <w:t>ë</w:t>
      </w:r>
      <w:r w:rsidRPr="0032048B">
        <w:rPr>
          <w:sz w:val="24"/>
          <w:lang w:val="sq-AL"/>
        </w:rPr>
        <w:t xml:space="preserve"> funksionale</w:t>
      </w:r>
      <w:r w:rsidR="004D53EC">
        <w:rPr>
          <w:sz w:val="24"/>
          <w:lang w:val="sq-AL"/>
        </w:rPr>
        <w:t xml:space="preserve"> </w:t>
      </w:r>
      <w:r w:rsidRPr="0032048B">
        <w:rPr>
          <w:sz w:val="24"/>
          <w:lang w:val="sq-AL"/>
        </w:rPr>
        <w:t>gjatë periudhës së raportimit.</w:t>
      </w:r>
    </w:p>
    <w:p w14:paraId="7212486A" w14:textId="77777777" w:rsidR="00380775" w:rsidRPr="0032048B" w:rsidRDefault="00380775" w:rsidP="00361D5A">
      <w:pPr>
        <w:tabs>
          <w:tab w:val="left" w:pos="1134"/>
          <w:tab w:val="left" w:pos="8640"/>
        </w:tabs>
        <w:spacing w:before="120"/>
        <w:ind w:left="993" w:right="1067"/>
        <w:jc w:val="both"/>
        <w:rPr>
          <w:sz w:val="24"/>
          <w:lang w:val="sq-AL"/>
        </w:rPr>
      </w:pPr>
      <w:r w:rsidRPr="0032048B">
        <w:rPr>
          <w:sz w:val="24"/>
          <w:lang w:val="sq-AL"/>
        </w:rPr>
        <w:lastRenderedPageBreak/>
        <w:t>Sidoqoftë, nevojitet vullnet më i madh politik dhe përpjekje më të strukturuara dhe të qëndrueshme, përfshirë burimet, mjetet dhe aftësitë adekuate, për të trajtuar në mënyrë sistematike rastet e korrupsionit.</w:t>
      </w:r>
    </w:p>
    <w:p w14:paraId="4270F641" w14:textId="33AE9FE2" w:rsidR="00380775" w:rsidRPr="0032048B" w:rsidRDefault="00380775" w:rsidP="00361D5A">
      <w:pPr>
        <w:tabs>
          <w:tab w:val="left" w:pos="1134"/>
          <w:tab w:val="left" w:pos="8640"/>
        </w:tabs>
        <w:spacing w:before="120"/>
        <w:ind w:left="993" w:right="1067"/>
        <w:jc w:val="both"/>
        <w:rPr>
          <w:sz w:val="24"/>
          <w:lang w:val="sq-AL"/>
        </w:rPr>
      </w:pPr>
      <w:r w:rsidRPr="0032048B">
        <w:rPr>
          <w:sz w:val="24"/>
          <w:lang w:val="sq-AL"/>
        </w:rPr>
        <w:t>Në vitin 2022, 186 njerëz u dënuan për korrupsion në sektorin publik dhe 7 p</w:t>
      </w:r>
      <w:r w:rsidR="005D3CCC" w:rsidRPr="0032048B">
        <w:rPr>
          <w:sz w:val="24"/>
          <w:lang w:val="sq-AL"/>
        </w:rPr>
        <w:t>ë</w:t>
      </w:r>
      <w:r w:rsidRPr="0032048B">
        <w:rPr>
          <w:sz w:val="24"/>
          <w:lang w:val="sq-AL"/>
        </w:rPr>
        <w:t>r korrupsion të nivelit të lartë, ndërsa 298 raste të reja u dërguan në gjykatë për sektorin publik dhe asnjë për korrupsion të nivelit të lartë, 18 njerëz u dënuan për korrupsion në sistemin gjyqësor.</w:t>
      </w:r>
    </w:p>
    <w:p w14:paraId="02A3FD40" w14:textId="0D55E973" w:rsidR="00380775" w:rsidRPr="0032048B" w:rsidRDefault="00380775" w:rsidP="00361D5A">
      <w:pPr>
        <w:tabs>
          <w:tab w:val="left" w:pos="1134"/>
          <w:tab w:val="left" w:pos="8640"/>
        </w:tabs>
        <w:spacing w:before="120"/>
        <w:ind w:left="993" w:right="1067"/>
        <w:jc w:val="both"/>
        <w:rPr>
          <w:sz w:val="24"/>
          <w:lang w:val="sq-AL"/>
        </w:rPr>
      </w:pPr>
      <w:r w:rsidRPr="0032048B">
        <w:rPr>
          <w:sz w:val="24"/>
          <w:lang w:val="sq-AL"/>
        </w:rPr>
        <w:t>Gjat</w:t>
      </w:r>
      <w:r w:rsidR="005D3CCC" w:rsidRPr="0032048B">
        <w:rPr>
          <w:sz w:val="24"/>
          <w:lang w:val="sq-AL"/>
        </w:rPr>
        <w:t>ë</w:t>
      </w:r>
      <w:r w:rsidRPr="0032048B">
        <w:rPr>
          <w:sz w:val="24"/>
          <w:lang w:val="sq-AL"/>
        </w:rPr>
        <w:t xml:space="preserve"> 2022, Sektori </w:t>
      </w:r>
      <w:proofErr w:type="spellStart"/>
      <w:r w:rsidRPr="0032048B">
        <w:rPr>
          <w:sz w:val="24"/>
          <w:lang w:val="sq-AL"/>
        </w:rPr>
        <w:t>antikorrupsion</w:t>
      </w:r>
      <w:proofErr w:type="spellEnd"/>
      <w:r w:rsidRPr="0032048B">
        <w:rPr>
          <w:sz w:val="24"/>
          <w:lang w:val="sq-AL"/>
        </w:rPr>
        <w:t xml:space="preserve"> në Policinë e Shtetit regjistroi gjithsej 1 193 vepra penale dhe hetoi 1 537 të dyshuar, nga 1 018 vepra penale dhe 1 491 të ndjekur penalisht</w:t>
      </w:r>
      <w:r w:rsidR="004D53EC">
        <w:rPr>
          <w:sz w:val="24"/>
          <w:lang w:val="sq-AL"/>
        </w:rPr>
        <w:t xml:space="preserve"> </w:t>
      </w:r>
      <w:r w:rsidRPr="0032048B">
        <w:rPr>
          <w:sz w:val="24"/>
          <w:lang w:val="sq-AL"/>
        </w:rPr>
        <w:t xml:space="preserve"> në 2021.</w:t>
      </w:r>
    </w:p>
    <w:p w14:paraId="6837275C" w14:textId="21E97ECC" w:rsidR="00380775" w:rsidRPr="0032048B" w:rsidRDefault="00380775" w:rsidP="00361D5A">
      <w:pPr>
        <w:tabs>
          <w:tab w:val="left" w:pos="1134"/>
          <w:tab w:val="left" w:pos="8640"/>
        </w:tabs>
        <w:spacing w:before="120"/>
        <w:ind w:left="993" w:right="1067"/>
        <w:jc w:val="both"/>
        <w:rPr>
          <w:sz w:val="24"/>
          <w:lang w:val="sq-AL"/>
        </w:rPr>
      </w:pPr>
      <w:r w:rsidRPr="0032048B">
        <w:rPr>
          <w:b/>
          <w:sz w:val="24"/>
          <w:lang w:val="sq-AL"/>
        </w:rPr>
        <w:t>Konfiskimet e produkteve</w:t>
      </w:r>
      <w:r w:rsidRPr="0032048B">
        <w:rPr>
          <w:sz w:val="24"/>
          <w:lang w:val="sq-AL"/>
        </w:rPr>
        <w:t xml:space="preserve"> t</w:t>
      </w:r>
      <w:r w:rsidR="005D3CCC" w:rsidRPr="0032048B">
        <w:rPr>
          <w:sz w:val="24"/>
          <w:lang w:val="sq-AL"/>
        </w:rPr>
        <w:t>ë</w:t>
      </w:r>
      <w:r w:rsidRPr="0032048B">
        <w:rPr>
          <w:sz w:val="24"/>
          <w:lang w:val="sq-AL"/>
        </w:rPr>
        <w:t xml:space="preserve"> veprave penale t</w:t>
      </w:r>
      <w:r w:rsidR="005D3CCC" w:rsidRPr="0032048B">
        <w:rPr>
          <w:sz w:val="24"/>
          <w:lang w:val="sq-AL"/>
        </w:rPr>
        <w:t>ë</w:t>
      </w:r>
      <w:r w:rsidRPr="0032048B">
        <w:rPr>
          <w:sz w:val="24"/>
          <w:lang w:val="sq-AL"/>
        </w:rPr>
        <w:t xml:space="preserve"> lidhura me korrupsionin arritën vlerën</w:t>
      </w:r>
      <w:r w:rsidR="004D53EC">
        <w:rPr>
          <w:sz w:val="24"/>
          <w:lang w:val="sq-AL"/>
        </w:rPr>
        <w:t xml:space="preserve"> </w:t>
      </w:r>
      <w:r w:rsidRPr="0032048B">
        <w:rPr>
          <w:sz w:val="24"/>
          <w:lang w:val="sq-AL"/>
        </w:rPr>
        <w:t>38 milion EUR në 2022, krahasuar me 21 milion EUR në 2021. Vlera e raportuar e konfiskimeve mbetet shumë më e ulët dhe duhet të rritet ndjeshëm.</w:t>
      </w:r>
    </w:p>
    <w:p w14:paraId="26EDED96" w14:textId="792638D4" w:rsidR="00380775" w:rsidRPr="0032048B" w:rsidRDefault="00380775" w:rsidP="00361D5A">
      <w:pPr>
        <w:tabs>
          <w:tab w:val="left" w:pos="1134"/>
          <w:tab w:val="left" w:pos="8640"/>
        </w:tabs>
        <w:spacing w:before="120"/>
        <w:ind w:left="993" w:right="1067"/>
        <w:jc w:val="both"/>
        <w:rPr>
          <w:sz w:val="24"/>
          <w:lang w:val="sq-AL"/>
        </w:rPr>
      </w:pPr>
      <w:r w:rsidRPr="0032048B">
        <w:rPr>
          <w:sz w:val="24"/>
          <w:lang w:val="sq-AL"/>
        </w:rPr>
        <w:t xml:space="preserve">Për </w:t>
      </w:r>
      <w:r w:rsidRPr="0032048B">
        <w:rPr>
          <w:b/>
          <w:sz w:val="24"/>
          <w:lang w:val="sq-AL"/>
        </w:rPr>
        <w:t>çështjet e profilit të lartë</w:t>
      </w:r>
      <w:r w:rsidRPr="0032048B">
        <w:rPr>
          <w:sz w:val="24"/>
          <w:lang w:val="sq-AL"/>
        </w:rPr>
        <w:t>, gjykatat e posaçme kund</w:t>
      </w:r>
      <w:r w:rsidR="005D3CCC" w:rsidRPr="0032048B">
        <w:rPr>
          <w:sz w:val="24"/>
          <w:lang w:val="sq-AL"/>
        </w:rPr>
        <w:t>ë</w:t>
      </w:r>
      <w:r w:rsidRPr="0032048B">
        <w:rPr>
          <w:sz w:val="24"/>
          <w:lang w:val="sq-AL"/>
        </w:rPr>
        <w:t>r korrupsionit dhe krimit t</w:t>
      </w:r>
      <w:r w:rsidR="005D3CCC" w:rsidRPr="0032048B">
        <w:rPr>
          <w:sz w:val="24"/>
          <w:lang w:val="sq-AL"/>
        </w:rPr>
        <w:t>ë</w:t>
      </w:r>
      <w:r w:rsidRPr="0032048B">
        <w:rPr>
          <w:sz w:val="24"/>
          <w:lang w:val="sq-AL"/>
        </w:rPr>
        <w:t xml:space="preserve"> organizuar dhan</w:t>
      </w:r>
      <w:r w:rsidR="005D3CCC" w:rsidRPr="0032048B">
        <w:rPr>
          <w:sz w:val="24"/>
          <w:lang w:val="sq-AL"/>
        </w:rPr>
        <w:t>ë</w:t>
      </w:r>
      <w:r w:rsidRPr="0032048B">
        <w:rPr>
          <w:sz w:val="24"/>
          <w:lang w:val="sq-AL"/>
        </w:rPr>
        <w:t xml:space="preserve"> dënime penale, si n</w:t>
      </w:r>
      <w:r w:rsidR="005D3CCC" w:rsidRPr="0032048B">
        <w:rPr>
          <w:sz w:val="24"/>
          <w:lang w:val="sq-AL"/>
        </w:rPr>
        <w:t>ë</w:t>
      </w:r>
      <w:r w:rsidRPr="0032048B">
        <w:rPr>
          <w:sz w:val="24"/>
          <w:lang w:val="sq-AL"/>
        </w:rPr>
        <w:t xml:space="preserve"> rastin e dënimit t</w:t>
      </w:r>
      <w:r w:rsidR="005D3CCC" w:rsidRPr="0032048B">
        <w:rPr>
          <w:sz w:val="24"/>
          <w:lang w:val="sq-AL"/>
        </w:rPr>
        <w:t>ë</w:t>
      </w:r>
      <w:r w:rsidRPr="0032048B">
        <w:rPr>
          <w:sz w:val="24"/>
          <w:lang w:val="sq-AL"/>
        </w:rPr>
        <w:t xml:space="preserve"> një ish-ministri të mjedisit me 10 vjet burg dhe i një deputeti t</w:t>
      </w:r>
      <w:r w:rsidR="005D3CCC" w:rsidRPr="0032048B">
        <w:rPr>
          <w:sz w:val="24"/>
          <w:lang w:val="sq-AL"/>
        </w:rPr>
        <w:t>ë</w:t>
      </w:r>
      <w:r w:rsidRPr="0032048B">
        <w:rPr>
          <w:sz w:val="24"/>
          <w:lang w:val="sq-AL"/>
        </w:rPr>
        <w:t xml:space="preserve"> parlamentit me katër vjet burg, n</w:t>
      </w:r>
      <w:r w:rsidR="005D3CCC" w:rsidRPr="0032048B">
        <w:rPr>
          <w:sz w:val="24"/>
          <w:lang w:val="sq-AL"/>
        </w:rPr>
        <w:t>ë</w:t>
      </w:r>
      <w:r w:rsidRPr="0032048B">
        <w:rPr>
          <w:sz w:val="24"/>
          <w:lang w:val="sq-AL"/>
        </w:rPr>
        <w:t xml:space="preserve"> kuadrin e hetimit mbi kontratat e koncesionit të trajtimit t</w:t>
      </w:r>
      <w:r w:rsidR="005D3CCC" w:rsidRPr="0032048B">
        <w:rPr>
          <w:sz w:val="24"/>
          <w:lang w:val="sq-AL"/>
        </w:rPr>
        <w:t>ë</w:t>
      </w:r>
      <w:r w:rsidRPr="0032048B">
        <w:rPr>
          <w:sz w:val="24"/>
          <w:lang w:val="sq-AL"/>
        </w:rPr>
        <w:t xml:space="preserve"> mbetjeve urbane (</w:t>
      </w:r>
      <w:r w:rsidR="00A10A50" w:rsidRPr="0032048B">
        <w:rPr>
          <w:sz w:val="24"/>
          <w:lang w:val="sq-AL"/>
        </w:rPr>
        <w:t>çështja</w:t>
      </w:r>
      <w:r w:rsidRPr="0032048B">
        <w:rPr>
          <w:sz w:val="24"/>
          <w:lang w:val="sq-AL"/>
        </w:rPr>
        <w:t xml:space="preserve"> e </w:t>
      </w:r>
      <w:proofErr w:type="spellStart"/>
      <w:r w:rsidRPr="0032048B">
        <w:rPr>
          <w:sz w:val="24"/>
          <w:lang w:val="sq-AL"/>
        </w:rPr>
        <w:t>inceneratorëve</w:t>
      </w:r>
      <w:proofErr w:type="spellEnd"/>
      <w:r w:rsidRPr="0032048B">
        <w:rPr>
          <w:sz w:val="24"/>
          <w:lang w:val="sq-AL"/>
        </w:rPr>
        <w:t>), d</w:t>
      </w:r>
      <w:r w:rsidR="005D3CCC" w:rsidRPr="0032048B">
        <w:rPr>
          <w:sz w:val="24"/>
          <w:lang w:val="sq-AL"/>
        </w:rPr>
        <w:t>ë</w:t>
      </w:r>
      <w:r w:rsidRPr="0032048B">
        <w:rPr>
          <w:sz w:val="24"/>
          <w:lang w:val="sq-AL"/>
        </w:rPr>
        <w:t>nime t</w:t>
      </w:r>
      <w:r w:rsidR="005D3CCC" w:rsidRPr="0032048B">
        <w:rPr>
          <w:sz w:val="24"/>
          <w:lang w:val="sq-AL"/>
        </w:rPr>
        <w:t>ë</w:t>
      </w:r>
      <w:r w:rsidRPr="0032048B">
        <w:rPr>
          <w:sz w:val="24"/>
          <w:lang w:val="sq-AL"/>
        </w:rPr>
        <w:t xml:space="preserve"> cilat u ul</w:t>
      </w:r>
      <w:r w:rsidR="005D3CCC" w:rsidRPr="0032048B">
        <w:rPr>
          <w:sz w:val="24"/>
          <w:lang w:val="sq-AL"/>
        </w:rPr>
        <w:t>ë</w:t>
      </w:r>
      <w:r w:rsidRPr="0032048B">
        <w:rPr>
          <w:sz w:val="24"/>
          <w:lang w:val="sq-AL"/>
        </w:rPr>
        <w:t>n në 6.8 dhe 2.8 vjet përkatësisht për shkak të gjykimit të shkurtuar. Një ish -Zëvendës Kryeministër u akuzua nga SPAK-u për vepra penale, përfshirë korrupsionin pasiv, si pjesë e hetimeve për çështjen e ‘</w:t>
      </w:r>
      <w:proofErr w:type="spellStart"/>
      <w:r w:rsidRPr="0032048B">
        <w:rPr>
          <w:sz w:val="24"/>
          <w:lang w:val="sq-AL"/>
        </w:rPr>
        <w:t>incenerator</w:t>
      </w:r>
      <w:r w:rsidR="005D3CCC" w:rsidRPr="0032048B">
        <w:rPr>
          <w:sz w:val="24"/>
          <w:lang w:val="sq-AL"/>
        </w:rPr>
        <w:t>ë</w:t>
      </w:r>
      <w:r w:rsidRPr="0032048B">
        <w:rPr>
          <w:sz w:val="24"/>
          <w:lang w:val="sq-AL"/>
        </w:rPr>
        <w:t>ve</w:t>
      </w:r>
      <w:proofErr w:type="spellEnd"/>
      <w:r w:rsidRPr="0032048B">
        <w:rPr>
          <w:sz w:val="24"/>
          <w:lang w:val="sq-AL"/>
        </w:rPr>
        <w:t>’. Një ish -Zëvendës Ministër i Shëndetësisë u arrestua në lidhje me një çështje prokurimi. Kanë vazhduar hetimet e filluara më parë për zyrtarët e nivelit të lartë.</w:t>
      </w:r>
    </w:p>
    <w:p w14:paraId="10C052F6" w14:textId="291F6E59" w:rsidR="00380775" w:rsidRPr="0032048B" w:rsidRDefault="00380775" w:rsidP="00361D5A">
      <w:pPr>
        <w:tabs>
          <w:tab w:val="left" w:pos="1134"/>
          <w:tab w:val="left" w:pos="8640"/>
        </w:tabs>
        <w:spacing w:before="120"/>
        <w:ind w:left="993" w:right="1067"/>
        <w:jc w:val="both"/>
        <w:rPr>
          <w:sz w:val="24"/>
          <w:lang w:val="sq-AL"/>
        </w:rPr>
      </w:pPr>
      <w:r w:rsidRPr="0032048B">
        <w:rPr>
          <w:sz w:val="24"/>
          <w:lang w:val="sq-AL"/>
        </w:rPr>
        <w:t xml:space="preserve">Në vitin 2022, </w:t>
      </w:r>
      <w:r w:rsidRPr="0032048B">
        <w:rPr>
          <w:b/>
          <w:sz w:val="24"/>
          <w:lang w:val="sq-AL"/>
        </w:rPr>
        <w:t>hetimet administrative</w:t>
      </w:r>
      <w:r w:rsidRPr="0032048B">
        <w:rPr>
          <w:sz w:val="24"/>
          <w:lang w:val="sq-AL"/>
        </w:rPr>
        <w:t xml:space="preserve"> të kryera nga Drejtoria e Përgjithshme Kundër Korrupsionit çuan në 20 kal</w:t>
      </w:r>
      <w:r w:rsidR="00A10A50" w:rsidRPr="0032048B">
        <w:rPr>
          <w:sz w:val="24"/>
          <w:lang w:val="sq-AL"/>
        </w:rPr>
        <w:t>l</w:t>
      </w:r>
      <w:r w:rsidR="005D3CCC" w:rsidRPr="0032048B">
        <w:rPr>
          <w:sz w:val="24"/>
          <w:lang w:val="sq-AL"/>
        </w:rPr>
        <w:t>ë</w:t>
      </w:r>
      <w:r w:rsidRPr="0032048B">
        <w:rPr>
          <w:sz w:val="24"/>
          <w:lang w:val="sq-AL"/>
        </w:rPr>
        <w:t>zime penale (krahasuar me 12 në 2021), dhe 43 kall</w:t>
      </w:r>
      <w:r w:rsidR="005D3CCC" w:rsidRPr="0032048B">
        <w:rPr>
          <w:sz w:val="24"/>
          <w:lang w:val="sq-AL"/>
        </w:rPr>
        <w:t>ë</w:t>
      </w:r>
      <w:r w:rsidRPr="0032048B">
        <w:rPr>
          <w:sz w:val="24"/>
          <w:lang w:val="sq-AL"/>
        </w:rPr>
        <w:t>zime administrative me 259 masa disiplinore. Bazuar në analizën e t</w:t>
      </w:r>
      <w:r w:rsidR="005D3CCC" w:rsidRPr="0032048B">
        <w:rPr>
          <w:sz w:val="24"/>
          <w:lang w:val="sq-AL"/>
        </w:rPr>
        <w:t>ë</w:t>
      </w:r>
      <w:r w:rsidRPr="0032048B">
        <w:rPr>
          <w:sz w:val="24"/>
          <w:lang w:val="sq-AL"/>
        </w:rPr>
        <w:t xml:space="preserve"> dh</w:t>
      </w:r>
      <w:r w:rsidR="005D3CCC" w:rsidRPr="0032048B">
        <w:rPr>
          <w:sz w:val="24"/>
          <w:lang w:val="sq-AL"/>
        </w:rPr>
        <w:t>ë</w:t>
      </w:r>
      <w:r w:rsidRPr="0032048B">
        <w:rPr>
          <w:sz w:val="24"/>
          <w:lang w:val="sq-AL"/>
        </w:rPr>
        <w:t>nave p</w:t>
      </w:r>
      <w:r w:rsidR="005D3CCC" w:rsidRPr="0032048B">
        <w:rPr>
          <w:sz w:val="24"/>
          <w:lang w:val="sq-AL"/>
        </w:rPr>
        <w:t>ë</w:t>
      </w:r>
      <w:r w:rsidRPr="0032048B">
        <w:rPr>
          <w:sz w:val="24"/>
          <w:lang w:val="sq-AL"/>
        </w:rPr>
        <w:t>r masat disiplinore dhe shkeljeve t</w:t>
      </w:r>
      <w:r w:rsidR="005D3CCC" w:rsidRPr="0032048B">
        <w:rPr>
          <w:sz w:val="24"/>
          <w:lang w:val="sq-AL"/>
        </w:rPr>
        <w:t>ë</w:t>
      </w:r>
      <w:r w:rsidRPr="0032048B">
        <w:rPr>
          <w:sz w:val="24"/>
          <w:lang w:val="sq-AL"/>
        </w:rPr>
        <w:t xml:space="preserve"> tjera, agjencit</w:t>
      </w:r>
      <w:r w:rsidR="005D3CCC" w:rsidRPr="0032048B">
        <w:rPr>
          <w:sz w:val="24"/>
          <w:lang w:val="sq-AL"/>
        </w:rPr>
        <w:t>ë</w:t>
      </w:r>
      <w:r w:rsidRPr="0032048B">
        <w:rPr>
          <w:sz w:val="24"/>
          <w:lang w:val="sq-AL"/>
        </w:rPr>
        <w:t xml:space="preserve"> p</w:t>
      </w:r>
      <w:r w:rsidR="005D3CCC" w:rsidRPr="0032048B">
        <w:rPr>
          <w:sz w:val="24"/>
          <w:lang w:val="sq-AL"/>
        </w:rPr>
        <w:t>ë</w:t>
      </w:r>
      <w:r w:rsidRPr="0032048B">
        <w:rPr>
          <w:sz w:val="24"/>
          <w:lang w:val="sq-AL"/>
        </w:rPr>
        <w:t>rkat</w:t>
      </w:r>
      <w:r w:rsidR="005D3CCC" w:rsidRPr="0032048B">
        <w:rPr>
          <w:sz w:val="24"/>
          <w:lang w:val="sq-AL"/>
        </w:rPr>
        <w:t>ë</w:t>
      </w:r>
      <w:r w:rsidRPr="0032048B">
        <w:rPr>
          <w:sz w:val="24"/>
          <w:lang w:val="sq-AL"/>
        </w:rPr>
        <w:t>se</w:t>
      </w:r>
      <w:r w:rsidR="00A10A50" w:rsidRPr="0032048B">
        <w:rPr>
          <w:sz w:val="24"/>
          <w:lang w:val="sq-AL"/>
        </w:rPr>
        <w:t xml:space="preserve"> </w:t>
      </w:r>
      <w:r w:rsidRPr="0032048B">
        <w:rPr>
          <w:sz w:val="24"/>
          <w:lang w:val="sq-AL"/>
        </w:rPr>
        <w:t>duhet t</w:t>
      </w:r>
      <w:r w:rsidR="005D3CCC" w:rsidRPr="0032048B">
        <w:rPr>
          <w:sz w:val="24"/>
          <w:lang w:val="sq-AL"/>
        </w:rPr>
        <w:t>ë</w:t>
      </w:r>
      <w:r w:rsidRPr="0032048B">
        <w:rPr>
          <w:sz w:val="24"/>
          <w:lang w:val="sq-AL"/>
        </w:rPr>
        <w:t xml:space="preserve"> miratojn</w:t>
      </w:r>
      <w:r w:rsidR="005D3CCC" w:rsidRPr="0032048B">
        <w:rPr>
          <w:sz w:val="24"/>
          <w:lang w:val="sq-AL"/>
        </w:rPr>
        <w:t>ë</w:t>
      </w:r>
      <w:r w:rsidRPr="0032048B">
        <w:rPr>
          <w:sz w:val="24"/>
          <w:lang w:val="sq-AL"/>
        </w:rPr>
        <w:t xml:space="preserve"> një politikë parandaluese sistematike.</w:t>
      </w:r>
    </w:p>
    <w:p w14:paraId="3D3B5513" w14:textId="10C947C9" w:rsidR="00380775" w:rsidRPr="0032048B" w:rsidRDefault="00380775" w:rsidP="00361D5A">
      <w:pPr>
        <w:tabs>
          <w:tab w:val="left" w:pos="1134"/>
          <w:tab w:val="left" w:pos="8640"/>
        </w:tabs>
        <w:spacing w:before="120"/>
        <w:ind w:left="993" w:right="1067"/>
        <w:jc w:val="both"/>
        <w:rPr>
          <w:sz w:val="24"/>
          <w:szCs w:val="24"/>
          <w:lang w:val="sq-AL"/>
        </w:rPr>
      </w:pPr>
      <w:r w:rsidRPr="0032048B">
        <w:rPr>
          <w:sz w:val="24"/>
          <w:lang w:val="sq-AL"/>
        </w:rPr>
        <w:t>Rivlerësimi kalimtar i anëtarëve të gjyqësorit vazhdoi të ketë një ndikim pozitiv në luftën kundër korrupsionit. Gjatë periudhës së raportimit, 12 raste iu referuan Shërbimeve të Prokurorisë kur procesi i rivlerësimit kalimtar nd</w:t>
      </w:r>
      <w:r w:rsidR="005D3CCC" w:rsidRPr="0032048B">
        <w:rPr>
          <w:sz w:val="24"/>
          <w:lang w:val="sq-AL"/>
        </w:rPr>
        <w:t>ë</w:t>
      </w:r>
      <w:r w:rsidRPr="0032048B">
        <w:rPr>
          <w:sz w:val="24"/>
          <w:lang w:val="sq-AL"/>
        </w:rPr>
        <w:t>rpritej për shkak të dorëheqjes, duke rritur numrin e rasteve të referuara në 34, që përfaqëson rreth 10% të numrit të përgjithshëm të dorëheqjeve dhe shkarkimeve nga detyra. Shërbimet e prokurorisë duhet t</w:t>
      </w:r>
      <w:r w:rsidR="005D3CCC" w:rsidRPr="0032048B">
        <w:rPr>
          <w:sz w:val="24"/>
          <w:lang w:val="sq-AL"/>
        </w:rPr>
        <w:t>ë</w:t>
      </w:r>
      <w:r w:rsidRPr="0032048B">
        <w:rPr>
          <w:sz w:val="24"/>
          <w:lang w:val="sq-AL"/>
        </w:rPr>
        <w:t xml:space="preserve"> shtojn</w:t>
      </w:r>
      <w:r w:rsidR="005D3CCC" w:rsidRPr="0032048B">
        <w:rPr>
          <w:sz w:val="24"/>
          <w:lang w:val="sq-AL"/>
        </w:rPr>
        <w:t>ë</w:t>
      </w:r>
      <w:r w:rsidRPr="0032048B">
        <w:rPr>
          <w:sz w:val="24"/>
          <w:lang w:val="sq-AL"/>
        </w:rPr>
        <w:t xml:space="preserve"> përpjekjet për të filluar në mënyrë sistematike procedurat penale kundër gjyqtarëve dhe prokurorëve të dyshuar për vepra penale nga autoritetet e rivlerësimit kalimtar, veçanërisht në rastet e shkarkimit nga detyra.</w:t>
      </w:r>
    </w:p>
    <w:p w14:paraId="283B8C1A" w14:textId="2E2A8A14" w:rsidR="00380775" w:rsidRPr="0032048B" w:rsidRDefault="00380775" w:rsidP="00361D5A">
      <w:pPr>
        <w:tabs>
          <w:tab w:val="left" w:pos="1134"/>
          <w:tab w:val="left" w:pos="8640"/>
        </w:tabs>
        <w:spacing w:before="120"/>
        <w:ind w:left="993" w:right="1067"/>
        <w:jc w:val="both"/>
        <w:rPr>
          <w:sz w:val="24"/>
          <w:szCs w:val="24"/>
          <w:lang w:val="sq-AL"/>
        </w:rPr>
      </w:pPr>
      <w:r w:rsidRPr="0032048B">
        <w:rPr>
          <w:sz w:val="24"/>
          <w:szCs w:val="24"/>
          <w:lang w:val="sq-AL"/>
        </w:rPr>
        <w:t>Lidhur me deklarimet e pasurive nga zyrtarë të nivelit të lartë të shtetit, në vitin 2022 Inspektorati i Lartë për Deklarimin dhe Kontrollin e Pasuris</w:t>
      </w:r>
      <w:r w:rsidR="005D3CCC" w:rsidRPr="0032048B">
        <w:rPr>
          <w:sz w:val="24"/>
          <w:szCs w:val="24"/>
          <w:lang w:val="sq-AL"/>
        </w:rPr>
        <w:t>ë</w:t>
      </w:r>
      <w:r w:rsidRPr="0032048B">
        <w:rPr>
          <w:sz w:val="24"/>
          <w:szCs w:val="24"/>
          <w:lang w:val="sq-AL"/>
        </w:rPr>
        <w:t xml:space="preserve"> dhe Konfliktit t</w:t>
      </w:r>
      <w:r w:rsidR="005D3CCC" w:rsidRPr="0032048B">
        <w:rPr>
          <w:sz w:val="24"/>
          <w:szCs w:val="24"/>
          <w:lang w:val="sq-AL"/>
        </w:rPr>
        <w:t>ë</w:t>
      </w:r>
      <w:r w:rsidRPr="0032048B">
        <w:rPr>
          <w:sz w:val="24"/>
          <w:szCs w:val="24"/>
          <w:lang w:val="sq-AL"/>
        </w:rPr>
        <w:t xml:space="preserve"> Interesit (ILDKPI) dha 128 masa administrative, t</w:t>
      </w:r>
      <w:r w:rsidR="005D3CCC" w:rsidRPr="0032048B">
        <w:rPr>
          <w:sz w:val="24"/>
          <w:szCs w:val="24"/>
          <w:lang w:val="sq-AL"/>
        </w:rPr>
        <w:t>ë</w:t>
      </w:r>
      <w:r w:rsidRPr="0032048B">
        <w:rPr>
          <w:sz w:val="24"/>
          <w:szCs w:val="24"/>
          <w:lang w:val="sq-AL"/>
        </w:rPr>
        <w:t xml:space="preserve"> tilla si gjobat. ILDKPI referoi 37 raste në agjencitë e zbatimit të ligjit për hetime të mëtejshme (krahasuar me 15 raste në 2021 dhe 72 në 2020). Sistemi elektronik për deklarimin e pasurive dhe interesave private vazhdoi të funksionojë.</w:t>
      </w:r>
    </w:p>
    <w:p w14:paraId="0F7A7EE4" w14:textId="5360EFC1" w:rsidR="00380775" w:rsidRPr="0032048B" w:rsidRDefault="00380775" w:rsidP="00361D5A">
      <w:pPr>
        <w:tabs>
          <w:tab w:val="left" w:pos="1134"/>
          <w:tab w:val="left" w:pos="8640"/>
        </w:tabs>
        <w:spacing w:before="120"/>
        <w:ind w:left="993" w:right="1067"/>
        <w:jc w:val="both"/>
        <w:rPr>
          <w:sz w:val="24"/>
          <w:szCs w:val="24"/>
          <w:lang w:val="sq-AL"/>
        </w:rPr>
      </w:pPr>
      <w:r w:rsidRPr="0032048B">
        <w:rPr>
          <w:sz w:val="24"/>
          <w:szCs w:val="24"/>
          <w:lang w:val="sq-AL"/>
        </w:rPr>
        <w:t>Në vitin 2022, ILDKPI shqyrtoi 13 raste t</w:t>
      </w:r>
      <w:r w:rsidR="005D3CCC" w:rsidRPr="0032048B">
        <w:rPr>
          <w:sz w:val="24"/>
          <w:szCs w:val="24"/>
          <w:lang w:val="sq-AL"/>
        </w:rPr>
        <w:t>ë</w:t>
      </w:r>
      <w:r w:rsidRPr="0032048B">
        <w:rPr>
          <w:sz w:val="24"/>
          <w:szCs w:val="24"/>
          <w:lang w:val="sq-AL"/>
        </w:rPr>
        <w:t xml:space="preserve"> kall</w:t>
      </w:r>
      <w:r w:rsidR="005D3CCC" w:rsidRPr="0032048B">
        <w:rPr>
          <w:sz w:val="24"/>
          <w:szCs w:val="24"/>
          <w:lang w:val="sq-AL"/>
        </w:rPr>
        <w:t>ë</w:t>
      </w:r>
      <w:r w:rsidRPr="0032048B">
        <w:rPr>
          <w:sz w:val="24"/>
          <w:szCs w:val="24"/>
          <w:lang w:val="sq-AL"/>
        </w:rPr>
        <w:t xml:space="preserve">zuara nga </w:t>
      </w:r>
      <w:r w:rsidRPr="0032048B">
        <w:rPr>
          <w:b/>
          <w:sz w:val="24"/>
          <w:szCs w:val="24"/>
          <w:lang w:val="sq-AL"/>
        </w:rPr>
        <w:t>sinjalizuesit</w:t>
      </w:r>
      <w:r w:rsidRPr="0032048B">
        <w:rPr>
          <w:sz w:val="24"/>
          <w:szCs w:val="24"/>
          <w:lang w:val="sq-AL"/>
        </w:rPr>
        <w:t xml:space="preserve"> dhe dy kërkesa për mbrojtje nga hakmarrja. Për të rritur angazhimin e qytetarëve në luftën kundër korrupsionit nevojiten fushata t</w:t>
      </w:r>
      <w:r w:rsidR="005D3CCC" w:rsidRPr="0032048B">
        <w:rPr>
          <w:sz w:val="24"/>
          <w:szCs w:val="24"/>
          <w:lang w:val="sq-AL"/>
        </w:rPr>
        <w:t>ë</w:t>
      </w:r>
      <w:r w:rsidRPr="0032048B">
        <w:rPr>
          <w:sz w:val="24"/>
          <w:szCs w:val="24"/>
          <w:lang w:val="sq-AL"/>
        </w:rPr>
        <w:t xml:space="preserve"> tjera informimi.</w:t>
      </w:r>
    </w:p>
    <w:p w14:paraId="6962A234" w14:textId="759C1C26" w:rsidR="00380775" w:rsidRPr="0032048B" w:rsidRDefault="00380775" w:rsidP="00361D5A">
      <w:pPr>
        <w:tabs>
          <w:tab w:val="left" w:pos="1134"/>
          <w:tab w:val="left" w:pos="8640"/>
        </w:tabs>
        <w:spacing w:before="120"/>
        <w:ind w:left="993" w:right="1067"/>
        <w:jc w:val="both"/>
        <w:rPr>
          <w:sz w:val="24"/>
          <w:szCs w:val="24"/>
          <w:lang w:val="sq-AL"/>
        </w:rPr>
      </w:pPr>
      <w:r w:rsidRPr="0032048B">
        <w:rPr>
          <w:sz w:val="24"/>
          <w:szCs w:val="24"/>
          <w:lang w:val="sq-AL"/>
        </w:rPr>
        <w:t>Sa u përket mekanizmave të kontrollit të brendshëm, Kontrolli i Lart</w:t>
      </w:r>
      <w:r w:rsidR="005D3CCC" w:rsidRPr="0032048B">
        <w:rPr>
          <w:sz w:val="24"/>
          <w:szCs w:val="24"/>
          <w:lang w:val="sq-AL"/>
        </w:rPr>
        <w:t>ë</w:t>
      </w:r>
      <w:r w:rsidRPr="0032048B">
        <w:rPr>
          <w:sz w:val="24"/>
          <w:szCs w:val="24"/>
          <w:lang w:val="sq-AL"/>
        </w:rPr>
        <w:t xml:space="preserve"> i Shtetit (KLSH) raportoi se dëmet e vlerësuara të drejtpërdrejta ekonomike në financat publike në vitin 2022 ishin af</w:t>
      </w:r>
      <w:r w:rsidR="005D3CCC" w:rsidRPr="0032048B">
        <w:rPr>
          <w:sz w:val="24"/>
          <w:szCs w:val="24"/>
          <w:lang w:val="sq-AL"/>
        </w:rPr>
        <w:t>ë</w:t>
      </w:r>
      <w:r w:rsidRPr="0032048B">
        <w:rPr>
          <w:sz w:val="24"/>
          <w:szCs w:val="24"/>
          <w:lang w:val="sq-AL"/>
        </w:rPr>
        <w:t>rsisht 14 milion EURO, afërsisht gjysma n</w:t>
      </w:r>
      <w:r w:rsidR="005D3CCC" w:rsidRPr="0032048B">
        <w:rPr>
          <w:sz w:val="24"/>
          <w:szCs w:val="24"/>
          <w:lang w:val="sq-AL"/>
        </w:rPr>
        <w:t>ë</w:t>
      </w:r>
      <w:r w:rsidRPr="0032048B">
        <w:rPr>
          <w:sz w:val="24"/>
          <w:szCs w:val="24"/>
          <w:lang w:val="sq-AL"/>
        </w:rPr>
        <w:t xml:space="preserve"> të ardhura</w:t>
      </w:r>
      <w:r w:rsidR="00A10A50" w:rsidRPr="0032048B">
        <w:rPr>
          <w:sz w:val="24"/>
          <w:szCs w:val="24"/>
          <w:lang w:val="sq-AL"/>
        </w:rPr>
        <w:t>t</w:t>
      </w:r>
      <w:r w:rsidRPr="0032048B">
        <w:rPr>
          <w:sz w:val="24"/>
          <w:szCs w:val="24"/>
          <w:lang w:val="sq-AL"/>
        </w:rPr>
        <w:t xml:space="preserve"> dhe gjysma n</w:t>
      </w:r>
      <w:r w:rsidR="005D3CCC" w:rsidRPr="0032048B">
        <w:rPr>
          <w:sz w:val="24"/>
          <w:szCs w:val="24"/>
          <w:lang w:val="sq-AL"/>
        </w:rPr>
        <w:t>ë</w:t>
      </w:r>
      <w:r w:rsidRPr="0032048B">
        <w:rPr>
          <w:sz w:val="24"/>
          <w:szCs w:val="24"/>
          <w:lang w:val="sq-AL"/>
        </w:rPr>
        <w:t xml:space="preserve"> shpenzimet. KLSH-ja gjithashtu vlerësoi efektin negativ t</w:t>
      </w:r>
      <w:r w:rsidR="005D3CCC" w:rsidRPr="0032048B">
        <w:rPr>
          <w:sz w:val="24"/>
          <w:szCs w:val="24"/>
          <w:lang w:val="sq-AL"/>
        </w:rPr>
        <w:t>ë</w:t>
      </w:r>
      <w:r w:rsidRPr="0032048B">
        <w:rPr>
          <w:sz w:val="24"/>
          <w:szCs w:val="24"/>
          <w:lang w:val="sq-AL"/>
        </w:rPr>
        <w:t xml:space="preserve"> shkaktuar nga parregullsit</w:t>
      </w:r>
      <w:r w:rsidR="005D3CCC" w:rsidRPr="0032048B">
        <w:rPr>
          <w:sz w:val="24"/>
          <w:szCs w:val="24"/>
          <w:lang w:val="sq-AL"/>
        </w:rPr>
        <w:t>ë</w:t>
      </w:r>
      <w:r w:rsidRPr="0032048B">
        <w:rPr>
          <w:sz w:val="24"/>
          <w:szCs w:val="24"/>
          <w:lang w:val="sq-AL"/>
        </w:rPr>
        <w:t xml:space="preserve"> në rreth 825 milion EURO, ku përfshihen humbjet ekonomike, humbjet nga </w:t>
      </w:r>
      <w:proofErr w:type="spellStart"/>
      <w:r w:rsidRPr="0032048B">
        <w:rPr>
          <w:sz w:val="24"/>
          <w:szCs w:val="24"/>
          <w:lang w:val="sq-AL"/>
        </w:rPr>
        <w:t>eficensa</w:t>
      </w:r>
      <w:proofErr w:type="spellEnd"/>
      <w:r w:rsidRPr="0032048B">
        <w:rPr>
          <w:sz w:val="24"/>
          <w:szCs w:val="24"/>
          <w:lang w:val="sq-AL"/>
        </w:rPr>
        <w:t xml:space="preserve"> dhe humbjet nga efektiviteti. Në vitin 2022, institucioni referoi katër raste, me 16 persona, për ndjekje penale, përfshirë një </w:t>
      </w:r>
      <w:r w:rsidRPr="0032048B">
        <w:rPr>
          <w:sz w:val="24"/>
          <w:szCs w:val="24"/>
          <w:lang w:val="sq-AL"/>
        </w:rPr>
        <w:lastRenderedPageBreak/>
        <w:t>ish -ministër t</w:t>
      </w:r>
      <w:r w:rsidR="005D3CCC" w:rsidRPr="0032048B">
        <w:rPr>
          <w:sz w:val="24"/>
          <w:szCs w:val="24"/>
          <w:lang w:val="sq-AL"/>
        </w:rPr>
        <w:t>ë</w:t>
      </w:r>
      <w:r w:rsidRPr="0032048B">
        <w:rPr>
          <w:sz w:val="24"/>
          <w:szCs w:val="24"/>
          <w:lang w:val="sq-AL"/>
        </w:rPr>
        <w:t xml:space="preserve"> shëndetësis</w:t>
      </w:r>
      <w:r w:rsidR="005D3CCC" w:rsidRPr="0032048B">
        <w:rPr>
          <w:sz w:val="24"/>
          <w:szCs w:val="24"/>
          <w:lang w:val="sq-AL"/>
        </w:rPr>
        <w:t>ë</w:t>
      </w:r>
      <w:r w:rsidRPr="0032048B">
        <w:rPr>
          <w:sz w:val="24"/>
          <w:szCs w:val="24"/>
          <w:lang w:val="sq-AL"/>
        </w:rPr>
        <w:t xml:space="preserve"> dhe një ish drejtor të Autoritetit </w:t>
      </w:r>
      <w:proofErr w:type="spellStart"/>
      <w:r w:rsidRPr="0032048B">
        <w:rPr>
          <w:sz w:val="24"/>
          <w:szCs w:val="24"/>
          <w:lang w:val="sq-AL"/>
        </w:rPr>
        <w:t>Portual</w:t>
      </w:r>
      <w:proofErr w:type="spellEnd"/>
      <w:r w:rsidRPr="0032048B">
        <w:rPr>
          <w:sz w:val="24"/>
          <w:szCs w:val="24"/>
          <w:lang w:val="sq-AL"/>
        </w:rPr>
        <w:t xml:space="preserve"> në Durr</w:t>
      </w:r>
      <w:r w:rsidR="005D3CCC" w:rsidRPr="0032048B">
        <w:rPr>
          <w:sz w:val="24"/>
          <w:szCs w:val="24"/>
          <w:lang w:val="sq-AL"/>
        </w:rPr>
        <w:t>ë</w:t>
      </w:r>
      <w:r w:rsidRPr="0032048B">
        <w:rPr>
          <w:sz w:val="24"/>
          <w:szCs w:val="24"/>
          <w:lang w:val="sq-AL"/>
        </w:rPr>
        <w:t>s. Dy nga këto raste, dhe 12 nga personat, lidheshin me shp</w:t>
      </w:r>
      <w:r w:rsidR="005D3CCC" w:rsidRPr="0032048B">
        <w:rPr>
          <w:sz w:val="24"/>
          <w:szCs w:val="24"/>
          <w:lang w:val="sq-AL"/>
        </w:rPr>
        <w:t>ë</w:t>
      </w:r>
      <w:r w:rsidRPr="0032048B">
        <w:rPr>
          <w:sz w:val="24"/>
          <w:szCs w:val="24"/>
          <w:lang w:val="sq-AL"/>
        </w:rPr>
        <w:t>rdorimin e detyrës në agjencitë e kadastrës në Vlorë dhe Sarandë. (</w:t>
      </w:r>
      <w:r w:rsidRPr="0032048B">
        <w:rPr>
          <w:i/>
          <w:sz w:val="24"/>
          <w:szCs w:val="24"/>
          <w:lang w:val="sq-AL"/>
        </w:rPr>
        <w:t>Shih gjithashtu Kapitullin 32 - Kontrolli Financiar</w:t>
      </w:r>
      <w:r w:rsidRPr="0032048B">
        <w:rPr>
          <w:sz w:val="24"/>
          <w:szCs w:val="24"/>
          <w:lang w:val="sq-AL"/>
        </w:rPr>
        <w:t>).</w:t>
      </w:r>
    </w:p>
    <w:p w14:paraId="07F599A2" w14:textId="0B33089A" w:rsidR="00380775" w:rsidRPr="0032048B" w:rsidRDefault="00380775" w:rsidP="00361D5A">
      <w:pPr>
        <w:tabs>
          <w:tab w:val="left" w:pos="1134"/>
          <w:tab w:val="left" w:pos="8640"/>
        </w:tabs>
        <w:spacing w:before="120"/>
        <w:ind w:left="993" w:right="1067"/>
        <w:jc w:val="both"/>
        <w:rPr>
          <w:sz w:val="24"/>
          <w:szCs w:val="24"/>
          <w:lang w:val="sq-AL"/>
        </w:rPr>
      </w:pPr>
      <w:r w:rsidRPr="0032048B">
        <w:rPr>
          <w:sz w:val="24"/>
          <w:szCs w:val="24"/>
          <w:lang w:val="sq-AL"/>
        </w:rPr>
        <w:t xml:space="preserve">Për </w:t>
      </w:r>
      <w:r w:rsidRPr="0032048B">
        <w:rPr>
          <w:b/>
          <w:sz w:val="24"/>
          <w:szCs w:val="24"/>
          <w:lang w:val="sq-AL"/>
        </w:rPr>
        <w:t>qasjen në informacion</w:t>
      </w:r>
      <w:r w:rsidRPr="0032048B">
        <w:rPr>
          <w:sz w:val="24"/>
          <w:szCs w:val="24"/>
          <w:lang w:val="sq-AL"/>
        </w:rPr>
        <w:t xml:space="preserve">, </w:t>
      </w:r>
      <w:proofErr w:type="spellStart"/>
      <w:r w:rsidRPr="0032048B">
        <w:rPr>
          <w:sz w:val="24"/>
          <w:szCs w:val="24"/>
          <w:lang w:val="sq-AL"/>
        </w:rPr>
        <w:t>Komisioneri</w:t>
      </w:r>
      <w:proofErr w:type="spellEnd"/>
      <w:r w:rsidRPr="0032048B">
        <w:rPr>
          <w:sz w:val="24"/>
          <w:szCs w:val="24"/>
          <w:lang w:val="sq-AL"/>
        </w:rPr>
        <w:t xml:space="preserve"> për të Drejtën e Informimit dhe Mbrojtjen e të Dhënave Personale miratoi modelet e reja të programit të transparencës dhe regjistrin e kërkesave dhe përgjigjeve, si dhe ka monitoruar të gjitha autoritetet publike qendrore dhe të vart</w:t>
      </w:r>
      <w:r w:rsidR="005D3CCC" w:rsidRPr="0032048B">
        <w:rPr>
          <w:sz w:val="24"/>
          <w:szCs w:val="24"/>
          <w:lang w:val="sq-AL"/>
        </w:rPr>
        <w:t>ë</w:t>
      </w:r>
      <w:r w:rsidRPr="0032048B">
        <w:rPr>
          <w:sz w:val="24"/>
          <w:szCs w:val="24"/>
          <w:lang w:val="sq-AL"/>
        </w:rPr>
        <w:t>sis</w:t>
      </w:r>
      <w:r w:rsidR="005D3CCC" w:rsidRPr="0032048B">
        <w:rPr>
          <w:sz w:val="24"/>
          <w:szCs w:val="24"/>
          <w:lang w:val="sq-AL"/>
        </w:rPr>
        <w:t>ë</w:t>
      </w:r>
      <w:r w:rsidRPr="0032048B">
        <w:rPr>
          <w:sz w:val="24"/>
          <w:szCs w:val="24"/>
          <w:lang w:val="sq-AL"/>
        </w:rPr>
        <w:t>, bashk</w:t>
      </w:r>
      <w:r w:rsidR="005D3CCC" w:rsidRPr="0032048B">
        <w:rPr>
          <w:sz w:val="24"/>
          <w:szCs w:val="24"/>
          <w:lang w:val="sq-AL"/>
        </w:rPr>
        <w:t>ë</w:t>
      </w:r>
      <w:r w:rsidRPr="0032048B">
        <w:rPr>
          <w:sz w:val="24"/>
          <w:szCs w:val="24"/>
          <w:lang w:val="sq-AL"/>
        </w:rPr>
        <w:t xml:space="preserve"> me t</w:t>
      </w:r>
      <w:r w:rsidR="005D3CCC" w:rsidRPr="0032048B">
        <w:rPr>
          <w:sz w:val="24"/>
          <w:szCs w:val="24"/>
          <w:lang w:val="sq-AL"/>
        </w:rPr>
        <w:t>ë</w:t>
      </w:r>
      <w:r w:rsidRPr="0032048B">
        <w:rPr>
          <w:sz w:val="24"/>
          <w:szCs w:val="24"/>
          <w:lang w:val="sq-AL"/>
        </w:rPr>
        <w:t xml:space="preserve"> gjitha nj</w:t>
      </w:r>
      <w:r w:rsidR="005D3CCC" w:rsidRPr="0032048B">
        <w:rPr>
          <w:sz w:val="24"/>
          <w:szCs w:val="24"/>
          <w:lang w:val="sq-AL"/>
        </w:rPr>
        <w:t>ë</w:t>
      </w:r>
      <w:r w:rsidRPr="0032048B">
        <w:rPr>
          <w:sz w:val="24"/>
          <w:szCs w:val="24"/>
          <w:lang w:val="sq-AL"/>
        </w:rPr>
        <w:t>sit</w:t>
      </w:r>
      <w:r w:rsidR="005D3CCC" w:rsidRPr="0032048B">
        <w:rPr>
          <w:sz w:val="24"/>
          <w:szCs w:val="24"/>
          <w:lang w:val="sq-AL"/>
        </w:rPr>
        <w:t>ë</w:t>
      </w:r>
      <w:r w:rsidRPr="0032048B">
        <w:rPr>
          <w:sz w:val="24"/>
          <w:szCs w:val="24"/>
          <w:lang w:val="sq-AL"/>
        </w:rPr>
        <w:t xml:space="preserve"> e vetëqeverisjes lokale. Regjistri elektronik i kërkesave dhe përgjigjeve u instalua në 100 autoritete të tjera publike, duke e çuar numrin e përgjithshëm në 195. Një total prej 331 autoritete publike kanë botuar programin e transparencës në faqet e tyre zyrtare.</w:t>
      </w:r>
    </w:p>
    <w:p w14:paraId="74138F2D" w14:textId="3B3C4F1B" w:rsidR="00380775" w:rsidRPr="0032048B" w:rsidRDefault="00380775" w:rsidP="00361D5A">
      <w:pPr>
        <w:tabs>
          <w:tab w:val="left" w:pos="1134"/>
          <w:tab w:val="left" w:pos="8640"/>
        </w:tabs>
        <w:spacing w:before="120"/>
        <w:ind w:left="993" w:right="1067"/>
        <w:jc w:val="both"/>
        <w:rPr>
          <w:sz w:val="24"/>
          <w:szCs w:val="24"/>
          <w:lang w:val="sq-AL"/>
        </w:rPr>
      </w:pPr>
      <w:r w:rsidRPr="0032048B">
        <w:rPr>
          <w:sz w:val="24"/>
          <w:szCs w:val="24"/>
          <w:lang w:val="sq-AL"/>
        </w:rPr>
        <w:t>Masat kundër korrupsionit vazhdojnë të kenë një ndikim të kufizuar në fusha veçanërisht problematike. Korrupsioni mbetet i përhapur në sektorët e shëndetit dhe pronave si dhe brenda policisë. Nevojiten urgjentisht veprime t</w:t>
      </w:r>
      <w:r w:rsidR="005D3CCC" w:rsidRPr="0032048B">
        <w:rPr>
          <w:sz w:val="24"/>
          <w:szCs w:val="24"/>
          <w:lang w:val="sq-AL"/>
        </w:rPr>
        <w:t>ë</w:t>
      </w:r>
      <w:r w:rsidRPr="0032048B">
        <w:rPr>
          <w:sz w:val="24"/>
          <w:szCs w:val="24"/>
          <w:lang w:val="sq-AL"/>
        </w:rPr>
        <w:t xml:space="preserve"> posaçme q</w:t>
      </w:r>
      <w:r w:rsidR="005D3CCC" w:rsidRPr="0032048B">
        <w:rPr>
          <w:sz w:val="24"/>
          <w:szCs w:val="24"/>
          <w:lang w:val="sq-AL"/>
        </w:rPr>
        <w:t>ë</w:t>
      </w:r>
      <w:r w:rsidRPr="0032048B">
        <w:rPr>
          <w:sz w:val="24"/>
          <w:szCs w:val="24"/>
          <w:lang w:val="sq-AL"/>
        </w:rPr>
        <w:t xml:space="preserve"> </w:t>
      </w:r>
      <w:proofErr w:type="spellStart"/>
      <w:r w:rsidRPr="0032048B">
        <w:rPr>
          <w:sz w:val="24"/>
          <w:szCs w:val="24"/>
          <w:lang w:val="sq-AL"/>
        </w:rPr>
        <w:t>sh</w:t>
      </w:r>
      <w:r w:rsidR="005D3CCC" w:rsidRPr="0032048B">
        <w:rPr>
          <w:sz w:val="24"/>
          <w:szCs w:val="24"/>
          <w:lang w:val="sq-AL"/>
        </w:rPr>
        <w:t>ë</w:t>
      </w:r>
      <w:r w:rsidRPr="0032048B">
        <w:rPr>
          <w:sz w:val="24"/>
          <w:szCs w:val="24"/>
          <w:lang w:val="sq-AL"/>
        </w:rPr>
        <w:t>njestrojn</w:t>
      </w:r>
      <w:r w:rsidR="005D3CCC" w:rsidRPr="0032048B">
        <w:rPr>
          <w:sz w:val="24"/>
          <w:szCs w:val="24"/>
          <w:lang w:val="sq-AL"/>
        </w:rPr>
        <w:t>ë</w:t>
      </w:r>
      <w:proofErr w:type="spellEnd"/>
      <w:r w:rsidRPr="0032048B">
        <w:rPr>
          <w:sz w:val="24"/>
          <w:szCs w:val="24"/>
          <w:lang w:val="sq-AL"/>
        </w:rPr>
        <w:t xml:space="preserve"> korrupsionin. Kontrollet e brendshme dhe mekanizmat e inspektimit në administratën publike mbeten të dobëta dhe joefektive.</w:t>
      </w:r>
    </w:p>
    <w:p w14:paraId="2D689B73" w14:textId="77777777" w:rsidR="00380775" w:rsidRPr="0032048B" w:rsidRDefault="00380775" w:rsidP="00361D5A">
      <w:pPr>
        <w:tabs>
          <w:tab w:val="left" w:pos="1134"/>
          <w:tab w:val="left" w:pos="8640"/>
        </w:tabs>
        <w:spacing w:before="119"/>
        <w:ind w:left="993" w:right="1067"/>
        <w:jc w:val="both"/>
        <w:rPr>
          <w:sz w:val="24"/>
          <w:szCs w:val="24"/>
          <w:lang w:val="sq-AL"/>
        </w:rPr>
      </w:pPr>
      <w:r w:rsidRPr="0032048B">
        <w:rPr>
          <w:sz w:val="24"/>
          <w:szCs w:val="24"/>
          <w:u w:val="single"/>
          <w:lang w:val="sq-AL"/>
        </w:rPr>
        <w:t>Kuadri institucional</w:t>
      </w:r>
    </w:p>
    <w:p w14:paraId="2120460C" w14:textId="77777777" w:rsidR="00380775" w:rsidRPr="0032048B" w:rsidRDefault="00380775" w:rsidP="00361D5A">
      <w:pPr>
        <w:tabs>
          <w:tab w:val="left" w:pos="1134"/>
          <w:tab w:val="left" w:pos="8640"/>
        </w:tabs>
        <w:spacing w:before="120"/>
        <w:ind w:left="993" w:right="1067"/>
        <w:jc w:val="both"/>
        <w:rPr>
          <w:i/>
          <w:sz w:val="24"/>
          <w:lang w:val="sq-AL"/>
        </w:rPr>
      </w:pPr>
      <w:r w:rsidRPr="0032048B">
        <w:rPr>
          <w:i/>
          <w:sz w:val="24"/>
          <w:lang w:val="sq-AL"/>
        </w:rPr>
        <w:t>Parandalimi i korrupsionit</w:t>
      </w:r>
    </w:p>
    <w:p w14:paraId="6E2C07D5" w14:textId="3877BD03" w:rsidR="00380775" w:rsidRPr="0032048B" w:rsidRDefault="00380775" w:rsidP="00361D5A">
      <w:pPr>
        <w:tabs>
          <w:tab w:val="left" w:pos="1134"/>
          <w:tab w:val="left" w:pos="8640"/>
        </w:tabs>
        <w:spacing w:before="120"/>
        <w:ind w:left="993" w:right="1067"/>
        <w:jc w:val="both"/>
        <w:rPr>
          <w:sz w:val="24"/>
          <w:szCs w:val="24"/>
          <w:lang w:val="sq-AL"/>
        </w:rPr>
      </w:pPr>
      <w:r w:rsidRPr="0032048B">
        <w:rPr>
          <w:b/>
          <w:sz w:val="24"/>
          <w:szCs w:val="24"/>
          <w:lang w:val="sq-AL"/>
        </w:rPr>
        <w:t xml:space="preserve">Drejtoria e Përgjithshme </w:t>
      </w:r>
      <w:proofErr w:type="spellStart"/>
      <w:r w:rsidRPr="0032048B">
        <w:rPr>
          <w:b/>
          <w:sz w:val="24"/>
          <w:szCs w:val="24"/>
          <w:lang w:val="sq-AL"/>
        </w:rPr>
        <w:t>Anti</w:t>
      </w:r>
      <w:proofErr w:type="spellEnd"/>
      <w:r w:rsidRPr="0032048B">
        <w:rPr>
          <w:b/>
          <w:sz w:val="24"/>
          <w:szCs w:val="24"/>
          <w:lang w:val="sq-AL"/>
        </w:rPr>
        <w:t>-Korrupsion</w:t>
      </w:r>
      <w:r w:rsidRPr="0032048B">
        <w:rPr>
          <w:sz w:val="24"/>
          <w:szCs w:val="24"/>
          <w:lang w:val="sq-AL"/>
        </w:rPr>
        <w:t xml:space="preserve"> në Ministrinë e Drejtësisë është organi kryesor përgjegjës për parandalimin sistematik të korrupsionit dhe rritjen e vetëdijes kund</w:t>
      </w:r>
      <w:r w:rsidR="005D3CCC" w:rsidRPr="0032048B">
        <w:rPr>
          <w:sz w:val="24"/>
          <w:szCs w:val="24"/>
          <w:lang w:val="sq-AL"/>
        </w:rPr>
        <w:t>ë</w:t>
      </w:r>
      <w:r w:rsidRPr="0032048B">
        <w:rPr>
          <w:sz w:val="24"/>
          <w:szCs w:val="24"/>
          <w:lang w:val="sq-AL"/>
        </w:rPr>
        <w:t xml:space="preserve">r tij. Ajo, gjithashtu, kryen hetime administrative në institucione. Ajo bashkëpunon me një </w:t>
      </w:r>
      <w:r w:rsidRPr="0032048B">
        <w:rPr>
          <w:b/>
          <w:sz w:val="24"/>
          <w:szCs w:val="24"/>
          <w:lang w:val="sq-AL"/>
        </w:rPr>
        <w:t xml:space="preserve">rrjet të koordinatorëve </w:t>
      </w:r>
      <w:proofErr w:type="spellStart"/>
      <w:r w:rsidRPr="0032048B">
        <w:rPr>
          <w:b/>
          <w:sz w:val="24"/>
          <w:szCs w:val="24"/>
          <w:lang w:val="sq-AL"/>
        </w:rPr>
        <w:t>antikorrupsion</w:t>
      </w:r>
      <w:proofErr w:type="spellEnd"/>
      <w:r w:rsidRPr="0032048B">
        <w:rPr>
          <w:sz w:val="24"/>
          <w:szCs w:val="24"/>
          <w:lang w:val="sq-AL"/>
        </w:rPr>
        <w:t xml:space="preserve"> të vendosur në 44 institucione shtetërore. Pavarësia, kapacitetet dhe </w:t>
      </w:r>
      <w:proofErr w:type="spellStart"/>
      <w:r w:rsidRPr="0032048B">
        <w:rPr>
          <w:sz w:val="24"/>
          <w:szCs w:val="24"/>
          <w:lang w:val="sq-AL"/>
        </w:rPr>
        <w:t>vizibiliteti</w:t>
      </w:r>
      <w:proofErr w:type="spellEnd"/>
      <w:r w:rsidRPr="0032048B">
        <w:rPr>
          <w:sz w:val="24"/>
          <w:szCs w:val="24"/>
          <w:lang w:val="sq-AL"/>
        </w:rPr>
        <w:t xml:space="preserve"> publik i Drejtorisë së Përgjithshme dhe Rrjetit, si dhe përafrimi i funksioneve të tyre hetimore me praktikat e BE-së duhet të rriten më tej, nd</w:t>
      </w:r>
      <w:r w:rsidR="005D3CCC" w:rsidRPr="0032048B">
        <w:rPr>
          <w:sz w:val="24"/>
          <w:szCs w:val="24"/>
          <w:lang w:val="sq-AL"/>
        </w:rPr>
        <w:t>ë</w:t>
      </w:r>
      <w:r w:rsidRPr="0032048B">
        <w:rPr>
          <w:sz w:val="24"/>
          <w:szCs w:val="24"/>
          <w:lang w:val="sq-AL"/>
        </w:rPr>
        <w:t xml:space="preserve">rsa </w:t>
      </w:r>
      <w:proofErr w:type="spellStart"/>
      <w:r w:rsidRPr="0032048B">
        <w:rPr>
          <w:sz w:val="24"/>
          <w:szCs w:val="24"/>
          <w:lang w:val="sq-AL"/>
        </w:rPr>
        <w:t>eficensa</w:t>
      </w:r>
      <w:proofErr w:type="spellEnd"/>
      <w:r w:rsidRPr="0032048B">
        <w:rPr>
          <w:sz w:val="24"/>
          <w:szCs w:val="24"/>
          <w:lang w:val="sq-AL"/>
        </w:rPr>
        <w:t xml:space="preserve"> e tyre duhet t</w:t>
      </w:r>
      <w:r w:rsidR="005D3CCC" w:rsidRPr="0032048B">
        <w:rPr>
          <w:sz w:val="24"/>
          <w:szCs w:val="24"/>
          <w:lang w:val="sq-AL"/>
        </w:rPr>
        <w:t>ë</w:t>
      </w:r>
      <w:r w:rsidRPr="0032048B">
        <w:rPr>
          <w:sz w:val="24"/>
          <w:szCs w:val="24"/>
          <w:lang w:val="sq-AL"/>
        </w:rPr>
        <w:t xml:space="preserve"> vlerësohet n</w:t>
      </w:r>
      <w:r w:rsidR="005D3CCC" w:rsidRPr="0032048B">
        <w:rPr>
          <w:sz w:val="24"/>
          <w:szCs w:val="24"/>
          <w:lang w:val="sq-AL"/>
        </w:rPr>
        <w:t>ë</w:t>
      </w:r>
      <w:r w:rsidRPr="0032048B">
        <w:rPr>
          <w:sz w:val="24"/>
          <w:szCs w:val="24"/>
          <w:lang w:val="sq-AL"/>
        </w:rPr>
        <w:t xml:space="preserve"> raport me perceptimin e publikut dhe indekset e ryshfetit.</w:t>
      </w:r>
    </w:p>
    <w:p w14:paraId="2A356F8A" w14:textId="6D9B06D2" w:rsidR="00380775" w:rsidRPr="0032048B" w:rsidRDefault="00380775" w:rsidP="00361D5A">
      <w:pPr>
        <w:tabs>
          <w:tab w:val="left" w:pos="1134"/>
          <w:tab w:val="left" w:pos="8640"/>
        </w:tabs>
        <w:spacing w:before="120"/>
        <w:ind w:left="993" w:right="1067"/>
        <w:jc w:val="both"/>
        <w:rPr>
          <w:sz w:val="24"/>
          <w:szCs w:val="24"/>
          <w:lang w:val="sq-AL"/>
        </w:rPr>
      </w:pPr>
      <w:r w:rsidRPr="0032048B">
        <w:rPr>
          <w:sz w:val="24"/>
          <w:szCs w:val="24"/>
          <w:lang w:val="sq-AL"/>
        </w:rPr>
        <w:t xml:space="preserve">Ministritë Qendrore, të gjitha agjencitë e Ministrisë së Drejtësisë dhe 22 bashki miratuan </w:t>
      </w:r>
      <w:r w:rsidRPr="0032048B">
        <w:rPr>
          <w:b/>
          <w:sz w:val="24"/>
          <w:szCs w:val="24"/>
          <w:lang w:val="sq-AL"/>
        </w:rPr>
        <w:t>plane p</w:t>
      </w:r>
      <w:r w:rsidR="005D3CCC" w:rsidRPr="0032048B">
        <w:rPr>
          <w:b/>
          <w:sz w:val="24"/>
          <w:szCs w:val="24"/>
          <w:lang w:val="sq-AL"/>
        </w:rPr>
        <w:t>ë</w:t>
      </w:r>
      <w:r w:rsidRPr="0032048B">
        <w:rPr>
          <w:b/>
          <w:sz w:val="24"/>
          <w:szCs w:val="24"/>
          <w:lang w:val="sq-AL"/>
        </w:rPr>
        <w:t>r</w:t>
      </w:r>
      <w:r w:rsidRPr="0032048B">
        <w:rPr>
          <w:sz w:val="24"/>
          <w:szCs w:val="24"/>
          <w:lang w:val="sq-AL"/>
        </w:rPr>
        <w:t xml:space="preserve"> </w:t>
      </w:r>
      <w:r w:rsidRPr="0032048B">
        <w:rPr>
          <w:b/>
          <w:sz w:val="24"/>
          <w:szCs w:val="24"/>
          <w:lang w:val="sq-AL"/>
        </w:rPr>
        <w:t>integritetin</w:t>
      </w:r>
      <w:r w:rsidRPr="0032048B">
        <w:rPr>
          <w:sz w:val="24"/>
          <w:szCs w:val="24"/>
          <w:lang w:val="sq-AL"/>
        </w:rPr>
        <w:t xml:space="preserve"> dhe vlerësimin e rrezikut.</w:t>
      </w:r>
      <w:r w:rsidR="004D53EC">
        <w:rPr>
          <w:sz w:val="24"/>
          <w:szCs w:val="24"/>
          <w:lang w:val="sq-AL"/>
        </w:rPr>
        <w:t xml:space="preserve"> </w:t>
      </w:r>
      <w:r w:rsidRPr="0032048B">
        <w:rPr>
          <w:sz w:val="24"/>
          <w:szCs w:val="24"/>
          <w:lang w:val="sq-AL"/>
        </w:rPr>
        <w:t>Por duhet t</w:t>
      </w:r>
      <w:r w:rsidR="005D3CCC" w:rsidRPr="0032048B">
        <w:rPr>
          <w:sz w:val="24"/>
          <w:szCs w:val="24"/>
          <w:lang w:val="sq-AL"/>
        </w:rPr>
        <w:t>ë</w:t>
      </w:r>
      <w:r w:rsidRPr="0032048B">
        <w:rPr>
          <w:sz w:val="24"/>
          <w:szCs w:val="24"/>
          <w:lang w:val="sq-AL"/>
        </w:rPr>
        <w:t xml:space="preserve"> garantohet zbatimi i tyre me efektivitet.</w:t>
      </w:r>
    </w:p>
    <w:p w14:paraId="5F04D008" w14:textId="649F1D74" w:rsidR="00380775" w:rsidRPr="0032048B" w:rsidRDefault="00380775" w:rsidP="00361D5A">
      <w:pPr>
        <w:tabs>
          <w:tab w:val="left" w:pos="1134"/>
          <w:tab w:val="left" w:pos="8640"/>
        </w:tabs>
        <w:spacing w:before="120"/>
        <w:ind w:left="993" w:right="1067"/>
        <w:jc w:val="both"/>
        <w:rPr>
          <w:sz w:val="24"/>
          <w:szCs w:val="24"/>
          <w:lang w:val="sq-AL"/>
        </w:rPr>
      </w:pPr>
      <w:r w:rsidRPr="0032048B">
        <w:rPr>
          <w:sz w:val="24"/>
          <w:szCs w:val="24"/>
          <w:lang w:val="sq-AL"/>
        </w:rPr>
        <w:t>Brenda kuadrit të përgjithsh</w:t>
      </w:r>
      <w:r w:rsidR="005D3CCC" w:rsidRPr="0032048B">
        <w:rPr>
          <w:sz w:val="24"/>
          <w:szCs w:val="24"/>
          <w:lang w:val="sq-AL"/>
        </w:rPr>
        <w:t>ë</w:t>
      </w:r>
      <w:r w:rsidRPr="0032048B">
        <w:rPr>
          <w:sz w:val="24"/>
          <w:szCs w:val="24"/>
          <w:lang w:val="sq-AL"/>
        </w:rPr>
        <w:t xml:space="preserve">m </w:t>
      </w:r>
      <w:proofErr w:type="spellStart"/>
      <w:r w:rsidRPr="0032048B">
        <w:rPr>
          <w:sz w:val="24"/>
          <w:szCs w:val="24"/>
          <w:lang w:val="sq-AL"/>
        </w:rPr>
        <w:t>antikorrupsion</w:t>
      </w:r>
      <w:proofErr w:type="spellEnd"/>
      <w:r w:rsidRPr="0032048B">
        <w:rPr>
          <w:sz w:val="24"/>
          <w:szCs w:val="24"/>
          <w:lang w:val="sq-AL"/>
        </w:rPr>
        <w:t>, roli i KLSH-s</w:t>
      </w:r>
      <w:r w:rsidR="005D3CCC" w:rsidRPr="0032048B">
        <w:rPr>
          <w:sz w:val="24"/>
          <w:szCs w:val="24"/>
          <w:lang w:val="sq-AL"/>
        </w:rPr>
        <w:t>ë</w:t>
      </w:r>
      <w:r w:rsidRPr="0032048B">
        <w:rPr>
          <w:sz w:val="24"/>
          <w:szCs w:val="24"/>
          <w:lang w:val="sq-AL"/>
        </w:rPr>
        <w:t xml:space="preserve"> është të ofrojë rekomandime për qeverinë për të rregulluar dobësitë sistematike. Sistemet e e-prokurimit, e-apelet dhe e-ankesat ndihmuan në rritjen e transparencës në prokurimin publik.</w:t>
      </w:r>
    </w:p>
    <w:p w14:paraId="56ADA702" w14:textId="0D462C95" w:rsidR="00380775" w:rsidRPr="0032048B" w:rsidRDefault="00380775" w:rsidP="00361D5A">
      <w:pPr>
        <w:tabs>
          <w:tab w:val="left" w:pos="1134"/>
          <w:tab w:val="left" w:pos="8640"/>
        </w:tabs>
        <w:spacing w:before="120"/>
        <w:ind w:left="993" w:right="1067"/>
        <w:jc w:val="both"/>
        <w:rPr>
          <w:sz w:val="24"/>
          <w:szCs w:val="24"/>
          <w:lang w:val="sq-AL"/>
        </w:rPr>
      </w:pPr>
      <w:r w:rsidRPr="0032048B">
        <w:rPr>
          <w:sz w:val="24"/>
          <w:szCs w:val="24"/>
          <w:lang w:val="sq-AL"/>
        </w:rPr>
        <w:t>Në vitin 2022, kompetencat e Agjencisë për Dialog dhe Bashkëqeverisje u zgjeruan n</w:t>
      </w:r>
      <w:r w:rsidR="005D3CCC" w:rsidRPr="0032048B">
        <w:rPr>
          <w:sz w:val="24"/>
          <w:szCs w:val="24"/>
          <w:lang w:val="sq-AL"/>
        </w:rPr>
        <w:t>ë</w:t>
      </w:r>
      <w:r w:rsidRPr="0032048B">
        <w:rPr>
          <w:sz w:val="24"/>
          <w:szCs w:val="24"/>
          <w:lang w:val="sq-AL"/>
        </w:rPr>
        <w:t xml:space="preserve"> ndjekjen e ankesave të qytetarëve për korrupsioni, përfshirë inspektimet tek autoritetet përkatëse. Agjencia duhet të përmirësojë më tej </w:t>
      </w:r>
      <w:proofErr w:type="spellStart"/>
      <w:r w:rsidRPr="0032048B">
        <w:rPr>
          <w:sz w:val="24"/>
          <w:szCs w:val="24"/>
          <w:lang w:val="sq-AL"/>
        </w:rPr>
        <w:t>eficens</w:t>
      </w:r>
      <w:r w:rsidR="005D3CCC" w:rsidRPr="0032048B">
        <w:rPr>
          <w:sz w:val="24"/>
          <w:szCs w:val="24"/>
          <w:lang w:val="sq-AL"/>
        </w:rPr>
        <w:t>ë</w:t>
      </w:r>
      <w:r w:rsidRPr="0032048B">
        <w:rPr>
          <w:sz w:val="24"/>
          <w:szCs w:val="24"/>
          <w:lang w:val="sq-AL"/>
        </w:rPr>
        <w:t>n</w:t>
      </w:r>
      <w:proofErr w:type="spellEnd"/>
      <w:r w:rsidRPr="0032048B">
        <w:rPr>
          <w:sz w:val="24"/>
          <w:szCs w:val="24"/>
          <w:lang w:val="sq-AL"/>
        </w:rPr>
        <w:t xml:space="preserve"> e saj, në koordinim me Drejtorinë e Përgjithshme Kundër Korrupsionit dhe rrjetin e koordinatorëve.</w:t>
      </w:r>
    </w:p>
    <w:p w14:paraId="5EECEB57" w14:textId="70BB7E4A" w:rsidR="00380775" w:rsidRPr="0032048B" w:rsidRDefault="00380775" w:rsidP="00361D5A">
      <w:pPr>
        <w:tabs>
          <w:tab w:val="left" w:pos="1134"/>
          <w:tab w:val="left" w:pos="8640"/>
        </w:tabs>
        <w:spacing w:before="120"/>
        <w:ind w:left="993" w:right="1067"/>
        <w:jc w:val="both"/>
        <w:rPr>
          <w:sz w:val="24"/>
          <w:szCs w:val="24"/>
          <w:lang w:val="sq-AL"/>
        </w:rPr>
      </w:pPr>
      <w:r w:rsidRPr="0032048B">
        <w:rPr>
          <w:sz w:val="24"/>
          <w:szCs w:val="24"/>
          <w:lang w:val="sq-AL"/>
        </w:rPr>
        <w:t>ILDKPI-ja është bërë një institucion me pozita me forta. Tashm</w:t>
      </w:r>
      <w:r w:rsidR="005D3CCC" w:rsidRPr="0032048B">
        <w:rPr>
          <w:sz w:val="24"/>
          <w:szCs w:val="24"/>
          <w:lang w:val="sq-AL"/>
        </w:rPr>
        <w:t>ë</w:t>
      </w:r>
      <w:r w:rsidRPr="0032048B">
        <w:rPr>
          <w:sz w:val="24"/>
          <w:szCs w:val="24"/>
          <w:lang w:val="sq-AL"/>
        </w:rPr>
        <w:t>, ILDKPI-ja ka prezantuar sistemin në internet për pasurit</w:t>
      </w:r>
      <w:r w:rsidR="005D3CCC" w:rsidRPr="0032048B">
        <w:rPr>
          <w:sz w:val="24"/>
          <w:szCs w:val="24"/>
          <w:lang w:val="sq-AL"/>
        </w:rPr>
        <w:t>ë</w:t>
      </w:r>
      <w:r w:rsidRPr="0032048B">
        <w:rPr>
          <w:sz w:val="24"/>
          <w:szCs w:val="24"/>
          <w:lang w:val="sq-AL"/>
        </w:rPr>
        <w:t>, dhe ka realizuar trajnime, caktimin e pikave të kontaktit dhe vendosjen e bashkëpunimit me bankat, kadastrën dhe institucionet e tjera. Afro 100% e rreth 4 000 subjekteve i b</w:t>
      </w:r>
      <w:r w:rsidR="005D3CCC" w:rsidRPr="0032048B">
        <w:rPr>
          <w:sz w:val="24"/>
          <w:szCs w:val="24"/>
          <w:lang w:val="sq-AL"/>
        </w:rPr>
        <w:t>ë</w:t>
      </w:r>
      <w:r w:rsidRPr="0032048B">
        <w:rPr>
          <w:sz w:val="24"/>
          <w:szCs w:val="24"/>
          <w:lang w:val="sq-AL"/>
        </w:rPr>
        <w:t>n</w:t>
      </w:r>
      <w:r w:rsidR="005D3CCC" w:rsidRPr="0032048B">
        <w:rPr>
          <w:sz w:val="24"/>
          <w:szCs w:val="24"/>
          <w:lang w:val="sq-AL"/>
        </w:rPr>
        <w:t>ë</w:t>
      </w:r>
      <w:r w:rsidRPr="0032048B">
        <w:rPr>
          <w:sz w:val="24"/>
          <w:szCs w:val="24"/>
          <w:lang w:val="sq-AL"/>
        </w:rPr>
        <w:t xml:space="preserve"> deklarimet në sistemin </w:t>
      </w:r>
      <w:proofErr w:type="spellStart"/>
      <w:r w:rsidRPr="0032048B">
        <w:rPr>
          <w:sz w:val="24"/>
          <w:szCs w:val="24"/>
          <w:lang w:val="sq-AL"/>
        </w:rPr>
        <w:t>online</w:t>
      </w:r>
      <w:proofErr w:type="spellEnd"/>
      <w:r w:rsidRPr="0032048B">
        <w:rPr>
          <w:sz w:val="24"/>
          <w:szCs w:val="24"/>
          <w:lang w:val="sq-AL"/>
        </w:rPr>
        <w:t xml:space="preserve">. Sidoqoftë, moduli për publikimin e pasurive </w:t>
      </w:r>
      <w:r w:rsidR="005D3CCC" w:rsidRPr="0032048B">
        <w:rPr>
          <w:sz w:val="24"/>
          <w:szCs w:val="24"/>
          <w:lang w:val="sq-AL"/>
        </w:rPr>
        <w:t>ë</w:t>
      </w:r>
      <w:r w:rsidRPr="0032048B">
        <w:rPr>
          <w:sz w:val="24"/>
          <w:szCs w:val="24"/>
          <w:lang w:val="sq-AL"/>
        </w:rPr>
        <w:t>sht</w:t>
      </w:r>
      <w:r w:rsidR="005D3CCC" w:rsidRPr="0032048B">
        <w:rPr>
          <w:sz w:val="24"/>
          <w:szCs w:val="24"/>
          <w:lang w:val="sq-AL"/>
        </w:rPr>
        <w:t>ë</w:t>
      </w:r>
      <w:r w:rsidRPr="0032048B">
        <w:rPr>
          <w:sz w:val="24"/>
          <w:szCs w:val="24"/>
          <w:lang w:val="sq-AL"/>
        </w:rPr>
        <w:t xml:space="preserve"> v</w:t>
      </w:r>
      <w:r w:rsidR="005D3CCC" w:rsidRPr="0032048B">
        <w:rPr>
          <w:sz w:val="24"/>
          <w:szCs w:val="24"/>
          <w:lang w:val="sq-AL"/>
        </w:rPr>
        <w:t>ë</w:t>
      </w:r>
      <w:r w:rsidRPr="0032048B">
        <w:rPr>
          <w:sz w:val="24"/>
          <w:szCs w:val="24"/>
          <w:lang w:val="sq-AL"/>
        </w:rPr>
        <w:t>n</w:t>
      </w:r>
      <w:r w:rsidR="005D3CCC" w:rsidRPr="0032048B">
        <w:rPr>
          <w:sz w:val="24"/>
          <w:szCs w:val="24"/>
          <w:lang w:val="sq-AL"/>
        </w:rPr>
        <w:t>ë</w:t>
      </w:r>
      <w:r w:rsidRPr="0032048B">
        <w:rPr>
          <w:sz w:val="24"/>
          <w:szCs w:val="24"/>
          <w:lang w:val="sq-AL"/>
        </w:rPr>
        <w:t xml:space="preserve"> në pritje derisa të përmbushë kërkesat e sigurisë kibernetike. Institucionet përkatëse duhet të bashkëpunojnë ngushtë për të garantuar verifikimin e duhur të </w:t>
      </w:r>
      <w:proofErr w:type="spellStart"/>
      <w:r w:rsidRPr="0032048B">
        <w:rPr>
          <w:sz w:val="24"/>
          <w:szCs w:val="24"/>
          <w:lang w:val="sq-AL"/>
        </w:rPr>
        <w:t>të</w:t>
      </w:r>
      <w:proofErr w:type="spellEnd"/>
      <w:r w:rsidRPr="0032048B">
        <w:rPr>
          <w:sz w:val="24"/>
          <w:szCs w:val="24"/>
          <w:lang w:val="sq-AL"/>
        </w:rPr>
        <w:t xml:space="preserve"> dhënave të deklaruara. Masat vazhdojnë të kenë një ndikim të kufizuar, veçanërisht në fushat më problematike si infrastruktura, të drejtat e pronës, doganat, taksat, arsimi, shëndetësia, prokurimi publik dhe kontratat qeveritare. Këto fusha kërkojnë vlerësime t</w:t>
      </w:r>
      <w:r w:rsidR="005D3CCC" w:rsidRPr="0032048B">
        <w:rPr>
          <w:sz w:val="24"/>
          <w:szCs w:val="24"/>
          <w:lang w:val="sq-AL"/>
        </w:rPr>
        <w:t>ë</w:t>
      </w:r>
      <w:r w:rsidRPr="0032048B">
        <w:rPr>
          <w:sz w:val="24"/>
          <w:szCs w:val="24"/>
          <w:lang w:val="sq-AL"/>
        </w:rPr>
        <w:t xml:space="preserve"> </w:t>
      </w:r>
      <w:r w:rsidR="00A10A50" w:rsidRPr="0032048B">
        <w:rPr>
          <w:sz w:val="24"/>
          <w:szCs w:val="24"/>
          <w:lang w:val="sq-AL"/>
        </w:rPr>
        <w:t>posaçme</w:t>
      </w:r>
      <w:r w:rsidRPr="0032048B">
        <w:rPr>
          <w:sz w:val="24"/>
          <w:szCs w:val="24"/>
          <w:lang w:val="sq-AL"/>
        </w:rPr>
        <w:t xml:space="preserve"> të rrezikut, veprime të dedikuara dhe zbatim efektiv të masave.</w:t>
      </w:r>
    </w:p>
    <w:p w14:paraId="420D4CDC" w14:textId="77777777" w:rsidR="00380775" w:rsidRPr="0032048B" w:rsidRDefault="00380775" w:rsidP="00361D5A">
      <w:pPr>
        <w:tabs>
          <w:tab w:val="left" w:pos="1134"/>
          <w:tab w:val="left" w:pos="8640"/>
        </w:tabs>
        <w:spacing w:before="120"/>
        <w:ind w:left="993" w:right="1067"/>
        <w:jc w:val="both"/>
        <w:rPr>
          <w:i/>
          <w:sz w:val="24"/>
          <w:lang w:val="sq-AL"/>
        </w:rPr>
      </w:pPr>
      <w:r w:rsidRPr="0032048B">
        <w:rPr>
          <w:sz w:val="24"/>
          <w:szCs w:val="24"/>
          <w:lang w:val="sq-AL"/>
        </w:rPr>
        <w:t>Përpjekje të mëtejshme janë të nevojshme për të përmirësuar pajtueshmërinë me procedurat dhe për të parandaluar korrupsionin në ciklin e prokurimit (</w:t>
      </w:r>
      <w:r w:rsidRPr="0032048B">
        <w:rPr>
          <w:i/>
          <w:sz w:val="24"/>
          <w:szCs w:val="24"/>
          <w:lang w:val="sq-AL"/>
        </w:rPr>
        <w:t>shiko gjithashtu Kapitullin 5 - Prokurimi Publik</w:t>
      </w:r>
      <w:r w:rsidRPr="0032048B">
        <w:rPr>
          <w:i/>
          <w:sz w:val="24"/>
          <w:lang w:val="sq-AL"/>
        </w:rPr>
        <w:t>).</w:t>
      </w:r>
    </w:p>
    <w:p w14:paraId="134A6F1D" w14:textId="77777777" w:rsidR="00380775" w:rsidRPr="0032048B" w:rsidRDefault="00380775" w:rsidP="00361D5A">
      <w:pPr>
        <w:tabs>
          <w:tab w:val="left" w:pos="1134"/>
          <w:tab w:val="left" w:pos="8640"/>
        </w:tabs>
        <w:spacing w:before="120"/>
        <w:ind w:left="993" w:right="1067"/>
        <w:jc w:val="both"/>
        <w:rPr>
          <w:i/>
          <w:sz w:val="24"/>
          <w:lang w:val="sq-AL"/>
        </w:rPr>
      </w:pPr>
      <w:r w:rsidRPr="0032048B">
        <w:rPr>
          <w:i/>
          <w:sz w:val="24"/>
          <w:lang w:val="sq-AL"/>
        </w:rPr>
        <w:lastRenderedPageBreak/>
        <w:t>Zbatimi i ligjit</w:t>
      </w:r>
    </w:p>
    <w:p w14:paraId="2995612F" w14:textId="271CD79C" w:rsidR="00380775" w:rsidRPr="0032048B" w:rsidRDefault="00380775" w:rsidP="00361D5A">
      <w:pPr>
        <w:tabs>
          <w:tab w:val="left" w:pos="1134"/>
          <w:tab w:val="left" w:pos="8640"/>
        </w:tabs>
        <w:spacing w:before="120"/>
        <w:ind w:left="993" w:right="1067"/>
        <w:jc w:val="both"/>
        <w:rPr>
          <w:sz w:val="24"/>
          <w:szCs w:val="24"/>
          <w:lang w:val="sq-AL"/>
        </w:rPr>
      </w:pPr>
      <w:r w:rsidRPr="0032048B">
        <w:rPr>
          <w:sz w:val="24"/>
          <w:szCs w:val="24"/>
          <w:lang w:val="sq-AL"/>
        </w:rPr>
        <w:t>Organet e specializuara përgjegjëse për hetimin, ndjekjen penale dhe gjykimin e çështjeve komplekse të korrupsionit - gjykatat e posaçme kund</w:t>
      </w:r>
      <w:r w:rsidR="005D3CCC" w:rsidRPr="0032048B">
        <w:rPr>
          <w:sz w:val="24"/>
          <w:szCs w:val="24"/>
          <w:lang w:val="sq-AL"/>
        </w:rPr>
        <w:t>ë</w:t>
      </w:r>
      <w:r w:rsidRPr="0032048B">
        <w:rPr>
          <w:sz w:val="24"/>
          <w:szCs w:val="24"/>
          <w:lang w:val="sq-AL"/>
        </w:rPr>
        <w:t>r korrupsionit dhe krimit t</w:t>
      </w:r>
      <w:r w:rsidR="005D3CCC" w:rsidRPr="0032048B">
        <w:rPr>
          <w:sz w:val="24"/>
          <w:szCs w:val="24"/>
          <w:lang w:val="sq-AL"/>
        </w:rPr>
        <w:t>ë</w:t>
      </w:r>
      <w:r w:rsidRPr="0032048B">
        <w:rPr>
          <w:sz w:val="24"/>
          <w:szCs w:val="24"/>
          <w:lang w:val="sq-AL"/>
        </w:rPr>
        <w:t xml:space="preserve"> </w:t>
      </w:r>
      <w:proofErr w:type="spellStart"/>
      <w:r w:rsidRPr="0032048B">
        <w:rPr>
          <w:sz w:val="24"/>
          <w:szCs w:val="24"/>
          <w:lang w:val="sq-AL"/>
        </w:rPr>
        <w:t>të</w:t>
      </w:r>
      <w:proofErr w:type="spellEnd"/>
      <w:r w:rsidRPr="0032048B">
        <w:rPr>
          <w:sz w:val="24"/>
          <w:szCs w:val="24"/>
          <w:lang w:val="sq-AL"/>
        </w:rPr>
        <w:t xml:space="preserve"> organizuar dhe SPAK-u, ku p</w:t>
      </w:r>
      <w:r w:rsidR="005D3CCC" w:rsidRPr="0032048B">
        <w:rPr>
          <w:sz w:val="24"/>
          <w:szCs w:val="24"/>
          <w:lang w:val="sq-AL"/>
        </w:rPr>
        <w:t>ë</w:t>
      </w:r>
      <w:r w:rsidRPr="0032048B">
        <w:rPr>
          <w:sz w:val="24"/>
          <w:szCs w:val="24"/>
          <w:lang w:val="sq-AL"/>
        </w:rPr>
        <w:t>rfshihet Zyra e Prokurorisë Speciale (ZPS) dhe Byroja Kombëtare të Hetimit (BKH) – ishin plotësisht funksionale gjatë periudhës raportimi.</w:t>
      </w:r>
    </w:p>
    <w:p w14:paraId="62BE2402" w14:textId="77777777" w:rsidR="00380775" w:rsidRPr="0032048B" w:rsidRDefault="00380775" w:rsidP="00361D5A">
      <w:pPr>
        <w:tabs>
          <w:tab w:val="left" w:pos="1134"/>
          <w:tab w:val="left" w:pos="8640"/>
        </w:tabs>
        <w:spacing w:before="120"/>
        <w:ind w:left="993" w:right="1067"/>
        <w:jc w:val="both"/>
        <w:rPr>
          <w:sz w:val="24"/>
          <w:szCs w:val="24"/>
          <w:lang w:val="sq-AL"/>
        </w:rPr>
      </w:pPr>
      <w:r w:rsidRPr="0032048B">
        <w:rPr>
          <w:sz w:val="24"/>
          <w:szCs w:val="24"/>
          <w:u w:val="single"/>
          <w:lang w:val="sq-AL"/>
        </w:rPr>
        <w:t>Kuadri ligjor</w:t>
      </w:r>
    </w:p>
    <w:p w14:paraId="33785C0F" w14:textId="77777777" w:rsidR="00380775" w:rsidRPr="0032048B" w:rsidRDefault="00380775" w:rsidP="00361D5A">
      <w:pPr>
        <w:tabs>
          <w:tab w:val="left" w:pos="1134"/>
          <w:tab w:val="left" w:pos="8640"/>
        </w:tabs>
        <w:spacing w:before="120"/>
        <w:ind w:left="993" w:right="1067"/>
        <w:jc w:val="both"/>
        <w:rPr>
          <w:sz w:val="24"/>
          <w:lang w:val="sq-AL"/>
        </w:rPr>
      </w:pPr>
      <w:r w:rsidRPr="0032048B">
        <w:rPr>
          <w:sz w:val="24"/>
          <w:lang w:val="sq-AL"/>
        </w:rPr>
        <w:t xml:space="preserve">Shqipëria është palë në të gjitha </w:t>
      </w:r>
      <w:r w:rsidRPr="0032048B">
        <w:rPr>
          <w:b/>
          <w:sz w:val="24"/>
          <w:lang w:val="sq-AL"/>
        </w:rPr>
        <w:t>konventat ndërkombëtare kundër korrupsionit</w:t>
      </w:r>
      <w:r w:rsidRPr="0032048B">
        <w:rPr>
          <w:sz w:val="24"/>
          <w:lang w:val="sq-AL"/>
        </w:rPr>
        <w:t>, përfshirë Konventën e Kombeve të Bashkuara kundër Korrupsionit.</w:t>
      </w:r>
    </w:p>
    <w:p w14:paraId="2B70848A" w14:textId="6E95D7B1" w:rsidR="00380775" w:rsidRPr="0032048B" w:rsidRDefault="00380775" w:rsidP="00361D5A">
      <w:pPr>
        <w:tabs>
          <w:tab w:val="left" w:pos="1134"/>
          <w:tab w:val="left" w:pos="8640"/>
        </w:tabs>
        <w:spacing w:before="120"/>
        <w:ind w:left="993" w:right="1067"/>
        <w:jc w:val="both"/>
        <w:rPr>
          <w:sz w:val="24"/>
          <w:lang w:val="sq-AL"/>
        </w:rPr>
      </w:pPr>
      <w:r w:rsidRPr="0032048B">
        <w:rPr>
          <w:sz w:val="24"/>
          <w:lang w:val="sq-AL"/>
        </w:rPr>
        <w:t>Në mars 2023, GRECO arriti në përfundimin se Shqipëria zbatoi ose trajtoi në mënyrë të kënaqshme vetëm 5 nga 24 rekomandimet e bëra në raportin e raundit të vlerësimit të vitit 2020 në lidhje me integritetin e qeverisë qendrore dhe zbatimin e ligjit (vlerësimi i Raundit të Pestë), ndërsa 13 rekomandime ishin zbatuar pjesërisht dhe 6 nuk ishin zbatuar. Duhen m</w:t>
      </w:r>
      <w:r w:rsidR="005D3CCC" w:rsidRPr="0032048B">
        <w:rPr>
          <w:sz w:val="24"/>
          <w:lang w:val="sq-AL"/>
        </w:rPr>
        <w:t>ë</w:t>
      </w:r>
      <w:r w:rsidRPr="0032048B">
        <w:rPr>
          <w:sz w:val="24"/>
          <w:lang w:val="sq-AL"/>
        </w:rPr>
        <w:t xml:space="preserve"> shumë përpjekje p</w:t>
      </w:r>
      <w:r w:rsidR="005D3CCC" w:rsidRPr="0032048B">
        <w:rPr>
          <w:sz w:val="24"/>
          <w:lang w:val="sq-AL"/>
        </w:rPr>
        <w:t>ë</w:t>
      </w:r>
      <w:r w:rsidRPr="0032048B">
        <w:rPr>
          <w:sz w:val="24"/>
          <w:lang w:val="sq-AL"/>
        </w:rPr>
        <w:t>r të bërë përmirësime në fushat e mëposhtme: (i) miratimin e planeve solide të integritetit në të gjitha ministritë; (</w:t>
      </w:r>
      <w:proofErr w:type="spellStart"/>
      <w:r w:rsidRPr="0032048B">
        <w:rPr>
          <w:sz w:val="24"/>
          <w:lang w:val="sq-AL"/>
        </w:rPr>
        <w:t>ii</w:t>
      </w:r>
      <w:proofErr w:type="spellEnd"/>
      <w:r w:rsidRPr="0032048B">
        <w:rPr>
          <w:sz w:val="24"/>
          <w:lang w:val="sq-AL"/>
        </w:rPr>
        <w:t>) konsistencën e kuadrit ligjor dhe institucional p</w:t>
      </w:r>
      <w:r w:rsidR="005D3CCC" w:rsidRPr="0032048B">
        <w:rPr>
          <w:sz w:val="24"/>
          <w:lang w:val="sq-AL"/>
        </w:rPr>
        <w:t>ë</w:t>
      </w:r>
      <w:r w:rsidRPr="0032048B">
        <w:rPr>
          <w:sz w:val="24"/>
          <w:lang w:val="sq-AL"/>
        </w:rPr>
        <w:t>r luftën kundër korrupsionit dhe integritetin e zyrtarëve publik</w:t>
      </w:r>
      <w:r w:rsidR="005D3CCC" w:rsidRPr="0032048B">
        <w:rPr>
          <w:sz w:val="24"/>
          <w:lang w:val="sq-AL"/>
        </w:rPr>
        <w:t>ë</w:t>
      </w:r>
      <w:r w:rsidRPr="0032048B">
        <w:rPr>
          <w:sz w:val="24"/>
          <w:lang w:val="sq-AL"/>
        </w:rPr>
        <w:t>; (</w:t>
      </w:r>
      <w:proofErr w:type="spellStart"/>
      <w:r w:rsidRPr="0032048B">
        <w:rPr>
          <w:sz w:val="24"/>
          <w:lang w:val="sq-AL"/>
        </w:rPr>
        <w:t>iii</w:t>
      </w:r>
      <w:proofErr w:type="spellEnd"/>
      <w:r w:rsidRPr="0032048B">
        <w:rPr>
          <w:sz w:val="24"/>
          <w:lang w:val="sq-AL"/>
        </w:rPr>
        <w:t>) zbatimin efektiv t</w:t>
      </w:r>
      <w:r w:rsidR="005D3CCC" w:rsidRPr="0032048B">
        <w:rPr>
          <w:sz w:val="24"/>
          <w:lang w:val="sq-AL"/>
        </w:rPr>
        <w:t>ë</w:t>
      </w:r>
      <w:r w:rsidRPr="0032048B">
        <w:rPr>
          <w:sz w:val="24"/>
          <w:lang w:val="sq-AL"/>
        </w:rPr>
        <w:t xml:space="preserve"> Kodit të Etikës Ministrore; (</w:t>
      </w:r>
      <w:proofErr w:type="spellStart"/>
      <w:r w:rsidRPr="0032048B">
        <w:rPr>
          <w:sz w:val="24"/>
          <w:lang w:val="sq-AL"/>
        </w:rPr>
        <w:t>iv</w:t>
      </w:r>
      <w:proofErr w:type="spellEnd"/>
      <w:r w:rsidRPr="0032048B">
        <w:rPr>
          <w:sz w:val="24"/>
          <w:lang w:val="sq-AL"/>
        </w:rPr>
        <w:t>) pavarësin</w:t>
      </w:r>
      <w:r w:rsidR="005D3CCC" w:rsidRPr="0032048B">
        <w:rPr>
          <w:sz w:val="24"/>
          <w:lang w:val="sq-AL"/>
        </w:rPr>
        <w:t>ë</w:t>
      </w:r>
      <w:r w:rsidRPr="0032048B">
        <w:rPr>
          <w:sz w:val="24"/>
          <w:lang w:val="sq-AL"/>
        </w:rPr>
        <w:t xml:space="preserve"> e Komisionit të Etikës; dhe (v) masat e integritetit për anëtarët e Këshillit të Ministrave dhe Këshilltarëve Politikë. Gjithashtu, duhen b</w:t>
      </w:r>
      <w:r w:rsidR="005D3CCC" w:rsidRPr="0032048B">
        <w:rPr>
          <w:sz w:val="24"/>
          <w:lang w:val="sq-AL"/>
        </w:rPr>
        <w:t>ë</w:t>
      </w:r>
      <w:r w:rsidRPr="0032048B">
        <w:rPr>
          <w:sz w:val="24"/>
          <w:lang w:val="sq-AL"/>
        </w:rPr>
        <w:t>t</w:t>
      </w:r>
      <w:r w:rsidR="005D3CCC" w:rsidRPr="0032048B">
        <w:rPr>
          <w:sz w:val="24"/>
          <w:lang w:val="sq-AL"/>
        </w:rPr>
        <w:t>ë</w:t>
      </w:r>
      <w:r w:rsidRPr="0032048B">
        <w:rPr>
          <w:sz w:val="24"/>
          <w:lang w:val="sq-AL"/>
        </w:rPr>
        <w:t xml:space="preserve"> përmirësime në kuadrin dhe zhvillimin e konsultimeve publike, monitorimin dhe transparencën e kontakteve me </w:t>
      </w:r>
      <w:proofErr w:type="spellStart"/>
      <w:r w:rsidRPr="0032048B">
        <w:rPr>
          <w:sz w:val="24"/>
          <w:lang w:val="sq-AL"/>
        </w:rPr>
        <w:t>lobistët</w:t>
      </w:r>
      <w:proofErr w:type="spellEnd"/>
      <w:r w:rsidRPr="0032048B">
        <w:rPr>
          <w:sz w:val="24"/>
          <w:lang w:val="sq-AL"/>
        </w:rPr>
        <w:t xml:space="preserve"> dhe palët e tjera të treta, dhe kufizimet pas p</w:t>
      </w:r>
      <w:r w:rsidR="005D3CCC" w:rsidRPr="0032048B">
        <w:rPr>
          <w:sz w:val="24"/>
          <w:lang w:val="sq-AL"/>
        </w:rPr>
        <w:t>ë</w:t>
      </w:r>
      <w:r w:rsidRPr="0032048B">
        <w:rPr>
          <w:sz w:val="24"/>
          <w:lang w:val="sq-AL"/>
        </w:rPr>
        <w:t>rfundimit t</w:t>
      </w:r>
      <w:r w:rsidR="005D3CCC" w:rsidRPr="0032048B">
        <w:rPr>
          <w:sz w:val="24"/>
          <w:lang w:val="sq-AL"/>
        </w:rPr>
        <w:t>ë</w:t>
      </w:r>
      <w:r w:rsidRPr="0032048B">
        <w:rPr>
          <w:sz w:val="24"/>
          <w:lang w:val="sq-AL"/>
        </w:rPr>
        <w:t xml:space="preserve"> marr</w:t>
      </w:r>
      <w:r w:rsidR="005D3CCC" w:rsidRPr="0032048B">
        <w:rPr>
          <w:sz w:val="24"/>
          <w:lang w:val="sq-AL"/>
        </w:rPr>
        <w:t>ë</w:t>
      </w:r>
      <w:r w:rsidRPr="0032048B">
        <w:rPr>
          <w:sz w:val="24"/>
          <w:lang w:val="sq-AL"/>
        </w:rPr>
        <w:t>dh</w:t>
      </w:r>
      <w:r w:rsidR="005D3CCC" w:rsidRPr="0032048B">
        <w:rPr>
          <w:sz w:val="24"/>
          <w:lang w:val="sq-AL"/>
        </w:rPr>
        <w:t>ë</w:t>
      </w:r>
      <w:r w:rsidRPr="0032048B">
        <w:rPr>
          <w:sz w:val="24"/>
          <w:lang w:val="sq-AL"/>
        </w:rPr>
        <w:t>nieve t</w:t>
      </w:r>
      <w:r w:rsidR="005D3CCC" w:rsidRPr="0032048B">
        <w:rPr>
          <w:sz w:val="24"/>
          <w:lang w:val="sq-AL"/>
        </w:rPr>
        <w:t>ë</w:t>
      </w:r>
      <w:r w:rsidRPr="0032048B">
        <w:rPr>
          <w:sz w:val="24"/>
          <w:lang w:val="sq-AL"/>
        </w:rPr>
        <w:t xml:space="preserve"> punësimit për të shmangur konfliktin e interesave. Po ashtu, duhen forcuar garancitë ligjore për financimin e partive politike dhe fushatave zgjedhore.</w:t>
      </w:r>
    </w:p>
    <w:p w14:paraId="16997ADA" w14:textId="4AD707F7" w:rsidR="00380775" w:rsidRPr="0032048B" w:rsidRDefault="00380775" w:rsidP="00361D5A">
      <w:pPr>
        <w:tabs>
          <w:tab w:val="left" w:pos="1134"/>
          <w:tab w:val="left" w:pos="8640"/>
        </w:tabs>
        <w:spacing w:before="120"/>
        <w:ind w:left="993" w:right="1067"/>
        <w:jc w:val="both"/>
        <w:rPr>
          <w:sz w:val="24"/>
          <w:lang w:val="sq-AL"/>
        </w:rPr>
      </w:pPr>
      <w:r w:rsidRPr="0032048B">
        <w:rPr>
          <w:sz w:val="24"/>
          <w:lang w:val="sq-AL"/>
        </w:rPr>
        <w:t>Lidhur me rekomandimet e OSBE/ODIHR-it 2021 për hetimin dhe ndjekjen penale të çështjeve të blerjes së votave, n</w:t>
      </w:r>
      <w:r w:rsidR="005D3CCC" w:rsidRPr="0032048B">
        <w:rPr>
          <w:sz w:val="24"/>
          <w:lang w:val="sq-AL"/>
        </w:rPr>
        <w:t>ë</w:t>
      </w:r>
      <w:r w:rsidRPr="0032048B">
        <w:rPr>
          <w:sz w:val="24"/>
          <w:lang w:val="sq-AL"/>
        </w:rPr>
        <w:t xml:space="preserve"> SPAK ishin b</w:t>
      </w:r>
      <w:r w:rsidR="005D3CCC" w:rsidRPr="0032048B">
        <w:rPr>
          <w:sz w:val="24"/>
          <w:lang w:val="sq-AL"/>
        </w:rPr>
        <w:t>ë</w:t>
      </w:r>
      <w:r w:rsidRPr="0032048B">
        <w:rPr>
          <w:sz w:val="24"/>
          <w:lang w:val="sq-AL"/>
        </w:rPr>
        <w:t>r</w:t>
      </w:r>
      <w:r w:rsidR="005D3CCC" w:rsidRPr="0032048B">
        <w:rPr>
          <w:sz w:val="24"/>
          <w:lang w:val="sq-AL"/>
        </w:rPr>
        <w:t>ë</w:t>
      </w:r>
      <w:r w:rsidRPr="0032048B">
        <w:rPr>
          <w:sz w:val="24"/>
          <w:lang w:val="sq-AL"/>
        </w:rPr>
        <w:t xml:space="preserve"> 13 kall</w:t>
      </w:r>
      <w:r w:rsidR="005D3CCC" w:rsidRPr="0032048B">
        <w:rPr>
          <w:sz w:val="24"/>
          <w:lang w:val="sq-AL"/>
        </w:rPr>
        <w:t>ë</w:t>
      </w:r>
      <w:r w:rsidRPr="0032048B">
        <w:rPr>
          <w:sz w:val="24"/>
          <w:lang w:val="sq-AL"/>
        </w:rPr>
        <w:t>zime të lidhura me zgjedhjet deri më 12 maj 2023 dhe ishin filluar 6 hetime penale n</w:t>
      </w:r>
      <w:r w:rsidR="005D3CCC" w:rsidRPr="0032048B">
        <w:rPr>
          <w:sz w:val="24"/>
          <w:lang w:val="sq-AL"/>
        </w:rPr>
        <w:t>ë</w:t>
      </w:r>
      <w:r w:rsidRPr="0032048B">
        <w:rPr>
          <w:sz w:val="24"/>
          <w:lang w:val="sq-AL"/>
        </w:rPr>
        <w:t xml:space="preserve"> gjendje t</w:t>
      </w:r>
      <w:r w:rsidR="005D3CCC" w:rsidRPr="0032048B">
        <w:rPr>
          <w:sz w:val="24"/>
          <w:lang w:val="sq-AL"/>
        </w:rPr>
        <w:t>ë</w:t>
      </w:r>
      <w:r w:rsidRPr="0032048B">
        <w:rPr>
          <w:sz w:val="24"/>
          <w:lang w:val="sq-AL"/>
        </w:rPr>
        <w:t xml:space="preserve"> lir</w:t>
      </w:r>
      <w:r w:rsidR="005D3CCC" w:rsidRPr="0032048B">
        <w:rPr>
          <w:sz w:val="24"/>
          <w:lang w:val="sq-AL"/>
        </w:rPr>
        <w:t>ë</w:t>
      </w:r>
      <w:r w:rsidRPr="0032048B">
        <w:rPr>
          <w:sz w:val="24"/>
          <w:lang w:val="sq-AL"/>
        </w:rPr>
        <w:t>, edhe p</w:t>
      </w:r>
      <w:r w:rsidR="005D3CCC" w:rsidRPr="0032048B">
        <w:rPr>
          <w:sz w:val="24"/>
          <w:lang w:val="sq-AL"/>
        </w:rPr>
        <w:t>ë</w:t>
      </w:r>
      <w:r w:rsidRPr="0032048B">
        <w:rPr>
          <w:sz w:val="24"/>
          <w:lang w:val="sq-AL"/>
        </w:rPr>
        <w:t>r shitblerjen e vot</w:t>
      </w:r>
      <w:r w:rsidR="005D3CCC" w:rsidRPr="0032048B">
        <w:rPr>
          <w:sz w:val="24"/>
          <w:lang w:val="sq-AL"/>
        </w:rPr>
        <w:t>ë</w:t>
      </w:r>
      <w:r w:rsidRPr="0032048B">
        <w:rPr>
          <w:sz w:val="24"/>
          <w:lang w:val="sq-AL"/>
        </w:rPr>
        <w:t>s. N</w:t>
      </w:r>
      <w:r w:rsidR="005D3CCC" w:rsidRPr="0032048B">
        <w:rPr>
          <w:sz w:val="24"/>
          <w:lang w:val="sq-AL"/>
        </w:rPr>
        <w:t>ë</w:t>
      </w:r>
      <w:r w:rsidRPr="0032048B">
        <w:rPr>
          <w:sz w:val="24"/>
          <w:lang w:val="sq-AL"/>
        </w:rPr>
        <w:t xml:space="preserve"> kushtet kur fushatat zgjedhore po b</w:t>
      </w:r>
      <w:r w:rsidR="005D3CCC" w:rsidRPr="0032048B">
        <w:rPr>
          <w:sz w:val="24"/>
          <w:lang w:val="sq-AL"/>
        </w:rPr>
        <w:t>ë</w:t>
      </w:r>
      <w:r w:rsidRPr="0032048B">
        <w:rPr>
          <w:sz w:val="24"/>
          <w:lang w:val="sq-AL"/>
        </w:rPr>
        <w:t xml:space="preserve">hen gjithnjë e më shumë në internet, vëmendje e veçantë duhet t’i kushtohet fushatave </w:t>
      </w:r>
      <w:proofErr w:type="spellStart"/>
      <w:r w:rsidRPr="0032048B">
        <w:rPr>
          <w:sz w:val="24"/>
          <w:lang w:val="sq-AL"/>
        </w:rPr>
        <w:t>online</w:t>
      </w:r>
      <w:proofErr w:type="spellEnd"/>
      <w:r w:rsidRPr="0032048B">
        <w:rPr>
          <w:sz w:val="24"/>
          <w:lang w:val="sq-AL"/>
        </w:rPr>
        <w:t xml:space="preserve"> dhe fushatave nga palët e treta.</w:t>
      </w:r>
    </w:p>
    <w:p w14:paraId="190AB312" w14:textId="5D37B890" w:rsidR="00380775" w:rsidRPr="0032048B" w:rsidRDefault="00380775" w:rsidP="00361D5A">
      <w:pPr>
        <w:tabs>
          <w:tab w:val="left" w:pos="1134"/>
          <w:tab w:val="left" w:pos="8640"/>
        </w:tabs>
        <w:spacing w:before="120"/>
        <w:ind w:left="993" w:right="1067"/>
        <w:jc w:val="both"/>
        <w:rPr>
          <w:sz w:val="24"/>
          <w:szCs w:val="24"/>
          <w:lang w:val="sq-AL"/>
        </w:rPr>
      </w:pPr>
      <w:r w:rsidRPr="0032048B">
        <w:rPr>
          <w:sz w:val="24"/>
          <w:lang w:val="sq-AL"/>
        </w:rPr>
        <w:t>Legjislacioni i Shqipërisë është pjesërisht në përputhje me Konventën e OECD-s</w:t>
      </w:r>
      <w:r w:rsidR="005D3CCC" w:rsidRPr="0032048B">
        <w:rPr>
          <w:sz w:val="24"/>
          <w:lang w:val="sq-AL"/>
        </w:rPr>
        <w:t>ë</w:t>
      </w:r>
      <w:r w:rsidRPr="0032048B">
        <w:rPr>
          <w:sz w:val="24"/>
          <w:lang w:val="sq-AL"/>
        </w:rPr>
        <w:t xml:space="preserve"> për Luftimin e Ryshfetit të Zyrtarëve të Huaj Publik</w:t>
      </w:r>
      <w:r w:rsidR="005D3CCC" w:rsidRPr="0032048B">
        <w:rPr>
          <w:sz w:val="24"/>
          <w:lang w:val="sq-AL"/>
        </w:rPr>
        <w:t>ë</w:t>
      </w:r>
      <w:r w:rsidRPr="0032048B">
        <w:rPr>
          <w:sz w:val="24"/>
          <w:lang w:val="sq-AL"/>
        </w:rPr>
        <w:t xml:space="preserve"> në Transaksionet Ndërkombëtare t</w:t>
      </w:r>
      <w:r w:rsidR="005D3CCC" w:rsidRPr="0032048B">
        <w:rPr>
          <w:sz w:val="24"/>
          <w:lang w:val="sq-AL"/>
        </w:rPr>
        <w:t>ë</w:t>
      </w:r>
      <w:r w:rsidRPr="0032048B">
        <w:rPr>
          <w:sz w:val="24"/>
          <w:lang w:val="sq-AL"/>
        </w:rPr>
        <w:t xml:space="preserve"> Biznesit</w:t>
      </w:r>
      <w:r w:rsidRPr="0032048B">
        <w:rPr>
          <w:sz w:val="24"/>
          <w:szCs w:val="24"/>
          <w:lang w:val="sq-AL"/>
        </w:rPr>
        <w:t>.</w:t>
      </w:r>
    </w:p>
    <w:p w14:paraId="4A848404" w14:textId="77777777" w:rsidR="00380775" w:rsidRPr="0032048B" w:rsidRDefault="00380775" w:rsidP="00361D5A">
      <w:pPr>
        <w:tabs>
          <w:tab w:val="left" w:pos="1134"/>
          <w:tab w:val="left" w:pos="8640"/>
        </w:tabs>
        <w:spacing w:before="120"/>
        <w:ind w:left="993" w:right="1067"/>
        <w:jc w:val="both"/>
        <w:rPr>
          <w:sz w:val="24"/>
          <w:szCs w:val="24"/>
          <w:lang w:val="sq-AL"/>
        </w:rPr>
      </w:pPr>
      <w:r w:rsidRPr="0032048B">
        <w:rPr>
          <w:sz w:val="24"/>
          <w:szCs w:val="24"/>
          <w:u w:val="single"/>
          <w:lang w:val="sq-AL"/>
        </w:rPr>
        <w:t>Kuadri strategjik</w:t>
      </w:r>
    </w:p>
    <w:p w14:paraId="58C97C6C" w14:textId="0360C249" w:rsidR="00380775" w:rsidRPr="0032048B" w:rsidRDefault="00380775" w:rsidP="00361D5A">
      <w:pPr>
        <w:tabs>
          <w:tab w:val="left" w:pos="1134"/>
          <w:tab w:val="left" w:pos="8640"/>
        </w:tabs>
        <w:spacing w:before="120"/>
        <w:ind w:left="993" w:right="1067"/>
        <w:jc w:val="both"/>
        <w:rPr>
          <w:sz w:val="24"/>
          <w:szCs w:val="24"/>
          <w:lang w:val="sq-AL"/>
        </w:rPr>
      </w:pPr>
      <w:r w:rsidRPr="0032048B">
        <w:rPr>
          <w:sz w:val="24"/>
          <w:szCs w:val="24"/>
          <w:lang w:val="sq-AL"/>
        </w:rPr>
        <w:t>Zbatimi i strategjisë ndër-sektoriale kundër korrupsionit është, në përgjithësi, në rrugën e duhur, megjithëse ende ka dobësi të rëndësishme. Strategjia e re 2023-2030 është në proces përgatitjeje, në të cilën duhet t’i kushtohet më shumë vëmendje sektorëve më problematik</w:t>
      </w:r>
      <w:r w:rsidR="005D3CCC" w:rsidRPr="0032048B">
        <w:rPr>
          <w:sz w:val="24"/>
          <w:szCs w:val="24"/>
          <w:lang w:val="sq-AL"/>
        </w:rPr>
        <w:t>ë</w:t>
      </w:r>
      <w:r w:rsidRPr="0032048B">
        <w:rPr>
          <w:sz w:val="24"/>
          <w:szCs w:val="24"/>
          <w:lang w:val="sq-AL"/>
        </w:rPr>
        <w:t xml:space="preserve"> p</w:t>
      </w:r>
      <w:r w:rsidR="005D3CCC" w:rsidRPr="0032048B">
        <w:rPr>
          <w:sz w:val="24"/>
          <w:szCs w:val="24"/>
          <w:lang w:val="sq-AL"/>
        </w:rPr>
        <w:t>ë</w:t>
      </w:r>
      <w:r w:rsidRPr="0032048B">
        <w:rPr>
          <w:sz w:val="24"/>
          <w:szCs w:val="24"/>
          <w:lang w:val="sq-AL"/>
        </w:rPr>
        <w:t>r korrupsion. ku kërkohen vlerësime të posaçme rrezikut dhe veprime të dedikuara, mekanizma të shëndoshë monitorimi dhe buxhet i p</w:t>
      </w:r>
      <w:r w:rsidR="005D3CCC" w:rsidRPr="0032048B">
        <w:rPr>
          <w:sz w:val="24"/>
          <w:szCs w:val="24"/>
          <w:lang w:val="sq-AL"/>
        </w:rPr>
        <w:t>ë</w:t>
      </w:r>
      <w:r w:rsidRPr="0032048B">
        <w:rPr>
          <w:sz w:val="24"/>
          <w:szCs w:val="24"/>
          <w:lang w:val="sq-AL"/>
        </w:rPr>
        <w:t>rshtatsh</w:t>
      </w:r>
      <w:r w:rsidR="005D3CCC" w:rsidRPr="0032048B">
        <w:rPr>
          <w:sz w:val="24"/>
          <w:szCs w:val="24"/>
          <w:lang w:val="sq-AL"/>
        </w:rPr>
        <w:t>ë</w:t>
      </w:r>
      <w:r w:rsidRPr="0032048B">
        <w:rPr>
          <w:sz w:val="24"/>
          <w:szCs w:val="24"/>
          <w:lang w:val="sq-AL"/>
        </w:rPr>
        <w:t>m. Strategjia e re duhet të synojë t</w:t>
      </w:r>
      <w:r w:rsidR="005D3CCC" w:rsidRPr="0032048B">
        <w:rPr>
          <w:sz w:val="24"/>
          <w:szCs w:val="24"/>
          <w:lang w:val="sq-AL"/>
        </w:rPr>
        <w:t>ë</w:t>
      </w:r>
      <w:r w:rsidRPr="0032048B">
        <w:rPr>
          <w:sz w:val="24"/>
          <w:szCs w:val="24"/>
          <w:lang w:val="sq-AL"/>
        </w:rPr>
        <w:t xml:space="preserve"> jet</w:t>
      </w:r>
      <w:r w:rsidR="005D3CCC" w:rsidRPr="0032048B">
        <w:rPr>
          <w:sz w:val="24"/>
          <w:szCs w:val="24"/>
          <w:lang w:val="sq-AL"/>
        </w:rPr>
        <w:t>ë</w:t>
      </w:r>
      <w:r w:rsidRPr="0032048B">
        <w:rPr>
          <w:sz w:val="24"/>
          <w:szCs w:val="24"/>
          <w:lang w:val="sq-AL"/>
        </w:rPr>
        <w:t xml:space="preserve"> produkt i institucioneve si dhe të forcojë kapacitetet institucionale. Strategjia synon të p</w:t>
      </w:r>
      <w:r w:rsidR="005D3CCC" w:rsidRPr="0032048B">
        <w:rPr>
          <w:sz w:val="24"/>
          <w:szCs w:val="24"/>
          <w:lang w:val="sq-AL"/>
        </w:rPr>
        <w:t>ë</w:t>
      </w:r>
      <w:r w:rsidRPr="0032048B">
        <w:rPr>
          <w:sz w:val="24"/>
          <w:szCs w:val="24"/>
          <w:lang w:val="sq-AL"/>
        </w:rPr>
        <w:t>rcaktoj</w:t>
      </w:r>
      <w:r w:rsidR="005D3CCC" w:rsidRPr="0032048B">
        <w:rPr>
          <w:sz w:val="24"/>
          <w:szCs w:val="24"/>
          <w:lang w:val="sq-AL"/>
        </w:rPr>
        <w:t>ë</w:t>
      </w:r>
      <w:r w:rsidRPr="0032048B">
        <w:rPr>
          <w:sz w:val="24"/>
          <w:szCs w:val="24"/>
          <w:lang w:val="sq-AL"/>
        </w:rPr>
        <w:t xml:space="preserve"> edhe treguesit e monitorimit. Në përgjithësi, ndikimi i strukturave të parandalimit të korrupsionit në sektor</w:t>
      </w:r>
      <w:r w:rsidR="00B31C99" w:rsidRPr="0032048B">
        <w:rPr>
          <w:sz w:val="24"/>
          <w:szCs w:val="24"/>
          <w:lang w:val="sq-AL"/>
        </w:rPr>
        <w:t>in publik mbetet i kufizuar. P</w:t>
      </w:r>
      <w:r w:rsidRPr="0032048B">
        <w:rPr>
          <w:sz w:val="24"/>
          <w:szCs w:val="24"/>
          <w:lang w:val="sq-AL"/>
        </w:rPr>
        <w:t>rogres</w:t>
      </w:r>
      <w:r w:rsidR="00B31C99" w:rsidRPr="0032048B">
        <w:rPr>
          <w:sz w:val="24"/>
          <w:szCs w:val="24"/>
          <w:lang w:val="sq-AL"/>
        </w:rPr>
        <w:t xml:space="preserve"> i </w:t>
      </w:r>
      <w:r w:rsidR="000C6EFC" w:rsidRPr="0032048B">
        <w:rPr>
          <w:sz w:val="24"/>
          <w:szCs w:val="24"/>
          <w:lang w:val="sq-AL"/>
        </w:rPr>
        <w:t>mirë</w:t>
      </w:r>
      <w:r w:rsidRPr="0032048B">
        <w:rPr>
          <w:sz w:val="24"/>
          <w:szCs w:val="24"/>
          <w:lang w:val="sq-AL"/>
        </w:rPr>
        <w:t xml:space="preserve"> </w:t>
      </w:r>
      <w:r w:rsidR="005D3CCC" w:rsidRPr="0032048B">
        <w:rPr>
          <w:sz w:val="24"/>
          <w:szCs w:val="24"/>
          <w:lang w:val="sq-AL"/>
        </w:rPr>
        <w:t>ë</w:t>
      </w:r>
      <w:r w:rsidRPr="0032048B">
        <w:rPr>
          <w:sz w:val="24"/>
          <w:szCs w:val="24"/>
          <w:lang w:val="sq-AL"/>
        </w:rPr>
        <w:t>sht</w:t>
      </w:r>
      <w:r w:rsidR="005D3CCC" w:rsidRPr="0032048B">
        <w:rPr>
          <w:sz w:val="24"/>
          <w:szCs w:val="24"/>
          <w:lang w:val="sq-AL"/>
        </w:rPr>
        <w:t>ë</w:t>
      </w:r>
      <w:r w:rsidRPr="0032048B">
        <w:rPr>
          <w:sz w:val="24"/>
          <w:szCs w:val="24"/>
          <w:lang w:val="sq-AL"/>
        </w:rPr>
        <w:t xml:space="preserve"> b</w:t>
      </w:r>
      <w:r w:rsidR="005D3CCC" w:rsidRPr="0032048B">
        <w:rPr>
          <w:sz w:val="24"/>
          <w:szCs w:val="24"/>
          <w:lang w:val="sq-AL"/>
        </w:rPr>
        <w:t>ë</w:t>
      </w:r>
      <w:r w:rsidRPr="0032048B">
        <w:rPr>
          <w:sz w:val="24"/>
          <w:szCs w:val="24"/>
          <w:lang w:val="sq-AL"/>
        </w:rPr>
        <w:t>r</w:t>
      </w:r>
      <w:r w:rsidR="005D3CCC" w:rsidRPr="0032048B">
        <w:rPr>
          <w:sz w:val="24"/>
          <w:szCs w:val="24"/>
          <w:lang w:val="sq-AL"/>
        </w:rPr>
        <w:t>ë</w:t>
      </w:r>
      <w:r w:rsidRPr="0032048B">
        <w:rPr>
          <w:sz w:val="24"/>
          <w:szCs w:val="24"/>
          <w:lang w:val="sq-AL"/>
        </w:rPr>
        <w:t xml:space="preserve"> në drejtim t</w:t>
      </w:r>
      <w:r w:rsidR="005D3CCC" w:rsidRPr="0032048B">
        <w:rPr>
          <w:sz w:val="24"/>
          <w:szCs w:val="24"/>
          <w:lang w:val="sq-AL"/>
        </w:rPr>
        <w:t>ë</w:t>
      </w:r>
      <w:r w:rsidRPr="0032048B">
        <w:rPr>
          <w:sz w:val="24"/>
          <w:szCs w:val="24"/>
          <w:lang w:val="sq-AL"/>
        </w:rPr>
        <w:t xml:space="preserve"> ndërgjegjësimit dhe përpjekjet në këtë fushë duhet të vazhdojn</w:t>
      </w:r>
      <w:r w:rsidR="005D3CCC" w:rsidRPr="0032048B">
        <w:rPr>
          <w:sz w:val="24"/>
          <w:szCs w:val="24"/>
          <w:lang w:val="sq-AL"/>
        </w:rPr>
        <w:t>ë</w:t>
      </w:r>
    </w:p>
    <w:p w14:paraId="053F785D" w14:textId="77777777" w:rsidR="00F93B31" w:rsidRPr="0032048B" w:rsidRDefault="00F93B31" w:rsidP="00361D5A">
      <w:pPr>
        <w:tabs>
          <w:tab w:val="left" w:pos="1134"/>
          <w:tab w:val="left" w:pos="8640"/>
        </w:tabs>
        <w:spacing w:before="120"/>
        <w:ind w:left="993" w:right="1067"/>
        <w:jc w:val="both"/>
        <w:outlineLvl w:val="0"/>
        <w:rPr>
          <w:b/>
          <w:bCs/>
          <w:sz w:val="24"/>
          <w:szCs w:val="24"/>
          <w:lang w:val="sq-AL"/>
        </w:rPr>
      </w:pPr>
    </w:p>
    <w:p w14:paraId="685542AD" w14:textId="77777777" w:rsidR="00F93B31" w:rsidRPr="0032048B" w:rsidRDefault="00F93B31" w:rsidP="00361D5A">
      <w:pPr>
        <w:tabs>
          <w:tab w:val="left" w:pos="1134"/>
          <w:tab w:val="left" w:pos="8640"/>
        </w:tabs>
        <w:spacing w:before="120"/>
        <w:ind w:left="993" w:right="1067"/>
        <w:jc w:val="both"/>
        <w:outlineLvl w:val="0"/>
        <w:rPr>
          <w:b/>
          <w:bCs/>
          <w:sz w:val="24"/>
          <w:szCs w:val="24"/>
          <w:lang w:val="sq-AL"/>
        </w:rPr>
      </w:pPr>
    </w:p>
    <w:p w14:paraId="580646AC" w14:textId="77777777" w:rsidR="00F93B31" w:rsidRPr="0032048B" w:rsidRDefault="00F93B31" w:rsidP="00361D5A">
      <w:pPr>
        <w:tabs>
          <w:tab w:val="left" w:pos="1134"/>
          <w:tab w:val="left" w:pos="8640"/>
        </w:tabs>
        <w:spacing w:before="120"/>
        <w:ind w:left="993" w:right="1067"/>
        <w:jc w:val="both"/>
        <w:outlineLvl w:val="0"/>
        <w:rPr>
          <w:b/>
          <w:bCs/>
          <w:sz w:val="24"/>
          <w:szCs w:val="24"/>
          <w:lang w:val="sq-AL"/>
        </w:rPr>
      </w:pPr>
    </w:p>
    <w:p w14:paraId="2E59825C" w14:textId="77777777" w:rsidR="00F93B31" w:rsidRPr="0032048B" w:rsidRDefault="00F93B31" w:rsidP="00361D5A">
      <w:pPr>
        <w:tabs>
          <w:tab w:val="left" w:pos="1134"/>
          <w:tab w:val="left" w:pos="8640"/>
        </w:tabs>
        <w:spacing w:before="120"/>
        <w:ind w:left="993" w:right="1067"/>
        <w:jc w:val="both"/>
        <w:outlineLvl w:val="0"/>
        <w:rPr>
          <w:b/>
          <w:bCs/>
          <w:sz w:val="24"/>
          <w:szCs w:val="24"/>
          <w:lang w:val="sq-AL"/>
        </w:rPr>
      </w:pPr>
    </w:p>
    <w:p w14:paraId="3EBEAAEE" w14:textId="4074F3AB" w:rsidR="00380775" w:rsidRPr="0032048B" w:rsidRDefault="00380775" w:rsidP="004D53EC">
      <w:pPr>
        <w:tabs>
          <w:tab w:val="left" w:pos="1134"/>
          <w:tab w:val="left" w:pos="8640"/>
        </w:tabs>
        <w:spacing w:before="120"/>
        <w:ind w:left="993" w:right="1067"/>
        <w:jc w:val="both"/>
        <w:outlineLvl w:val="0"/>
        <w:rPr>
          <w:b/>
          <w:bCs/>
          <w:sz w:val="24"/>
          <w:szCs w:val="24"/>
          <w:lang w:val="sq-AL"/>
        </w:rPr>
      </w:pPr>
      <w:r w:rsidRPr="0032048B">
        <w:rPr>
          <w:b/>
          <w:bCs/>
          <w:sz w:val="24"/>
          <w:szCs w:val="24"/>
          <w:lang w:val="sq-AL"/>
        </w:rPr>
        <w:t>Të drejtat themelore</w:t>
      </w:r>
    </w:p>
    <w:tbl>
      <w:tblPr>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0"/>
      </w:tblGrid>
      <w:tr w:rsidR="00380775" w:rsidRPr="0032048B" w14:paraId="211A47F3" w14:textId="77777777" w:rsidTr="00AB29CB">
        <w:trPr>
          <w:trHeight w:val="10384"/>
        </w:trPr>
        <w:tc>
          <w:tcPr>
            <w:tcW w:w="8930" w:type="dxa"/>
            <w:shd w:val="clear" w:color="auto" w:fill="D9D9D9"/>
          </w:tcPr>
          <w:p w14:paraId="33B0313F" w14:textId="483EFC0B" w:rsidR="00380775" w:rsidRPr="0032048B" w:rsidRDefault="00380775" w:rsidP="00D830BE">
            <w:pPr>
              <w:tabs>
                <w:tab w:val="left" w:pos="1134"/>
              </w:tabs>
              <w:spacing w:before="19"/>
              <w:ind w:left="209" w:right="323"/>
              <w:jc w:val="both"/>
              <w:rPr>
                <w:sz w:val="24"/>
                <w:lang w:val="sq-AL"/>
              </w:rPr>
            </w:pPr>
            <w:r w:rsidRPr="0032048B">
              <w:rPr>
                <w:sz w:val="24"/>
                <w:lang w:val="sq-AL"/>
              </w:rPr>
              <w:lastRenderedPageBreak/>
              <w:t>Kuadri ligjor i Shqipërisë përcakton një bazë të përgjithshme të mir</w:t>
            </w:r>
            <w:r w:rsidR="005D3CCC" w:rsidRPr="0032048B">
              <w:rPr>
                <w:sz w:val="24"/>
                <w:lang w:val="sq-AL"/>
              </w:rPr>
              <w:t>ë</w:t>
            </w:r>
            <w:r w:rsidRPr="0032048B">
              <w:rPr>
                <w:sz w:val="24"/>
                <w:lang w:val="sq-AL"/>
              </w:rPr>
              <w:t xml:space="preserve"> për mbrojtjen e të drejtave themelore. Sidoqoftë, përpjekjet e përgjithshme për zbatimin e kuadrit ligjore dhe atij të politikave duhet të intensifikohen. Në veçanti, duhet t</w:t>
            </w:r>
            <w:r w:rsidR="005D3CCC" w:rsidRPr="0032048B">
              <w:rPr>
                <w:sz w:val="24"/>
                <w:lang w:val="sq-AL"/>
              </w:rPr>
              <w:t>ë</w:t>
            </w:r>
            <w:r w:rsidRPr="0032048B">
              <w:rPr>
                <w:sz w:val="24"/>
                <w:lang w:val="sq-AL"/>
              </w:rPr>
              <w:t xml:space="preserve"> miratohen aktet n</w:t>
            </w:r>
            <w:r w:rsidR="005D3CCC" w:rsidRPr="0032048B">
              <w:rPr>
                <w:sz w:val="24"/>
                <w:lang w:val="sq-AL"/>
              </w:rPr>
              <w:t>ë</w:t>
            </w:r>
            <w:r w:rsidRPr="0032048B">
              <w:rPr>
                <w:sz w:val="24"/>
                <w:lang w:val="sq-AL"/>
              </w:rPr>
              <w:t xml:space="preserve">nligjore. Në mbrojtjen e të dhënave personale, Shqipëria duhet të marrë masa urgjente për të parandaluar përsëritjen e shkeljeve masive me të dhënat personale dhe të përmirësojë trajtimin e tyre. </w:t>
            </w:r>
            <w:r w:rsidR="005D3CCC" w:rsidRPr="0032048B">
              <w:rPr>
                <w:sz w:val="24"/>
                <w:lang w:val="sq-AL"/>
              </w:rPr>
              <w:t>Ë</w:t>
            </w:r>
            <w:r w:rsidRPr="0032048B">
              <w:rPr>
                <w:sz w:val="24"/>
                <w:lang w:val="sq-AL"/>
              </w:rPr>
              <w:t>sht</w:t>
            </w:r>
            <w:r w:rsidR="005D3CCC" w:rsidRPr="0032048B">
              <w:rPr>
                <w:sz w:val="24"/>
                <w:lang w:val="sq-AL"/>
              </w:rPr>
              <w:t>ë</w:t>
            </w:r>
            <w:r w:rsidRPr="0032048B">
              <w:rPr>
                <w:sz w:val="24"/>
                <w:lang w:val="sq-AL"/>
              </w:rPr>
              <w:t xml:space="preserve"> b</w:t>
            </w:r>
            <w:r w:rsidR="005D3CCC" w:rsidRPr="0032048B">
              <w:rPr>
                <w:sz w:val="24"/>
                <w:lang w:val="sq-AL"/>
              </w:rPr>
              <w:t>ë</w:t>
            </w:r>
            <w:r w:rsidRPr="0032048B">
              <w:rPr>
                <w:sz w:val="24"/>
                <w:lang w:val="sq-AL"/>
              </w:rPr>
              <w:t>r</w:t>
            </w:r>
            <w:r w:rsidR="005D3CCC" w:rsidRPr="0032048B">
              <w:rPr>
                <w:sz w:val="24"/>
                <w:lang w:val="sq-AL"/>
              </w:rPr>
              <w:t>ë</w:t>
            </w:r>
            <w:r w:rsidRPr="0032048B">
              <w:rPr>
                <w:sz w:val="24"/>
                <w:lang w:val="sq-AL"/>
              </w:rPr>
              <w:t xml:space="preserve"> progres në përdorimin e d</w:t>
            </w:r>
            <w:r w:rsidR="005D3CCC" w:rsidRPr="0032048B">
              <w:rPr>
                <w:sz w:val="24"/>
                <w:lang w:val="sq-AL"/>
              </w:rPr>
              <w:t>ë</w:t>
            </w:r>
            <w:r w:rsidRPr="0032048B">
              <w:rPr>
                <w:sz w:val="24"/>
                <w:lang w:val="sq-AL"/>
              </w:rPr>
              <w:t xml:space="preserve">nimeve alternativave dhe, veçanërisht, Shërbimin e Provës. Zbatimi i </w:t>
            </w:r>
            <w:proofErr w:type="spellStart"/>
            <w:r w:rsidRPr="0032048B">
              <w:rPr>
                <w:sz w:val="24"/>
                <w:lang w:val="sq-AL"/>
              </w:rPr>
              <w:t>buxhetimit</w:t>
            </w:r>
            <w:proofErr w:type="spellEnd"/>
            <w:r w:rsidRPr="0032048B">
              <w:rPr>
                <w:sz w:val="24"/>
                <w:lang w:val="sq-AL"/>
              </w:rPr>
              <w:t xml:space="preserve"> të përgjegjshëm gjinor vazhdoi të përmirësohej. Që nga janari i vitit 2022, qeveria shqiptare ka zbatuar një sërë masash që synojnë mbështetjen e familjeve, grave dhe vajzave, si dhe grupeve të cenueshme, p</w:t>
            </w:r>
            <w:r w:rsidR="005D3CCC" w:rsidRPr="0032048B">
              <w:rPr>
                <w:sz w:val="24"/>
                <w:lang w:val="sq-AL"/>
              </w:rPr>
              <w:t>ë</w:t>
            </w:r>
            <w:r w:rsidRPr="0032048B">
              <w:rPr>
                <w:sz w:val="24"/>
                <w:lang w:val="sq-AL"/>
              </w:rPr>
              <w:t>r t</w:t>
            </w:r>
            <w:r w:rsidR="005D3CCC" w:rsidRPr="0032048B">
              <w:rPr>
                <w:sz w:val="24"/>
                <w:lang w:val="sq-AL"/>
              </w:rPr>
              <w:t>ë</w:t>
            </w:r>
            <w:r w:rsidRPr="0032048B">
              <w:rPr>
                <w:sz w:val="24"/>
                <w:lang w:val="sq-AL"/>
              </w:rPr>
              <w:t xml:space="preserve"> p</w:t>
            </w:r>
            <w:r w:rsidR="005D3CCC" w:rsidRPr="0032048B">
              <w:rPr>
                <w:sz w:val="24"/>
                <w:lang w:val="sq-AL"/>
              </w:rPr>
              <w:t>ë</w:t>
            </w:r>
            <w:r w:rsidRPr="0032048B">
              <w:rPr>
                <w:sz w:val="24"/>
                <w:lang w:val="sq-AL"/>
              </w:rPr>
              <w:t>rballuar krizën globale të shkaktuar nga Pandemia Covid-19 dhe Lufta e Agresionit t</w:t>
            </w:r>
            <w:r w:rsidR="005D3CCC" w:rsidRPr="0032048B">
              <w:rPr>
                <w:sz w:val="24"/>
                <w:lang w:val="sq-AL"/>
              </w:rPr>
              <w:t>ë</w:t>
            </w:r>
            <w:r w:rsidRPr="0032048B">
              <w:rPr>
                <w:sz w:val="24"/>
                <w:lang w:val="sq-AL"/>
              </w:rPr>
              <w:t xml:space="preserve"> Rusis</w:t>
            </w:r>
            <w:r w:rsidR="005D3CCC" w:rsidRPr="0032048B">
              <w:rPr>
                <w:sz w:val="24"/>
                <w:lang w:val="sq-AL"/>
              </w:rPr>
              <w:t>ë</w:t>
            </w:r>
            <w:r w:rsidRPr="0032048B">
              <w:rPr>
                <w:sz w:val="24"/>
                <w:lang w:val="sq-AL"/>
              </w:rPr>
              <w:t xml:space="preserve"> kund</w:t>
            </w:r>
            <w:r w:rsidR="005D3CCC" w:rsidRPr="0032048B">
              <w:rPr>
                <w:sz w:val="24"/>
                <w:lang w:val="sq-AL"/>
              </w:rPr>
              <w:t>ë</w:t>
            </w:r>
            <w:r w:rsidRPr="0032048B">
              <w:rPr>
                <w:sz w:val="24"/>
                <w:lang w:val="sq-AL"/>
              </w:rPr>
              <w:t xml:space="preserve">r Ukrainës. Ndihma ekonomike për viktimat e dhunës në familje është rritur ndjeshëm. Zbatimi i ligjit për barazinë gjinore dhe strategjisë kombëtare për gjininë vazhdoi dhe duhet të intensifikohet më tej. </w:t>
            </w:r>
            <w:r w:rsidR="005D3CCC" w:rsidRPr="0032048B">
              <w:rPr>
                <w:sz w:val="24"/>
                <w:lang w:val="sq-AL"/>
              </w:rPr>
              <w:t>Ë</w:t>
            </w:r>
            <w:r w:rsidRPr="0032048B">
              <w:rPr>
                <w:sz w:val="24"/>
                <w:lang w:val="sq-AL"/>
              </w:rPr>
              <w:t>sht</w:t>
            </w:r>
            <w:r w:rsidR="005D3CCC" w:rsidRPr="0032048B">
              <w:rPr>
                <w:sz w:val="24"/>
                <w:lang w:val="sq-AL"/>
              </w:rPr>
              <w:t>ë</w:t>
            </w:r>
            <w:r w:rsidRPr="0032048B">
              <w:rPr>
                <w:sz w:val="24"/>
                <w:lang w:val="sq-AL"/>
              </w:rPr>
              <w:t xml:space="preserve"> b</w:t>
            </w:r>
            <w:r w:rsidR="005D3CCC" w:rsidRPr="0032048B">
              <w:rPr>
                <w:sz w:val="24"/>
                <w:lang w:val="sq-AL"/>
              </w:rPr>
              <w:t>ë</w:t>
            </w:r>
            <w:r w:rsidRPr="0032048B">
              <w:rPr>
                <w:sz w:val="24"/>
                <w:lang w:val="sq-AL"/>
              </w:rPr>
              <w:t>r</w:t>
            </w:r>
            <w:r w:rsidR="005D3CCC" w:rsidRPr="0032048B">
              <w:rPr>
                <w:sz w:val="24"/>
                <w:lang w:val="sq-AL"/>
              </w:rPr>
              <w:t>ë</w:t>
            </w:r>
            <w:r w:rsidRPr="0032048B">
              <w:rPr>
                <w:sz w:val="24"/>
                <w:lang w:val="sq-AL"/>
              </w:rPr>
              <w:t xml:space="preserve"> progres</w:t>
            </w:r>
            <w:r w:rsidR="00B31C99" w:rsidRPr="0032048B">
              <w:rPr>
                <w:sz w:val="24"/>
                <w:lang w:val="sq-AL"/>
              </w:rPr>
              <w:t xml:space="preserve"> </w:t>
            </w:r>
            <w:r w:rsidRPr="0032048B">
              <w:rPr>
                <w:sz w:val="24"/>
                <w:lang w:val="sq-AL"/>
              </w:rPr>
              <w:t>i</w:t>
            </w:r>
            <w:r w:rsidR="00B31C99" w:rsidRPr="0032048B">
              <w:rPr>
                <w:sz w:val="24"/>
                <w:lang w:val="sq-AL"/>
              </w:rPr>
              <w:t xml:space="preserve"> </w:t>
            </w:r>
            <w:r w:rsidR="000C6EFC" w:rsidRPr="0032048B">
              <w:rPr>
                <w:sz w:val="24"/>
                <w:lang w:val="sq-AL"/>
              </w:rPr>
              <w:t>mirë</w:t>
            </w:r>
            <w:r w:rsidRPr="0032048B">
              <w:rPr>
                <w:sz w:val="24"/>
                <w:lang w:val="sq-AL"/>
              </w:rPr>
              <w:t xml:space="preserve"> në të drejtat e personave me aftësi të kufizuara, sa i takon vlerësimit </w:t>
            </w:r>
            <w:proofErr w:type="spellStart"/>
            <w:r w:rsidRPr="0032048B">
              <w:rPr>
                <w:sz w:val="24"/>
                <w:lang w:val="sq-AL"/>
              </w:rPr>
              <w:t>biopsikosocial</w:t>
            </w:r>
            <w:proofErr w:type="spellEnd"/>
            <w:r w:rsidRPr="0032048B">
              <w:rPr>
                <w:sz w:val="24"/>
                <w:lang w:val="sq-AL"/>
              </w:rPr>
              <w:t>. Procesi i regjistrimit fillestar të pronave dhe proceseve të tjera kalimtare duhet të përparojë në transparencë të plotë, duke përfshirë luft</w:t>
            </w:r>
            <w:r w:rsidR="005D3CCC" w:rsidRPr="0032048B">
              <w:rPr>
                <w:sz w:val="24"/>
                <w:lang w:val="sq-AL"/>
              </w:rPr>
              <w:t>ë</w:t>
            </w:r>
            <w:r w:rsidRPr="0032048B">
              <w:rPr>
                <w:sz w:val="24"/>
                <w:lang w:val="sq-AL"/>
              </w:rPr>
              <w:t>n kund</w:t>
            </w:r>
            <w:r w:rsidR="005D3CCC" w:rsidRPr="0032048B">
              <w:rPr>
                <w:sz w:val="24"/>
                <w:lang w:val="sq-AL"/>
              </w:rPr>
              <w:t>ë</w:t>
            </w:r>
            <w:r w:rsidRPr="0032048B">
              <w:rPr>
                <w:sz w:val="24"/>
                <w:lang w:val="sq-AL"/>
              </w:rPr>
              <w:t xml:space="preserve">r korrupsionit. Regjistrimi dhe digjitalizimi i të dhënave </w:t>
            </w:r>
            <w:proofErr w:type="spellStart"/>
            <w:r w:rsidRPr="0032048B">
              <w:rPr>
                <w:sz w:val="24"/>
                <w:lang w:val="sq-AL"/>
              </w:rPr>
              <w:t>kadastrale</w:t>
            </w:r>
            <w:proofErr w:type="spellEnd"/>
            <w:r w:rsidRPr="0032048B">
              <w:rPr>
                <w:sz w:val="24"/>
                <w:lang w:val="sq-AL"/>
              </w:rPr>
              <w:t xml:space="preserve"> vazhdoi, por me ritëm të ngadaltë. U b</w:t>
            </w:r>
            <w:r w:rsidR="005D3CCC" w:rsidRPr="0032048B">
              <w:rPr>
                <w:sz w:val="24"/>
                <w:lang w:val="sq-AL"/>
              </w:rPr>
              <w:t>ë</w:t>
            </w:r>
            <w:r w:rsidRPr="0032048B">
              <w:rPr>
                <w:sz w:val="24"/>
                <w:lang w:val="sq-AL"/>
              </w:rPr>
              <w:t xml:space="preserve"> progres n</w:t>
            </w:r>
            <w:r w:rsidR="005D3CCC" w:rsidRPr="0032048B">
              <w:rPr>
                <w:sz w:val="24"/>
                <w:lang w:val="sq-AL"/>
              </w:rPr>
              <w:t>ë</w:t>
            </w:r>
            <w:r w:rsidRPr="0032048B">
              <w:rPr>
                <w:sz w:val="24"/>
                <w:lang w:val="sq-AL"/>
              </w:rPr>
              <w:t xml:space="preserve"> miratimin e akteve n</w:t>
            </w:r>
            <w:r w:rsidR="005D3CCC" w:rsidRPr="0032048B">
              <w:rPr>
                <w:sz w:val="24"/>
                <w:lang w:val="sq-AL"/>
              </w:rPr>
              <w:t>ë</w:t>
            </w:r>
            <w:r w:rsidR="00A10A50" w:rsidRPr="0032048B">
              <w:rPr>
                <w:sz w:val="24"/>
                <w:lang w:val="sq-AL"/>
              </w:rPr>
              <w:t>n</w:t>
            </w:r>
            <w:r w:rsidRPr="0032048B">
              <w:rPr>
                <w:sz w:val="24"/>
                <w:lang w:val="sq-AL"/>
              </w:rPr>
              <w:t>ligjore për ligjin mbi kadastrën dhe ligjin për përfundimin e proceseve kalimtare të pronësisë, por duhet të ecet n</w:t>
            </w:r>
            <w:r w:rsidR="005D3CCC" w:rsidRPr="0032048B">
              <w:rPr>
                <w:sz w:val="24"/>
                <w:lang w:val="sq-AL"/>
              </w:rPr>
              <w:t>ë</w:t>
            </w:r>
            <w:r w:rsidRPr="0032048B">
              <w:rPr>
                <w:sz w:val="24"/>
                <w:lang w:val="sq-AL"/>
              </w:rPr>
              <w:t xml:space="preserve"> m</w:t>
            </w:r>
            <w:r w:rsidR="005D3CCC" w:rsidRPr="0032048B">
              <w:rPr>
                <w:sz w:val="24"/>
                <w:lang w:val="sq-AL"/>
              </w:rPr>
              <w:t>ë</w:t>
            </w:r>
            <w:r w:rsidRPr="0032048B">
              <w:rPr>
                <w:sz w:val="24"/>
                <w:lang w:val="sq-AL"/>
              </w:rPr>
              <w:t>nyr</w:t>
            </w:r>
            <w:r w:rsidR="005D3CCC" w:rsidRPr="0032048B">
              <w:rPr>
                <w:sz w:val="24"/>
                <w:lang w:val="sq-AL"/>
              </w:rPr>
              <w:t>ë</w:t>
            </w:r>
            <w:r w:rsidRPr="0032048B">
              <w:rPr>
                <w:sz w:val="24"/>
                <w:lang w:val="sq-AL"/>
              </w:rPr>
              <w:t xml:space="preserve"> dometh</w:t>
            </w:r>
            <w:r w:rsidR="005D3CCC" w:rsidRPr="0032048B">
              <w:rPr>
                <w:sz w:val="24"/>
                <w:lang w:val="sq-AL"/>
              </w:rPr>
              <w:t>ë</w:t>
            </w:r>
            <w:r w:rsidRPr="0032048B">
              <w:rPr>
                <w:sz w:val="24"/>
                <w:lang w:val="sq-AL"/>
              </w:rPr>
              <w:t>n</w:t>
            </w:r>
            <w:r w:rsidR="005D3CCC" w:rsidRPr="0032048B">
              <w:rPr>
                <w:sz w:val="24"/>
                <w:lang w:val="sq-AL"/>
              </w:rPr>
              <w:t>ë</w:t>
            </w:r>
            <w:r w:rsidRPr="0032048B">
              <w:rPr>
                <w:sz w:val="24"/>
                <w:lang w:val="sq-AL"/>
              </w:rPr>
              <w:t>se me zbatimin n</w:t>
            </w:r>
            <w:r w:rsidR="005D3CCC" w:rsidRPr="0032048B">
              <w:rPr>
                <w:sz w:val="24"/>
                <w:lang w:val="sq-AL"/>
              </w:rPr>
              <w:t>ë</w:t>
            </w:r>
            <w:r w:rsidRPr="0032048B">
              <w:rPr>
                <w:sz w:val="24"/>
                <w:lang w:val="sq-AL"/>
              </w:rPr>
              <w:t xml:space="preserve"> t</w:t>
            </w:r>
            <w:r w:rsidR="005D3CCC" w:rsidRPr="0032048B">
              <w:rPr>
                <w:sz w:val="24"/>
                <w:lang w:val="sq-AL"/>
              </w:rPr>
              <w:t>ë</w:t>
            </w:r>
            <w:r w:rsidRPr="0032048B">
              <w:rPr>
                <w:sz w:val="24"/>
                <w:lang w:val="sq-AL"/>
              </w:rPr>
              <w:t>r</w:t>
            </w:r>
            <w:r w:rsidR="005D3CCC" w:rsidRPr="0032048B">
              <w:rPr>
                <w:sz w:val="24"/>
                <w:lang w:val="sq-AL"/>
              </w:rPr>
              <w:t>ë</w:t>
            </w:r>
            <w:r w:rsidRPr="0032048B">
              <w:rPr>
                <w:sz w:val="24"/>
                <w:lang w:val="sq-AL"/>
              </w:rPr>
              <w:t>si dhe rezultatet duhet t</w:t>
            </w:r>
            <w:r w:rsidR="005D3CCC" w:rsidRPr="0032048B">
              <w:rPr>
                <w:sz w:val="24"/>
                <w:lang w:val="sq-AL"/>
              </w:rPr>
              <w:t>ë</w:t>
            </w:r>
            <w:r w:rsidRPr="0032048B">
              <w:rPr>
                <w:sz w:val="24"/>
                <w:lang w:val="sq-AL"/>
              </w:rPr>
              <w:t xml:space="preserve"> rriten ndjeshëm. Aktet e mbetura n</w:t>
            </w:r>
            <w:r w:rsidR="005D3CCC" w:rsidRPr="0032048B">
              <w:rPr>
                <w:sz w:val="24"/>
                <w:lang w:val="sq-AL"/>
              </w:rPr>
              <w:t>ë</w:t>
            </w:r>
            <w:r w:rsidRPr="0032048B">
              <w:rPr>
                <w:sz w:val="24"/>
                <w:lang w:val="sq-AL"/>
              </w:rPr>
              <w:t>nligjore në lidhje me Ligjin Kuad</w:t>
            </w:r>
            <w:r w:rsidR="005D3CCC" w:rsidRPr="0032048B">
              <w:rPr>
                <w:sz w:val="24"/>
                <w:lang w:val="sq-AL"/>
              </w:rPr>
              <w:t>ë</w:t>
            </w:r>
            <w:r w:rsidRPr="0032048B">
              <w:rPr>
                <w:sz w:val="24"/>
                <w:lang w:val="sq-AL"/>
              </w:rPr>
              <w:t>r të vitit 2017 për mbrojtjen e personave që u përkasin pakicave kombëtare ende nuk jan</w:t>
            </w:r>
            <w:r w:rsidR="005D3CCC" w:rsidRPr="0032048B">
              <w:rPr>
                <w:sz w:val="24"/>
                <w:lang w:val="sq-AL"/>
              </w:rPr>
              <w:t>ë</w:t>
            </w:r>
            <w:r w:rsidRPr="0032048B">
              <w:rPr>
                <w:sz w:val="24"/>
                <w:lang w:val="sq-AL"/>
              </w:rPr>
              <w:t xml:space="preserve"> miratuar. P</w:t>
            </w:r>
            <w:r w:rsidR="005D3CCC" w:rsidRPr="0032048B">
              <w:rPr>
                <w:sz w:val="24"/>
                <w:lang w:val="sq-AL"/>
              </w:rPr>
              <w:t>ë</w:t>
            </w:r>
            <w:r w:rsidRPr="0032048B">
              <w:rPr>
                <w:sz w:val="24"/>
                <w:lang w:val="sq-AL"/>
              </w:rPr>
              <w:t>r mbrojtjen e të dhënave personale, Shqipëria duhet të vendosë masa të forta mbrojtëse, ligjore dhe institucionale, për të parandaluar shkelje të tjera masive të privat</w:t>
            </w:r>
            <w:r w:rsidR="005D3CCC" w:rsidRPr="0032048B">
              <w:rPr>
                <w:sz w:val="24"/>
                <w:lang w:val="sq-AL"/>
              </w:rPr>
              <w:t>ë</w:t>
            </w:r>
            <w:r w:rsidRPr="0032048B">
              <w:rPr>
                <w:sz w:val="24"/>
                <w:lang w:val="sq-AL"/>
              </w:rPr>
              <w:t>sis</w:t>
            </w:r>
            <w:r w:rsidR="005D3CCC" w:rsidRPr="0032048B">
              <w:rPr>
                <w:sz w:val="24"/>
                <w:lang w:val="sq-AL"/>
              </w:rPr>
              <w:t>ë</w:t>
            </w:r>
            <w:r w:rsidRPr="0032048B">
              <w:rPr>
                <w:sz w:val="24"/>
                <w:lang w:val="sq-AL"/>
              </w:rPr>
              <w:t xml:space="preserve"> nga kompanitë private dhe administrata publike, si dhe të miratojnë legjislacionin e nevojshëm për t’u përafruar me </w:t>
            </w:r>
            <w:proofErr w:type="spellStart"/>
            <w:r w:rsidRPr="0032048B">
              <w:rPr>
                <w:i/>
                <w:iCs/>
                <w:sz w:val="24"/>
                <w:lang w:val="sq-AL"/>
              </w:rPr>
              <w:t>acquis</w:t>
            </w:r>
            <w:proofErr w:type="spellEnd"/>
            <w:r w:rsidRPr="0032048B">
              <w:rPr>
                <w:sz w:val="24"/>
                <w:lang w:val="sq-AL"/>
              </w:rPr>
              <w:t xml:space="preserve"> e BE-së për të dhënat personale. Meqenëse rekomandimet e vitit 2022 u zbatuan vetëm pjesërisht, në vitin e ardhshëm Shqipëria duhet, në veçanti:</w:t>
            </w:r>
          </w:p>
          <w:p w14:paraId="095E0DFD" w14:textId="58573416" w:rsidR="00380775" w:rsidRPr="0032048B" w:rsidRDefault="00380775" w:rsidP="00D830BE">
            <w:pPr>
              <w:tabs>
                <w:tab w:val="left" w:pos="1134"/>
              </w:tabs>
              <w:spacing w:before="19"/>
              <w:ind w:left="209" w:right="323"/>
              <w:jc w:val="both"/>
              <w:rPr>
                <w:sz w:val="24"/>
                <w:lang w:val="sq-AL"/>
              </w:rPr>
            </w:pPr>
            <w:r w:rsidRPr="0032048B">
              <w:rPr>
                <w:rFonts w:ascii="Symbol" w:hAnsi="Symbol"/>
                <w:sz w:val="24"/>
                <w:lang w:val="sq-AL"/>
              </w:rPr>
              <w:t></w:t>
            </w:r>
            <w:r w:rsidRPr="0032048B">
              <w:rPr>
                <w:rFonts w:ascii="Symbol" w:hAnsi="Symbol"/>
                <w:sz w:val="24"/>
                <w:lang w:val="sq-AL"/>
              </w:rPr>
              <w:t></w:t>
            </w:r>
            <w:r w:rsidRPr="0032048B">
              <w:rPr>
                <w:sz w:val="24"/>
                <w:lang w:val="sq-AL"/>
              </w:rPr>
              <w:t>T</w:t>
            </w:r>
            <w:r w:rsidR="005D3CCC" w:rsidRPr="0032048B">
              <w:rPr>
                <w:sz w:val="24"/>
                <w:lang w:val="sq-AL"/>
              </w:rPr>
              <w:t>ë</w:t>
            </w:r>
            <w:r w:rsidRPr="0032048B">
              <w:rPr>
                <w:sz w:val="24"/>
                <w:lang w:val="sq-AL"/>
              </w:rPr>
              <w:t xml:space="preserve"> miratoj</w:t>
            </w:r>
            <w:r w:rsidR="005D3CCC" w:rsidRPr="0032048B">
              <w:rPr>
                <w:sz w:val="24"/>
                <w:lang w:val="sq-AL"/>
              </w:rPr>
              <w:t>ë</w:t>
            </w:r>
            <w:r w:rsidRPr="0032048B">
              <w:rPr>
                <w:sz w:val="24"/>
                <w:lang w:val="sq-AL"/>
              </w:rPr>
              <w:t xml:space="preserve"> aktet e mbetura n</w:t>
            </w:r>
            <w:r w:rsidR="005D3CCC" w:rsidRPr="0032048B">
              <w:rPr>
                <w:sz w:val="24"/>
                <w:lang w:val="sq-AL"/>
              </w:rPr>
              <w:t>ën</w:t>
            </w:r>
            <w:r w:rsidRPr="0032048B">
              <w:rPr>
                <w:sz w:val="24"/>
                <w:lang w:val="sq-AL"/>
              </w:rPr>
              <w:t>ligjore për të drejtat e personave që u përkasin pakicave n</w:t>
            </w:r>
            <w:r w:rsidR="005D3CCC" w:rsidRPr="0032048B">
              <w:rPr>
                <w:sz w:val="24"/>
                <w:lang w:val="sq-AL"/>
              </w:rPr>
              <w:t>ë</w:t>
            </w:r>
            <w:r w:rsidRPr="0032048B">
              <w:rPr>
                <w:sz w:val="24"/>
                <w:lang w:val="sq-AL"/>
              </w:rPr>
              <w:t xml:space="preserve"> lidhje me vetë-identifikimin dhe përdorimin e gjuhëve të pakicave, si t</w:t>
            </w:r>
            <w:r w:rsidR="005D3CCC" w:rsidRPr="0032048B">
              <w:rPr>
                <w:sz w:val="24"/>
                <w:lang w:val="sq-AL"/>
              </w:rPr>
              <w:t>ë</w:t>
            </w:r>
            <w:r w:rsidRPr="0032048B">
              <w:rPr>
                <w:sz w:val="24"/>
                <w:lang w:val="sq-AL"/>
              </w:rPr>
              <w:t xml:space="preserve"> rris</w:t>
            </w:r>
            <w:r w:rsidR="005D3CCC" w:rsidRPr="0032048B">
              <w:rPr>
                <w:sz w:val="24"/>
                <w:lang w:val="sq-AL"/>
              </w:rPr>
              <w:t>ë</w:t>
            </w:r>
            <w:r w:rsidRPr="0032048B">
              <w:rPr>
                <w:sz w:val="24"/>
                <w:lang w:val="sq-AL"/>
              </w:rPr>
              <w:t xml:space="preserve"> kapacitetet e Komitetit Shtet</w:t>
            </w:r>
            <w:r w:rsidR="005D3CCC" w:rsidRPr="0032048B">
              <w:rPr>
                <w:sz w:val="24"/>
                <w:lang w:val="sq-AL"/>
              </w:rPr>
              <w:t>ë</w:t>
            </w:r>
            <w:r w:rsidRPr="0032048B">
              <w:rPr>
                <w:sz w:val="24"/>
                <w:lang w:val="sq-AL"/>
              </w:rPr>
              <w:t>ror për Pakicat Kombëtare;</w:t>
            </w:r>
          </w:p>
          <w:p w14:paraId="784B5D0D" w14:textId="334BB12C" w:rsidR="00380775" w:rsidRPr="0032048B" w:rsidRDefault="00380775" w:rsidP="00D830BE">
            <w:pPr>
              <w:tabs>
                <w:tab w:val="left" w:pos="1134"/>
              </w:tabs>
              <w:spacing w:before="19"/>
              <w:ind w:left="209" w:right="323"/>
              <w:jc w:val="both"/>
              <w:rPr>
                <w:sz w:val="24"/>
                <w:lang w:val="sq-AL"/>
              </w:rPr>
            </w:pPr>
            <w:r w:rsidRPr="0032048B">
              <w:rPr>
                <w:rFonts w:ascii="Symbol" w:hAnsi="Symbol"/>
                <w:sz w:val="24"/>
                <w:lang w:val="sq-AL"/>
              </w:rPr>
              <w:t></w:t>
            </w:r>
            <w:r w:rsidRPr="0032048B">
              <w:rPr>
                <w:sz w:val="24"/>
                <w:lang w:val="sq-AL"/>
              </w:rPr>
              <w:t xml:space="preserve"> T</w:t>
            </w:r>
            <w:r w:rsidR="005D3CCC" w:rsidRPr="0032048B">
              <w:rPr>
                <w:sz w:val="24"/>
                <w:lang w:val="sq-AL"/>
              </w:rPr>
              <w:t>ë</w:t>
            </w:r>
            <w:r w:rsidRPr="0032048B">
              <w:rPr>
                <w:sz w:val="24"/>
                <w:lang w:val="sq-AL"/>
              </w:rPr>
              <w:t xml:space="preserve"> garantoj</w:t>
            </w:r>
            <w:r w:rsidR="005D3CCC" w:rsidRPr="0032048B">
              <w:rPr>
                <w:sz w:val="24"/>
                <w:lang w:val="sq-AL"/>
              </w:rPr>
              <w:t>ë</w:t>
            </w:r>
            <w:r w:rsidRPr="0032048B">
              <w:rPr>
                <w:sz w:val="24"/>
                <w:lang w:val="sq-AL"/>
              </w:rPr>
              <w:t xml:space="preserve"> të drejtën e pronës, veçanërisht duke bërë progres vendimtar në regjistrimin fillestar dhe kompensimin, përmirësimin e transparencës s</w:t>
            </w:r>
            <w:r w:rsidR="005D3CCC" w:rsidRPr="0032048B">
              <w:rPr>
                <w:sz w:val="24"/>
                <w:lang w:val="sq-AL"/>
              </w:rPr>
              <w:t>ë</w:t>
            </w:r>
            <w:r w:rsidRPr="0032048B">
              <w:rPr>
                <w:sz w:val="24"/>
                <w:lang w:val="sq-AL"/>
              </w:rPr>
              <w:t xml:space="preserve"> kadastrës shtetërore dhe cilësisë s</w:t>
            </w:r>
            <w:r w:rsidR="005D3CCC" w:rsidRPr="0032048B">
              <w:rPr>
                <w:sz w:val="24"/>
                <w:lang w:val="sq-AL"/>
              </w:rPr>
              <w:t>ë</w:t>
            </w:r>
            <w:r w:rsidRPr="0032048B">
              <w:rPr>
                <w:sz w:val="24"/>
                <w:lang w:val="sq-AL"/>
              </w:rPr>
              <w:t xml:space="preserve"> regjistrit të pasurive, si dhe garantimit t</w:t>
            </w:r>
            <w:r w:rsidR="005D3CCC" w:rsidRPr="0032048B">
              <w:rPr>
                <w:sz w:val="24"/>
                <w:lang w:val="sq-AL"/>
              </w:rPr>
              <w:t>ë</w:t>
            </w:r>
            <w:r w:rsidRPr="0032048B">
              <w:rPr>
                <w:sz w:val="24"/>
                <w:lang w:val="sq-AL"/>
              </w:rPr>
              <w:t xml:space="preserve"> s</w:t>
            </w:r>
            <w:r w:rsidR="005D3CCC" w:rsidRPr="0032048B">
              <w:rPr>
                <w:sz w:val="24"/>
                <w:lang w:val="sq-AL"/>
              </w:rPr>
              <w:t>ë</w:t>
            </w:r>
            <w:r w:rsidRPr="0032048B">
              <w:rPr>
                <w:sz w:val="24"/>
                <w:lang w:val="sq-AL"/>
              </w:rPr>
              <w:t xml:space="preserve"> drejt</w:t>
            </w:r>
            <w:r w:rsidR="005D3CCC" w:rsidRPr="0032048B">
              <w:rPr>
                <w:sz w:val="24"/>
                <w:lang w:val="sq-AL"/>
              </w:rPr>
              <w:t>ë</w:t>
            </w:r>
            <w:r w:rsidRPr="0032048B">
              <w:rPr>
                <w:sz w:val="24"/>
                <w:lang w:val="sq-AL"/>
              </w:rPr>
              <w:t>s p</w:t>
            </w:r>
            <w:r w:rsidR="005D3CCC" w:rsidRPr="0032048B">
              <w:rPr>
                <w:sz w:val="24"/>
                <w:lang w:val="sq-AL"/>
              </w:rPr>
              <w:t>ë</w:t>
            </w:r>
            <w:r w:rsidRPr="0032048B">
              <w:rPr>
                <w:sz w:val="24"/>
                <w:lang w:val="sq-AL"/>
              </w:rPr>
              <w:t>r gjykim të pa-ansh</w:t>
            </w:r>
            <w:r w:rsidR="005D3CCC" w:rsidRPr="0032048B">
              <w:rPr>
                <w:sz w:val="24"/>
                <w:lang w:val="sq-AL"/>
              </w:rPr>
              <w:t>ë</w:t>
            </w:r>
            <w:r w:rsidRPr="0032048B">
              <w:rPr>
                <w:sz w:val="24"/>
                <w:lang w:val="sq-AL"/>
              </w:rPr>
              <w:t>m dhe të drejtës p</w:t>
            </w:r>
            <w:r w:rsidR="005D3CCC" w:rsidRPr="0032048B">
              <w:rPr>
                <w:sz w:val="24"/>
                <w:lang w:val="sq-AL"/>
              </w:rPr>
              <w:t>ë</w:t>
            </w:r>
            <w:r w:rsidRPr="0032048B">
              <w:rPr>
                <w:sz w:val="24"/>
                <w:lang w:val="sq-AL"/>
              </w:rPr>
              <w:t>r zgjidhje efektive në rastet e shpronësimit dhe heqjes së pronave;</w:t>
            </w:r>
          </w:p>
          <w:p w14:paraId="7E3DBA20" w14:textId="06D90847" w:rsidR="00380775" w:rsidRPr="0032048B" w:rsidRDefault="00380775" w:rsidP="00D830BE">
            <w:pPr>
              <w:tabs>
                <w:tab w:val="left" w:pos="1134"/>
              </w:tabs>
              <w:spacing w:before="135" w:line="276" w:lineRule="exact"/>
              <w:ind w:left="209" w:right="323"/>
              <w:jc w:val="both"/>
              <w:rPr>
                <w:sz w:val="24"/>
                <w:lang w:val="sq-AL"/>
              </w:rPr>
            </w:pPr>
            <w:r w:rsidRPr="0032048B">
              <w:rPr>
                <w:rFonts w:ascii="Symbol" w:hAnsi="Symbol"/>
                <w:sz w:val="24"/>
                <w:lang w:val="sq-AL"/>
              </w:rPr>
              <w:t></w:t>
            </w:r>
            <w:r w:rsidRPr="0032048B">
              <w:rPr>
                <w:sz w:val="24"/>
                <w:lang w:val="sq-AL"/>
              </w:rPr>
              <w:t xml:space="preserve"> T</w:t>
            </w:r>
            <w:r w:rsidR="005D3CCC" w:rsidRPr="0032048B">
              <w:rPr>
                <w:sz w:val="24"/>
                <w:lang w:val="sq-AL"/>
              </w:rPr>
              <w:t>ë</w:t>
            </w:r>
            <w:r w:rsidRPr="0032048B">
              <w:rPr>
                <w:sz w:val="24"/>
                <w:lang w:val="sq-AL"/>
              </w:rPr>
              <w:t xml:space="preserve"> përmirësoj</w:t>
            </w:r>
            <w:r w:rsidR="005D3CCC" w:rsidRPr="0032048B">
              <w:rPr>
                <w:sz w:val="24"/>
                <w:lang w:val="sq-AL"/>
              </w:rPr>
              <w:t>ë</w:t>
            </w:r>
            <w:r w:rsidRPr="0032048B">
              <w:rPr>
                <w:sz w:val="24"/>
                <w:lang w:val="sq-AL"/>
              </w:rPr>
              <w:t xml:space="preserve"> mbrojtjen e të dhënave, veçanërisht duke miratuar ligjin e rishikuar për mbrojtjen e të dhënave personale në përputhje të plotë me </w:t>
            </w:r>
            <w:proofErr w:type="spellStart"/>
            <w:r w:rsidRPr="0032048B">
              <w:rPr>
                <w:i/>
                <w:iCs/>
                <w:sz w:val="24"/>
                <w:lang w:val="sq-AL"/>
              </w:rPr>
              <w:t>acquis</w:t>
            </w:r>
            <w:proofErr w:type="spellEnd"/>
            <w:r w:rsidRPr="0032048B">
              <w:rPr>
                <w:sz w:val="24"/>
                <w:lang w:val="sq-AL"/>
              </w:rPr>
              <w:t xml:space="preserve"> e BE-së, duke forcuar pavarësinë dhe aftësinë e </w:t>
            </w:r>
            <w:proofErr w:type="spellStart"/>
            <w:r w:rsidRPr="0032048B">
              <w:rPr>
                <w:sz w:val="24"/>
                <w:lang w:val="sq-AL"/>
              </w:rPr>
              <w:t>Komisionerit</w:t>
            </w:r>
            <w:proofErr w:type="spellEnd"/>
            <w:r w:rsidRPr="0032048B">
              <w:rPr>
                <w:sz w:val="24"/>
                <w:lang w:val="sq-AL"/>
              </w:rPr>
              <w:t xml:space="preserve"> p</w:t>
            </w:r>
            <w:r w:rsidR="005D3CCC" w:rsidRPr="0032048B">
              <w:rPr>
                <w:sz w:val="24"/>
                <w:lang w:val="sq-AL"/>
              </w:rPr>
              <w:t>ë</w:t>
            </w:r>
            <w:r w:rsidRPr="0032048B">
              <w:rPr>
                <w:sz w:val="24"/>
                <w:lang w:val="sq-AL"/>
              </w:rPr>
              <w:t>r Informimin dhe Mbrojtjen e të Dhënave, si dhe duke rritur ndërgjegjësimin</w:t>
            </w:r>
            <w:r w:rsidRPr="0032048B">
              <w:rPr>
                <w:spacing w:val="-2"/>
                <w:sz w:val="24"/>
                <w:lang w:val="sq-AL"/>
              </w:rPr>
              <w:t>.</w:t>
            </w:r>
          </w:p>
        </w:tc>
      </w:tr>
    </w:tbl>
    <w:p w14:paraId="08470587" w14:textId="77777777" w:rsidR="00380775" w:rsidRPr="0032048B" w:rsidRDefault="00380775" w:rsidP="00361D5A">
      <w:pPr>
        <w:tabs>
          <w:tab w:val="left" w:pos="1134"/>
        </w:tabs>
        <w:spacing w:before="121"/>
        <w:ind w:left="993" w:right="1067"/>
        <w:jc w:val="both"/>
        <w:rPr>
          <w:sz w:val="24"/>
          <w:szCs w:val="24"/>
          <w:lang w:val="sq-AL"/>
        </w:rPr>
      </w:pPr>
    </w:p>
    <w:p w14:paraId="27ABD420" w14:textId="49E89A47" w:rsidR="00380775" w:rsidRPr="0032048B" w:rsidRDefault="00380775" w:rsidP="00361D5A">
      <w:pPr>
        <w:tabs>
          <w:tab w:val="left" w:pos="1134"/>
        </w:tabs>
        <w:spacing w:before="119"/>
        <w:ind w:left="993" w:right="1067"/>
        <w:jc w:val="both"/>
        <w:rPr>
          <w:sz w:val="24"/>
          <w:szCs w:val="24"/>
          <w:lang w:val="sq-AL"/>
        </w:rPr>
      </w:pPr>
      <w:r w:rsidRPr="0032048B">
        <w:rPr>
          <w:sz w:val="24"/>
          <w:szCs w:val="24"/>
          <w:lang w:val="sq-AL"/>
        </w:rPr>
        <w:t xml:space="preserve">Në përgjithësi, Shqipëria vazhdon të jetë palë në shumicën e instrumenteve ndërkombëtare për të drejtat e njeriut. Shqipëria nuk e ka nënshkruar protokollin </w:t>
      </w:r>
      <w:proofErr w:type="spellStart"/>
      <w:r w:rsidRPr="0032048B">
        <w:rPr>
          <w:sz w:val="24"/>
          <w:szCs w:val="24"/>
          <w:lang w:val="sq-AL"/>
        </w:rPr>
        <w:t>opsional</w:t>
      </w:r>
      <w:proofErr w:type="spellEnd"/>
      <w:r w:rsidRPr="0032048B">
        <w:rPr>
          <w:sz w:val="24"/>
          <w:szCs w:val="24"/>
          <w:lang w:val="sq-AL"/>
        </w:rPr>
        <w:t xml:space="preserve"> t</w:t>
      </w:r>
      <w:r w:rsidR="005D3CCC" w:rsidRPr="0032048B">
        <w:rPr>
          <w:sz w:val="24"/>
          <w:szCs w:val="24"/>
          <w:lang w:val="sq-AL"/>
        </w:rPr>
        <w:t>ë</w:t>
      </w:r>
      <w:r w:rsidRPr="0032048B">
        <w:rPr>
          <w:sz w:val="24"/>
          <w:szCs w:val="24"/>
          <w:lang w:val="sq-AL"/>
        </w:rPr>
        <w:t xml:space="preserve"> Konventës për të Drejtat e Personave me Aftësi të Kufizuara dhe protokollin </w:t>
      </w:r>
      <w:proofErr w:type="spellStart"/>
      <w:r w:rsidRPr="0032048B">
        <w:rPr>
          <w:sz w:val="24"/>
          <w:szCs w:val="24"/>
          <w:lang w:val="sq-AL"/>
        </w:rPr>
        <w:t>opsional</w:t>
      </w:r>
      <w:proofErr w:type="spellEnd"/>
      <w:r w:rsidRPr="0032048B">
        <w:rPr>
          <w:sz w:val="24"/>
          <w:szCs w:val="24"/>
          <w:lang w:val="sq-AL"/>
        </w:rPr>
        <w:t xml:space="preserve"> për Konventën Ndërkombëtare për të Drejtat Ekonomike, Sociale dhe Kulturore. Që Shqipëria të përfitojë plotësisht nga statusi i saj i vëzhguesit në Agjencinë e Bashkimit Evropian për të Drejtat Themelore (FRA), duhet të zhvillojë një sistem t</w:t>
      </w:r>
      <w:r w:rsidR="005D3CCC" w:rsidRPr="0032048B">
        <w:rPr>
          <w:sz w:val="24"/>
          <w:szCs w:val="24"/>
          <w:lang w:val="sq-AL"/>
        </w:rPr>
        <w:t>ë</w:t>
      </w:r>
      <w:r w:rsidRPr="0032048B">
        <w:rPr>
          <w:sz w:val="24"/>
          <w:szCs w:val="24"/>
          <w:lang w:val="sq-AL"/>
        </w:rPr>
        <w:t xml:space="preserve"> plot</w:t>
      </w:r>
      <w:r w:rsidR="005D3CCC" w:rsidRPr="0032048B">
        <w:rPr>
          <w:sz w:val="24"/>
          <w:szCs w:val="24"/>
          <w:lang w:val="sq-AL"/>
        </w:rPr>
        <w:t>ë</w:t>
      </w:r>
      <w:r w:rsidRPr="0032048B">
        <w:rPr>
          <w:sz w:val="24"/>
          <w:szCs w:val="24"/>
          <w:lang w:val="sq-AL"/>
        </w:rPr>
        <w:t xml:space="preserve"> p</w:t>
      </w:r>
      <w:r w:rsidR="005D3CCC" w:rsidRPr="0032048B">
        <w:rPr>
          <w:sz w:val="24"/>
          <w:szCs w:val="24"/>
          <w:lang w:val="sq-AL"/>
        </w:rPr>
        <w:t>ë</w:t>
      </w:r>
      <w:r w:rsidRPr="0032048B">
        <w:rPr>
          <w:sz w:val="24"/>
          <w:szCs w:val="24"/>
          <w:lang w:val="sq-AL"/>
        </w:rPr>
        <w:t>r monitorimin dhe mbledhjen e të dhënave për të vlerësuar nivelin e zbatimit të legjislacionit, politikave dhe strategjive për të drejtave e njeriut.</w:t>
      </w:r>
    </w:p>
    <w:p w14:paraId="05F59F6D" w14:textId="74A7D3EF" w:rsidR="00380775" w:rsidRPr="0032048B" w:rsidRDefault="00380775" w:rsidP="00361D5A">
      <w:pPr>
        <w:tabs>
          <w:tab w:val="left" w:pos="1134"/>
        </w:tabs>
        <w:spacing w:before="119"/>
        <w:ind w:left="993" w:right="1067"/>
        <w:jc w:val="both"/>
        <w:rPr>
          <w:sz w:val="24"/>
          <w:szCs w:val="24"/>
          <w:lang w:val="sq-AL"/>
        </w:rPr>
      </w:pPr>
      <w:r w:rsidRPr="0032048B">
        <w:rPr>
          <w:sz w:val="24"/>
          <w:szCs w:val="24"/>
          <w:lang w:val="sq-AL"/>
        </w:rPr>
        <w:t xml:space="preserve">Shqipëria vazhdon të sigurojë bashkëpunim të mirë me </w:t>
      </w:r>
      <w:r w:rsidRPr="0032048B">
        <w:rPr>
          <w:b/>
          <w:sz w:val="24"/>
          <w:szCs w:val="24"/>
          <w:lang w:val="sq-AL"/>
        </w:rPr>
        <w:t xml:space="preserve">Gjykatën Evropiane të </w:t>
      </w:r>
      <w:proofErr w:type="spellStart"/>
      <w:r w:rsidRPr="0032048B">
        <w:rPr>
          <w:b/>
          <w:sz w:val="24"/>
          <w:szCs w:val="24"/>
          <w:lang w:val="sq-AL"/>
        </w:rPr>
        <w:t>të</w:t>
      </w:r>
      <w:proofErr w:type="spellEnd"/>
      <w:r w:rsidRPr="0032048B">
        <w:rPr>
          <w:b/>
          <w:sz w:val="24"/>
          <w:szCs w:val="24"/>
          <w:lang w:val="sq-AL"/>
        </w:rPr>
        <w:t xml:space="preserve"> Drejtave </w:t>
      </w:r>
      <w:r w:rsidRPr="0032048B">
        <w:rPr>
          <w:b/>
          <w:sz w:val="24"/>
          <w:szCs w:val="24"/>
          <w:lang w:val="sq-AL"/>
        </w:rPr>
        <w:lastRenderedPageBreak/>
        <w:t>të Njeriut (GJEDNJ).</w:t>
      </w:r>
      <w:r w:rsidRPr="0032048B">
        <w:rPr>
          <w:sz w:val="24"/>
          <w:szCs w:val="24"/>
          <w:lang w:val="sq-AL"/>
        </w:rPr>
        <w:t xml:space="preserve"> Në qershor 2023, 389 raste ishin në pritje kundër Shqipërisë para GJEDNJ-së. GJEDNJ-ja dha gjykime p</w:t>
      </w:r>
      <w:r w:rsidR="005D3CCC" w:rsidRPr="0032048B">
        <w:rPr>
          <w:sz w:val="24"/>
          <w:szCs w:val="24"/>
          <w:lang w:val="sq-AL"/>
        </w:rPr>
        <w:t>ë</w:t>
      </w:r>
      <w:r w:rsidRPr="0032048B">
        <w:rPr>
          <w:sz w:val="24"/>
          <w:szCs w:val="24"/>
          <w:lang w:val="sq-AL"/>
        </w:rPr>
        <w:t>r dhjetë raste dhe gjeti shkelje të Konventës Evropiane për të Drejtat e Njeriut në nëntë nga dhjetë rastet (krahasuar me tre në 2022) në lidhje me të drejtën p</w:t>
      </w:r>
      <w:r w:rsidR="005D3CCC" w:rsidRPr="0032048B">
        <w:rPr>
          <w:sz w:val="24"/>
          <w:szCs w:val="24"/>
          <w:lang w:val="sq-AL"/>
        </w:rPr>
        <w:t>ë</w:t>
      </w:r>
      <w:r w:rsidRPr="0032048B">
        <w:rPr>
          <w:sz w:val="24"/>
          <w:szCs w:val="24"/>
          <w:lang w:val="sq-AL"/>
        </w:rPr>
        <w:t>r respektimin e jetës private dhe familjare, të drejtën për një gjykim të drejtë, dhe t</w:t>
      </w:r>
      <w:r w:rsidR="005D3CCC" w:rsidRPr="0032048B">
        <w:rPr>
          <w:sz w:val="24"/>
          <w:szCs w:val="24"/>
          <w:lang w:val="sq-AL"/>
        </w:rPr>
        <w:t>ë</w:t>
      </w:r>
      <w:r w:rsidRPr="0032048B">
        <w:rPr>
          <w:sz w:val="24"/>
          <w:szCs w:val="24"/>
          <w:lang w:val="sq-AL"/>
        </w:rPr>
        <w:t xml:space="preserve"> drejt</w:t>
      </w:r>
      <w:r w:rsidR="005D3CCC" w:rsidRPr="0032048B">
        <w:rPr>
          <w:sz w:val="24"/>
          <w:szCs w:val="24"/>
          <w:lang w:val="sq-AL"/>
        </w:rPr>
        <w:t>ë</w:t>
      </w:r>
      <w:r w:rsidRPr="0032048B">
        <w:rPr>
          <w:sz w:val="24"/>
          <w:szCs w:val="24"/>
          <w:lang w:val="sq-AL"/>
        </w:rPr>
        <w:t>n p</w:t>
      </w:r>
      <w:r w:rsidR="005D3CCC" w:rsidRPr="0032048B">
        <w:rPr>
          <w:sz w:val="24"/>
          <w:szCs w:val="24"/>
          <w:lang w:val="sq-AL"/>
        </w:rPr>
        <w:t>ë</w:t>
      </w:r>
      <w:r w:rsidRPr="0032048B">
        <w:rPr>
          <w:sz w:val="24"/>
          <w:szCs w:val="24"/>
          <w:lang w:val="sq-AL"/>
        </w:rPr>
        <w:t>r t</w:t>
      </w:r>
      <w:r w:rsidR="005D3CCC" w:rsidRPr="0032048B">
        <w:rPr>
          <w:sz w:val="24"/>
          <w:szCs w:val="24"/>
          <w:lang w:val="sq-AL"/>
        </w:rPr>
        <w:t>ë</w:t>
      </w:r>
      <w:r w:rsidRPr="0032048B">
        <w:rPr>
          <w:sz w:val="24"/>
          <w:szCs w:val="24"/>
          <w:lang w:val="sq-AL"/>
        </w:rPr>
        <w:t xml:space="preserve"> qen</w:t>
      </w:r>
      <w:r w:rsidR="005D3CCC" w:rsidRPr="0032048B">
        <w:rPr>
          <w:sz w:val="24"/>
          <w:szCs w:val="24"/>
          <w:lang w:val="sq-AL"/>
        </w:rPr>
        <w:t>ë</w:t>
      </w:r>
      <w:r w:rsidRPr="0032048B">
        <w:rPr>
          <w:sz w:val="24"/>
          <w:szCs w:val="24"/>
          <w:lang w:val="sq-AL"/>
        </w:rPr>
        <w:t xml:space="preserve"> i lirë dhe sigurt. Në periudhën e raportimit, ishin 101 k</w:t>
      </w:r>
      <w:r w:rsidR="005D3CCC" w:rsidRPr="0032048B">
        <w:rPr>
          <w:sz w:val="24"/>
          <w:szCs w:val="24"/>
          <w:lang w:val="sq-AL"/>
        </w:rPr>
        <w:t>ë</w:t>
      </w:r>
      <w:r w:rsidRPr="0032048B">
        <w:rPr>
          <w:sz w:val="24"/>
          <w:szCs w:val="24"/>
          <w:lang w:val="sq-AL"/>
        </w:rPr>
        <w:t>rkesa të reja drejtuar organe vendim-marr</w:t>
      </w:r>
      <w:r w:rsidR="005D3CCC" w:rsidRPr="0032048B">
        <w:rPr>
          <w:sz w:val="24"/>
          <w:szCs w:val="24"/>
          <w:lang w:val="sq-AL"/>
        </w:rPr>
        <w:t>ë</w:t>
      </w:r>
      <w:r w:rsidRPr="0032048B">
        <w:rPr>
          <w:sz w:val="24"/>
          <w:szCs w:val="24"/>
          <w:lang w:val="sq-AL"/>
        </w:rPr>
        <w:t>se. Aktualisht, ka shtatë raste nën mbikëqyrje të shtuar nga Komiteti i Ministrave.</w:t>
      </w:r>
    </w:p>
    <w:p w14:paraId="3AF1DD3C" w14:textId="0C9557D5" w:rsidR="00380775" w:rsidRPr="0032048B" w:rsidRDefault="00380775" w:rsidP="00361D5A">
      <w:pPr>
        <w:tabs>
          <w:tab w:val="left" w:pos="1134"/>
        </w:tabs>
        <w:spacing w:before="119"/>
        <w:ind w:left="993" w:right="1067"/>
        <w:jc w:val="both"/>
        <w:rPr>
          <w:sz w:val="24"/>
          <w:szCs w:val="24"/>
          <w:lang w:val="sq-AL"/>
        </w:rPr>
      </w:pPr>
      <w:r w:rsidRPr="0032048B">
        <w:rPr>
          <w:sz w:val="24"/>
          <w:szCs w:val="24"/>
          <w:lang w:val="sq-AL"/>
        </w:rPr>
        <w:t xml:space="preserve">Lidhur me </w:t>
      </w:r>
      <w:r w:rsidRPr="0032048B">
        <w:rPr>
          <w:b/>
          <w:sz w:val="24"/>
          <w:szCs w:val="24"/>
          <w:lang w:val="sq-AL"/>
        </w:rPr>
        <w:t>promovimin dhe zbatimin e të drejtave të njeriut</w:t>
      </w:r>
      <w:r w:rsidRPr="0032048B">
        <w:rPr>
          <w:sz w:val="24"/>
          <w:szCs w:val="24"/>
          <w:lang w:val="sq-AL"/>
        </w:rPr>
        <w:t>, Avokati i Popullit vazhdoi të ushtrojë mandatin e tij në mënyrë të kënaqshme. Me gjith</w:t>
      </w:r>
      <w:r w:rsidR="005D3CCC" w:rsidRPr="0032048B">
        <w:rPr>
          <w:sz w:val="24"/>
          <w:szCs w:val="24"/>
          <w:lang w:val="sq-AL"/>
        </w:rPr>
        <w:t>ë</w:t>
      </w:r>
      <w:r w:rsidRPr="0032048B">
        <w:rPr>
          <w:sz w:val="24"/>
          <w:szCs w:val="24"/>
          <w:lang w:val="sq-AL"/>
        </w:rPr>
        <w:t xml:space="preserve"> rritjen prej 10% të buxhetit të institucionit nga 2021 deri në 2022, kapacitetet njerëzore dhe administrative t</w:t>
      </w:r>
      <w:r w:rsidR="005D3CCC" w:rsidRPr="0032048B">
        <w:rPr>
          <w:sz w:val="24"/>
          <w:szCs w:val="24"/>
          <w:lang w:val="sq-AL"/>
        </w:rPr>
        <w:t>ë</w:t>
      </w:r>
      <w:r w:rsidRPr="0032048B">
        <w:rPr>
          <w:sz w:val="24"/>
          <w:szCs w:val="24"/>
          <w:lang w:val="sq-AL"/>
        </w:rPr>
        <w:t xml:space="preserve"> tij kan</w:t>
      </w:r>
      <w:r w:rsidR="005D3CCC" w:rsidRPr="0032048B">
        <w:rPr>
          <w:sz w:val="24"/>
          <w:szCs w:val="24"/>
          <w:lang w:val="sq-AL"/>
        </w:rPr>
        <w:t>ë</w:t>
      </w:r>
      <w:r w:rsidRPr="0032048B">
        <w:rPr>
          <w:sz w:val="24"/>
          <w:szCs w:val="24"/>
          <w:lang w:val="sq-AL"/>
        </w:rPr>
        <w:t xml:space="preserve"> nevoj</w:t>
      </w:r>
      <w:r w:rsidR="005D3CCC" w:rsidRPr="0032048B">
        <w:rPr>
          <w:sz w:val="24"/>
          <w:szCs w:val="24"/>
          <w:lang w:val="sq-AL"/>
        </w:rPr>
        <w:t>ë</w:t>
      </w:r>
      <w:r w:rsidRPr="0032048B">
        <w:rPr>
          <w:sz w:val="24"/>
          <w:szCs w:val="24"/>
          <w:lang w:val="sq-AL"/>
        </w:rPr>
        <w:t xml:space="preserve"> t</w:t>
      </w:r>
      <w:r w:rsidR="005D3CCC" w:rsidRPr="0032048B">
        <w:rPr>
          <w:sz w:val="24"/>
          <w:szCs w:val="24"/>
          <w:lang w:val="sq-AL"/>
        </w:rPr>
        <w:t>ë</w:t>
      </w:r>
      <w:r w:rsidRPr="0032048B">
        <w:rPr>
          <w:sz w:val="24"/>
          <w:szCs w:val="24"/>
          <w:lang w:val="sq-AL"/>
        </w:rPr>
        <w:t xml:space="preserve"> forcohen më tej. Nga 249 rekomandimet e b</w:t>
      </w:r>
      <w:r w:rsidR="005D3CCC" w:rsidRPr="0032048B">
        <w:rPr>
          <w:sz w:val="24"/>
          <w:szCs w:val="24"/>
          <w:lang w:val="sq-AL"/>
        </w:rPr>
        <w:t>ë</w:t>
      </w:r>
      <w:r w:rsidRPr="0032048B">
        <w:rPr>
          <w:sz w:val="24"/>
          <w:szCs w:val="24"/>
          <w:lang w:val="sq-AL"/>
        </w:rPr>
        <w:t>ra në vitin 2022, vetëm 17% janë zbatuar plotësisht dhe 36% janë zbatuar pjesërisht, ndërsa 41% mbeten të pazbatuara, jan</w:t>
      </w:r>
      <w:r w:rsidR="005D3CCC" w:rsidRPr="0032048B">
        <w:rPr>
          <w:sz w:val="24"/>
          <w:szCs w:val="24"/>
          <w:lang w:val="sq-AL"/>
        </w:rPr>
        <w:t>ë</w:t>
      </w:r>
      <w:r w:rsidRPr="0032048B">
        <w:rPr>
          <w:sz w:val="24"/>
          <w:szCs w:val="24"/>
          <w:lang w:val="sq-AL"/>
        </w:rPr>
        <w:t xml:space="preserve"> refuzuar ose l</w:t>
      </w:r>
      <w:r w:rsidR="005D3CCC" w:rsidRPr="0032048B">
        <w:rPr>
          <w:sz w:val="24"/>
          <w:szCs w:val="24"/>
          <w:lang w:val="sq-AL"/>
        </w:rPr>
        <w:t>ë</w:t>
      </w:r>
      <w:r w:rsidRPr="0032048B">
        <w:rPr>
          <w:sz w:val="24"/>
          <w:szCs w:val="24"/>
          <w:lang w:val="sq-AL"/>
        </w:rPr>
        <w:t>n</w:t>
      </w:r>
      <w:r w:rsidR="005D3CCC" w:rsidRPr="0032048B">
        <w:rPr>
          <w:sz w:val="24"/>
          <w:szCs w:val="24"/>
          <w:lang w:val="sq-AL"/>
        </w:rPr>
        <w:t>ë</w:t>
      </w:r>
      <w:r w:rsidRPr="0032048B">
        <w:rPr>
          <w:sz w:val="24"/>
          <w:szCs w:val="24"/>
          <w:lang w:val="sq-AL"/>
        </w:rPr>
        <w:t xml:space="preserve"> pa përgjigje. Zbatimi i rekomandimeve të Avokatit t</w:t>
      </w:r>
      <w:r w:rsidR="005D3CCC" w:rsidRPr="0032048B">
        <w:rPr>
          <w:sz w:val="24"/>
          <w:szCs w:val="24"/>
          <w:lang w:val="sq-AL"/>
        </w:rPr>
        <w:t>ë</w:t>
      </w:r>
      <w:r w:rsidRPr="0032048B">
        <w:rPr>
          <w:sz w:val="24"/>
          <w:szCs w:val="24"/>
          <w:lang w:val="sq-AL"/>
        </w:rPr>
        <w:t xml:space="preserve"> Popullit duhet të përmirësohet ndjeshëm për të </w:t>
      </w:r>
      <w:r w:rsidR="005D3CCC" w:rsidRPr="0032048B">
        <w:rPr>
          <w:sz w:val="24"/>
          <w:szCs w:val="24"/>
          <w:lang w:val="sq-AL"/>
        </w:rPr>
        <w:t>garantuar</w:t>
      </w:r>
      <w:r w:rsidRPr="0032048B">
        <w:rPr>
          <w:sz w:val="24"/>
          <w:szCs w:val="24"/>
          <w:lang w:val="sq-AL"/>
        </w:rPr>
        <w:t xml:space="preserve"> respektimin efektiv të </w:t>
      </w:r>
      <w:proofErr w:type="spellStart"/>
      <w:r w:rsidRPr="0032048B">
        <w:rPr>
          <w:sz w:val="24"/>
          <w:szCs w:val="24"/>
          <w:lang w:val="sq-AL"/>
        </w:rPr>
        <w:t>të</w:t>
      </w:r>
      <w:proofErr w:type="spellEnd"/>
      <w:r w:rsidRPr="0032048B">
        <w:rPr>
          <w:sz w:val="24"/>
          <w:szCs w:val="24"/>
          <w:lang w:val="sq-AL"/>
        </w:rPr>
        <w:t xml:space="preserve"> drejtave të njeriut. Zgjedhja nga parlamenti e Avokatit t</w:t>
      </w:r>
      <w:r w:rsidR="005D3CCC" w:rsidRPr="0032048B">
        <w:rPr>
          <w:sz w:val="24"/>
          <w:szCs w:val="24"/>
          <w:lang w:val="sq-AL"/>
        </w:rPr>
        <w:t>ë</w:t>
      </w:r>
      <w:r w:rsidRPr="0032048B">
        <w:rPr>
          <w:sz w:val="24"/>
          <w:szCs w:val="24"/>
          <w:lang w:val="sq-AL"/>
        </w:rPr>
        <w:t xml:space="preserve"> ri t</w:t>
      </w:r>
      <w:r w:rsidR="005D3CCC" w:rsidRPr="0032048B">
        <w:rPr>
          <w:sz w:val="24"/>
          <w:szCs w:val="24"/>
          <w:lang w:val="sq-AL"/>
        </w:rPr>
        <w:t>ë</w:t>
      </w:r>
      <w:r w:rsidRPr="0032048B">
        <w:rPr>
          <w:sz w:val="24"/>
          <w:szCs w:val="24"/>
          <w:lang w:val="sq-AL"/>
        </w:rPr>
        <w:t xml:space="preserve"> Popullit, pas përfundimit në qershor 2022 të mandatit pesëvjeçar të Avokates s</w:t>
      </w:r>
      <w:r w:rsidR="005D3CCC" w:rsidRPr="0032048B">
        <w:rPr>
          <w:sz w:val="24"/>
          <w:szCs w:val="24"/>
          <w:lang w:val="sq-AL"/>
        </w:rPr>
        <w:t>ë</w:t>
      </w:r>
      <w:r w:rsidRPr="0032048B">
        <w:rPr>
          <w:sz w:val="24"/>
          <w:szCs w:val="24"/>
          <w:lang w:val="sq-AL"/>
        </w:rPr>
        <w:t xml:space="preserve"> Popullit në detyrë, është vonuar ndjeshëm. Avokatja n</w:t>
      </w:r>
      <w:r w:rsidR="005D3CCC" w:rsidRPr="0032048B">
        <w:rPr>
          <w:sz w:val="24"/>
          <w:szCs w:val="24"/>
          <w:lang w:val="sq-AL"/>
        </w:rPr>
        <w:t>ë</w:t>
      </w:r>
      <w:r w:rsidRPr="0032048B">
        <w:rPr>
          <w:sz w:val="24"/>
          <w:szCs w:val="24"/>
          <w:lang w:val="sq-AL"/>
        </w:rPr>
        <w:t xml:space="preserve"> detyrë ka rol formal derisa të zgjidhet Avokati i ri i Popullit. Bllokimet dhe vonesat në procedurën e p</w:t>
      </w:r>
      <w:r w:rsidR="005D3CCC" w:rsidRPr="0032048B">
        <w:rPr>
          <w:sz w:val="24"/>
          <w:szCs w:val="24"/>
          <w:lang w:val="sq-AL"/>
        </w:rPr>
        <w:t>ë</w:t>
      </w:r>
      <w:r w:rsidRPr="0032048B">
        <w:rPr>
          <w:sz w:val="24"/>
          <w:szCs w:val="24"/>
          <w:lang w:val="sq-AL"/>
        </w:rPr>
        <w:t>rzgjedhjes parlamentare duhet të zgjidhen urgjentisht n</w:t>
      </w:r>
      <w:r w:rsidR="005D3CCC" w:rsidRPr="0032048B">
        <w:rPr>
          <w:sz w:val="24"/>
          <w:szCs w:val="24"/>
          <w:lang w:val="sq-AL"/>
        </w:rPr>
        <w:t>ë</w:t>
      </w:r>
      <w:r w:rsidRPr="0032048B">
        <w:rPr>
          <w:sz w:val="24"/>
          <w:szCs w:val="24"/>
          <w:lang w:val="sq-AL"/>
        </w:rPr>
        <w:t xml:space="preserve"> m</w:t>
      </w:r>
      <w:r w:rsidR="005D3CCC" w:rsidRPr="0032048B">
        <w:rPr>
          <w:sz w:val="24"/>
          <w:szCs w:val="24"/>
          <w:lang w:val="sq-AL"/>
        </w:rPr>
        <w:t>ë</w:t>
      </w:r>
      <w:r w:rsidRPr="0032048B">
        <w:rPr>
          <w:sz w:val="24"/>
          <w:szCs w:val="24"/>
          <w:lang w:val="sq-AL"/>
        </w:rPr>
        <w:t>nyr</w:t>
      </w:r>
      <w:r w:rsidR="005D3CCC" w:rsidRPr="0032048B">
        <w:rPr>
          <w:sz w:val="24"/>
          <w:szCs w:val="24"/>
          <w:lang w:val="sq-AL"/>
        </w:rPr>
        <w:t>ë</w:t>
      </w:r>
      <w:r w:rsidRPr="0032048B">
        <w:rPr>
          <w:sz w:val="24"/>
          <w:szCs w:val="24"/>
          <w:lang w:val="sq-AL"/>
        </w:rPr>
        <w:t xml:space="preserve"> që procedurat p</w:t>
      </w:r>
      <w:r w:rsidR="005D3CCC" w:rsidRPr="0032048B">
        <w:rPr>
          <w:sz w:val="24"/>
          <w:szCs w:val="24"/>
          <w:lang w:val="sq-AL"/>
        </w:rPr>
        <w:t>ë</w:t>
      </w:r>
      <w:r w:rsidRPr="0032048B">
        <w:rPr>
          <w:sz w:val="24"/>
          <w:szCs w:val="24"/>
          <w:lang w:val="sq-AL"/>
        </w:rPr>
        <w:t>rzgjedh</w:t>
      </w:r>
      <w:r w:rsidR="005D3CCC" w:rsidRPr="0032048B">
        <w:rPr>
          <w:sz w:val="24"/>
          <w:szCs w:val="24"/>
          <w:lang w:val="sq-AL"/>
        </w:rPr>
        <w:t>ë</w:t>
      </w:r>
      <w:r w:rsidRPr="0032048B">
        <w:rPr>
          <w:sz w:val="24"/>
          <w:szCs w:val="24"/>
          <w:lang w:val="sq-AL"/>
        </w:rPr>
        <w:t>se t</w:t>
      </w:r>
      <w:r w:rsidR="005D3CCC" w:rsidRPr="0032048B">
        <w:rPr>
          <w:sz w:val="24"/>
          <w:szCs w:val="24"/>
          <w:lang w:val="sq-AL"/>
        </w:rPr>
        <w:t>ë</w:t>
      </w:r>
      <w:r w:rsidRPr="0032048B">
        <w:rPr>
          <w:sz w:val="24"/>
          <w:szCs w:val="24"/>
          <w:lang w:val="sq-AL"/>
        </w:rPr>
        <w:t xml:space="preserve"> garantojnë plotësisht legjitimitetin e institucionit. Avokati i Popullit duhet ta p</w:t>
      </w:r>
      <w:r w:rsidR="005D3CCC" w:rsidRPr="0032048B">
        <w:rPr>
          <w:sz w:val="24"/>
          <w:szCs w:val="24"/>
          <w:lang w:val="sq-AL"/>
        </w:rPr>
        <w:t>ë</w:t>
      </w:r>
      <w:r w:rsidRPr="0032048B">
        <w:rPr>
          <w:sz w:val="24"/>
          <w:szCs w:val="24"/>
          <w:lang w:val="sq-AL"/>
        </w:rPr>
        <w:t>rfundoj</w:t>
      </w:r>
      <w:r w:rsidR="005D3CCC" w:rsidRPr="0032048B">
        <w:rPr>
          <w:sz w:val="24"/>
          <w:szCs w:val="24"/>
          <w:lang w:val="sq-AL"/>
        </w:rPr>
        <w:t>ë</w:t>
      </w:r>
      <w:r w:rsidRPr="0032048B">
        <w:rPr>
          <w:sz w:val="24"/>
          <w:szCs w:val="24"/>
          <w:lang w:val="sq-AL"/>
        </w:rPr>
        <w:t xml:space="preserve"> dhe ta publikojë raportin vjetor përpara se ta paraqesë në Parlament dhe t’i jepet fund praktikës së paraqitjes së raportit vjetor në Parlament para se të publikohet.</w:t>
      </w:r>
    </w:p>
    <w:p w14:paraId="6BC108F5" w14:textId="0E685F9E" w:rsidR="00380775" w:rsidRPr="0032048B" w:rsidRDefault="00380775" w:rsidP="00361D5A">
      <w:pPr>
        <w:tabs>
          <w:tab w:val="left" w:pos="1134"/>
        </w:tabs>
        <w:spacing w:before="119"/>
        <w:ind w:left="993" w:right="1067"/>
        <w:jc w:val="both"/>
        <w:rPr>
          <w:sz w:val="24"/>
          <w:szCs w:val="24"/>
          <w:lang w:val="sq-AL"/>
        </w:rPr>
      </w:pPr>
      <w:proofErr w:type="spellStart"/>
      <w:r w:rsidRPr="0032048B">
        <w:rPr>
          <w:sz w:val="24"/>
          <w:szCs w:val="24"/>
          <w:lang w:val="sq-AL"/>
        </w:rPr>
        <w:t>Komisioneri</w:t>
      </w:r>
      <w:proofErr w:type="spellEnd"/>
      <w:r w:rsidRPr="0032048B">
        <w:rPr>
          <w:sz w:val="24"/>
          <w:szCs w:val="24"/>
          <w:lang w:val="sq-AL"/>
        </w:rPr>
        <w:t xml:space="preserve"> për Mbrojtjen nga Diskriminimi (KMD) vazhdoi të kryejë mandatin e vet me 73 rekomandime të lëshuara në vitin 2022, nga 49 në 2021. Vetëm 23.2% e numrit të përgjithshëm të rekomandimeve u zbatuan plotësisht, ndërsa 53.5% e rekomandimeve kishin t</w:t>
      </w:r>
      <w:r w:rsidR="005D3CCC" w:rsidRPr="0032048B">
        <w:rPr>
          <w:sz w:val="24"/>
          <w:szCs w:val="24"/>
          <w:lang w:val="sq-AL"/>
        </w:rPr>
        <w:t>ë</w:t>
      </w:r>
      <w:r w:rsidRPr="0032048B">
        <w:rPr>
          <w:sz w:val="24"/>
          <w:szCs w:val="24"/>
          <w:lang w:val="sq-AL"/>
        </w:rPr>
        <w:t xml:space="preserve"> b</w:t>
      </w:r>
      <w:r w:rsidR="005D3CCC" w:rsidRPr="0032048B">
        <w:rPr>
          <w:sz w:val="24"/>
          <w:szCs w:val="24"/>
          <w:lang w:val="sq-AL"/>
        </w:rPr>
        <w:t>ë</w:t>
      </w:r>
      <w:r w:rsidRPr="0032048B">
        <w:rPr>
          <w:sz w:val="24"/>
          <w:szCs w:val="24"/>
          <w:lang w:val="sq-AL"/>
        </w:rPr>
        <w:t xml:space="preserve">nin me raste objekt i shqyrtimit gjyqësor. Për të fuqizuar </w:t>
      </w:r>
      <w:proofErr w:type="spellStart"/>
      <w:r w:rsidRPr="0032048B">
        <w:rPr>
          <w:sz w:val="24"/>
          <w:szCs w:val="24"/>
          <w:lang w:val="sq-AL"/>
        </w:rPr>
        <w:t>Komisionerin</w:t>
      </w:r>
      <w:proofErr w:type="spellEnd"/>
      <w:r w:rsidRPr="0032048B">
        <w:rPr>
          <w:sz w:val="24"/>
          <w:szCs w:val="24"/>
          <w:lang w:val="sq-AL"/>
        </w:rPr>
        <w:t xml:space="preserve"> të lëshojë urdhra ekzekutiv në vend të rekomandimeve nevojiten t</w:t>
      </w:r>
      <w:r w:rsidR="005D3CCC" w:rsidRPr="0032048B">
        <w:rPr>
          <w:sz w:val="24"/>
          <w:szCs w:val="24"/>
          <w:lang w:val="sq-AL"/>
        </w:rPr>
        <w:t>ë</w:t>
      </w:r>
      <w:r w:rsidRPr="0032048B">
        <w:rPr>
          <w:sz w:val="24"/>
          <w:szCs w:val="24"/>
          <w:lang w:val="sq-AL"/>
        </w:rPr>
        <w:t xml:space="preserve"> b</w:t>
      </w:r>
      <w:r w:rsidR="005D3CCC" w:rsidRPr="0032048B">
        <w:rPr>
          <w:sz w:val="24"/>
          <w:szCs w:val="24"/>
          <w:lang w:val="sq-AL"/>
        </w:rPr>
        <w:t>ë</w:t>
      </w:r>
      <w:r w:rsidRPr="0032048B">
        <w:rPr>
          <w:sz w:val="24"/>
          <w:szCs w:val="24"/>
          <w:lang w:val="sq-AL"/>
        </w:rPr>
        <w:t>hen ndryshime n</w:t>
      </w:r>
      <w:r w:rsidR="005D3CCC" w:rsidRPr="0032048B">
        <w:rPr>
          <w:sz w:val="24"/>
          <w:szCs w:val="24"/>
          <w:lang w:val="sq-AL"/>
        </w:rPr>
        <w:t>ë</w:t>
      </w:r>
      <w:r w:rsidRPr="0032048B">
        <w:rPr>
          <w:sz w:val="24"/>
          <w:szCs w:val="24"/>
          <w:lang w:val="sq-AL"/>
        </w:rPr>
        <w:t xml:space="preserve"> ligj. Në vitin 2022, 297 raste u trajtuan nga KMD-ja (213 ankesa të reja n</w:t>
      </w:r>
      <w:r w:rsidR="005D3CCC" w:rsidRPr="0032048B">
        <w:rPr>
          <w:sz w:val="24"/>
          <w:szCs w:val="24"/>
          <w:lang w:val="sq-AL"/>
        </w:rPr>
        <w:t>ë</w:t>
      </w:r>
      <w:r w:rsidRPr="0032048B">
        <w:rPr>
          <w:sz w:val="24"/>
          <w:szCs w:val="24"/>
          <w:lang w:val="sq-AL"/>
        </w:rPr>
        <w:t xml:space="preserve"> 2022 dhe 84 të mbartura nga viti 2021) nga të cilat 143 ishin në fushën e punësimit, 140 në fushën e mallrave dhe shërbimeve dhe 14 në fushën e arsimit.</w:t>
      </w:r>
    </w:p>
    <w:p w14:paraId="678187C0" w14:textId="0F1AAEA9"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P</w:t>
      </w:r>
      <w:r w:rsidR="005D3CCC" w:rsidRPr="0032048B">
        <w:rPr>
          <w:sz w:val="24"/>
          <w:szCs w:val="24"/>
          <w:lang w:val="sq-AL"/>
        </w:rPr>
        <w:t>ë</w:t>
      </w:r>
      <w:r w:rsidRPr="0032048B">
        <w:rPr>
          <w:sz w:val="24"/>
          <w:szCs w:val="24"/>
          <w:lang w:val="sq-AL"/>
        </w:rPr>
        <w:t xml:space="preserve">r sa i takon </w:t>
      </w:r>
      <w:r w:rsidRPr="0032048B">
        <w:rPr>
          <w:b/>
          <w:sz w:val="24"/>
          <w:szCs w:val="24"/>
          <w:lang w:val="sq-AL"/>
        </w:rPr>
        <w:t>të drejtës p</w:t>
      </w:r>
      <w:r w:rsidR="005D3CCC" w:rsidRPr="0032048B">
        <w:rPr>
          <w:b/>
          <w:sz w:val="24"/>
          <w:szCs w:val="24"/>
          <w:lang w:val="sq-AL"/>
        </w:rPr>
        <w:t>ë</w:t>
      </w:r>
      <w:r w:rsidRPr="0032048B">
        <w:rPr>
          <w:b/>
          <w:sz w:val="24"/>
          <w:szCs w:val="24"/>
          <w:lang w:val="sq-AL"/>
        </w:rPr>
        <w:t>r jetën</w:t>
      </w:r>
      <w:r w:rsidRPr="0032048B">
        <w:rPr>
          <w:sz w:val="24"/>
          <w:szCs w:val="24"/>
          <w:lang w:val="sq-AL"/>
        </w:rPr>
        <w:t xml:space="preserve">, u bë progres i kufizuar në hetimin e çështjeve dhe forcimin e kuadrit institucional dhe ligjor për personat e zhdukur që nga koha e komunizmit. Duhen </w:t>
      </w:r>
      <w:proofErr w:type="spellStart"/>
      <w:r w:rsidRPr="0032048B">
        <w:rPr>
          <w:sz w:val="24"/>
          <w:szCs w:val="24"/>
          <w:lang w:val="sq-AL"/>
        </w:rPr>
        <w:t>alokuar</w:t>
      </w:r>
      <w:proofErr w:type="spellEnd"/>
      <w:r w:rsidRPr="0032048B">
        <w:rPr>
          <w:sz w:val="24"/>
          <w:szCs w:val="24"/>
          <w:lang w:val="sq-AL"/>
        </w:rPr>
        <w:t xml:space="preserve"> burime t</w:t>
      </w:r>
      <w:r w:rsidR="005D3CCC" w:rsidRPr="0032048B">
        <w:rPr>
          <w:sz w:val="24"/>
          <w:szCs w:val="24"/>
          <w:lang w:val="sq-AL"/>
        </w:rPr>
        <w:t>ë</w:t>
      </w:r>
      <w:r w:rsidRPr="0032048B">
        <w:rPr>
          <w:sz w:val="24"/>
          <w:szCs w:val="24"/>
          <w:lang w:val="sq-AL"/>
        </w:rPr>
        <w:t xml:space="preserve"> mjaftueshme për të përmirësuar kapacitetet për të bërë identifikime dhe për të </w:t>
      </w:r>
      <w:proofErr w:type="spellStart"/>
      <w:r w:rsidRPr="0032048B">
        <w:rPr>
          <w:sz w:val="24"/>
          <w:szCs w:val="24"/>
          <w:lang w:val="sq-AL"/>
        </w:rPr>
        <w:t>zyrtarizuar</w:t>
      </w:r>
      <w:proofErr w:type="spellEnd"/>
      <w:r w:rsidRPr="0032048B">
        <w:rPr>
          <w:sz w:val="24"/>
          <w:szCs w:val="24"/>
          <w:lang w:val="sq-AL"/>
        </w:rPr>
        <w:t xml:space="preserve"> marrëveshjet për koordinim institucional në k</w:t>
      </w:r>
      <w:r w:rsidR="005D3CCC" w:rsidRPr="0032048B">
        <w:rPr>
          <w:sz w:val="24"/>
          <w:szCs w:val="24"/>
          <w:lang w:val="sq-AL"/>
        </w:rPr>
        <w:t>ë</w:t>
      </w:r>
      <w:r w:rsidRPr="0032048B">
        <w:rPr>
          <w:sz w:val="24"/>
          <w:szCs w:val="24"/>
          <w:lang w:val="sq-AL"/>
        </w:rPr>
        <w:t>t</w:t>
      </w:r>
      <w:r w:rsidR="005D3CCC" w:rsidRPr="0032048B">
        <w:rPr>
          <w:sz w:val="24"/>
          <w:szCs w:val="24"/>
          <w:lang w:val="sq-AL"/>
        </w:rPr>
        <w:t>ë</w:t>
      </w:r>
      <w:r w:rsidRPr="0032048B">
        <w:rPr>
          <w:sz w:val="24"/>
          <w:szCs w:val="24"/>
          <w:lang w:val="sq-AL"/>
        </w:rPr>
        <w:t xml:space="preserve"> fush</w:t>
      </w:r>
      <w:r w:rsidR="005D3CCC" w:rsidRPr="0032048B">
        <w:rPr>
          <w:sz w:val="24"/>
          <w:szCs w:val="24"/>
          <w:lang w:val="sq-AL"/>
        </w:rPr>
        <w:t>ë</w:t>
      </w:r>
      <w:r w:rsidRPr="0032048B">
        <w:rPr>
          <w:sz w:val="24"/>
          <w:szCs w:val="24"/>
          <w:lang w:val="sq-AL"/>
        </w:rPr>
        <w:t>. Duhet të krijohet një bazë unike, e plot</w:t>
      </w:r>
      <w:r w:rsidR="005D3CCC" w:rsidRPr="0032048B">
        <w:rPr>
          <w:sz w:val="24"/>
          <w:szCs w:val="24"/>
          <w:lang w:val="sq-AL"/>
        </w:rPr>
        <w:t>ë</w:t>
      </w:r>
      <w:r w:rsidRPr="0032048B">
        <w:rPr>
          <w:sz w:val="24"/>
          <w:szCs w:val="24"/>
          <w:lang w:val="sq-AL"/>
        </w:rPr>
        <w:t xml:space="preserve"> dhe n</w:t>
      </w:r>
      <w:r w:rsidR="005D3CCC" w:rsidRPr="0032048B">
        <w:rPr>
          <w:sz w:val="24"/>
          <w:szCs w:val="24"/>
          <w:lang w:val="sq-AL"/>
        </w:rPr>
        <w:t>ë</w:t>
      </w:r>
      <w:r w:rsidRPr="0032048B">
        <w:rPr>
          <w:sz w:val="24"/>
          <w:szCs w:val="24"/>
          <w:lang w:val="sq-AL"/>
        </w:rPr>
        <w:t xml:space="preserve"> dispozicion t</w:t>
      </w:r>
      <w:r w:rsidR="005D3CCC" w:rsidRPr="0032048B">
        <w:rPr>
          <w:sz w:val="24"/>
          <w:szCs w:val="24"/>
          <w:lang w:val="sq-AL"/>
        </w:rPr>
        <w:t>ë</w:t>
      </w:r>
      <w:r w:rsidRPr="0032048B">
        <w:rPr>
          <w:sz w:val="24"/>
          <w:szCs w:val="24"/>
          <w:lang w:val="sq-AL"/>
        </w:rPr>
        <w:t xml:space="preserve"> publikut</w:t>
      </w:r>
      <w:r w:rsidR="004D53EC">
        <w:rPr>
          <w:sz w:val="24"/>
          <w:szCs w:val="24"/>
          <w:lang w:val="sq-AL"/>
        </w:rPr>
        <w:t xml:space="preserve"> </w:t>
      </w:r>
      <w:r w:rsidRPr="0032048B">
        <w:rPr>
          <w:sz w:val="24"/>
          <w:szCs w:val="24"/>
          <w:lang w:val="sq-AL"/>
        </w:rPr>
        <w:t>për personat e zhdukur. Vullneti i vazhdueshëm politik është i rëndësishëm për të rritur numrin e çështjeve të zgjidhura dhe për të rritur ndërgjegjësimin e publikut për këtë çështje.</w:t>
      </w:r>
    </w:p>
    <w:p w14:paraId="6F41CE8D" w14:textId="58E1391E"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 xml:space="preserve">Lidhur me </w:t>
      </w:r>
      <w:r w:rsidRPr="0032048B">
        <w:rPr>
          <w:b/>
          <w:sz w:val="24"/>
          <w:szCs w:val="24"/>
          <w:lang w:val="sq-AL"/>
        </w:rPr>
        <w:t>parandalimin e torturave dhe keqtrajtimit</w:t>
      </w:r>
      <w:r w:rsidRPr="0032048B">
        <w:rPr>
          <w:sz w:val="24"/>
          <w:szCs w:val="24"/>
          <w:lang w:val="sq-AL"/>
        </w:rPr>
        <w:t>, stafi mjekësor dhe policor në spitalet e burgut ka nivel përgjithësisht të kënaqsh</w:t>
      </w:r>
      <w:r w:rsidR="005D3CCC" w:rsidRPr="0032048B">
        <w:rPr>
          <w:sz w:val="24"/>
          <w:szCs w:val="24"/>
          <w:lang w:val="sq-AL"/>
        </w:rPr>
        <w:t>ë</w:t>
      </w:r>
      <w:r w:rsidRPr="0032048B">
        <w:rPr>
          <w:sz w:val="24"/>
          <w:szCs w:val="24"/>
          <w:lang w:val="sq-AL"/>
        </w:rPr>
        <w:t>m. Sidoqoftë, kushtet e k</w:t>
      </w:r>
      <w:r w:rsidR="005D3CCC" w:rsidRPr="0032048B">
        <w:rPr>
          <w:sz w:val="24"/>
          <w:szCs w:val="24"/>
          <w:lang w:val="sq-AL"/>
        </w:rPr>
        <w:t>ë</w:t>
      </w:r>
      <w:r w:rsidRPr="0032048B">
        <w:rPr>
          <w:sz w:val="24"/>
          <w:szCs w:val="24"/>
          <w:lang w:val="sq-AL"/>
        </w:rPr>
        <w:t>qija materiale ende mbizotërojnë, bashk</w:t>
      </w:r>
      <w:r w:rsidR="005D3CCC" w:rsidRPr="0032048B">
        <w:rPr>
          <w:sz w:val="24"/>
          <w:szCs w:val="24"/>
          <w:lang w:val="sq-AL"/>
        </w:rPr>
        <w:t>ë</w:t>
      </w:r>
      <w:r w:rsidRPr="0032048B">
        <w:rPr>
          <w:sz w:val="24"/>
          <w:szCs w:val="24"/>
          <w:lang w:val="sq-AL"/>
        </w:rPr>
        <w:t xml:space="preserve"> me mangësit</w:t>
      </w:r>
      <w:r w:rsidR="005D3CCC" w:rsidRPr="0032048B">
        <w:rPr>
          <w:sz w:val="24"/>
          <w:szCs w:val="24"/>
          <w:lang w:val="sq-AL"/>
        </w:rPr>
        <w:t>ë</w:t>
      </w:r>
      <w:r w:rsidRPr="0032048B">
        <w:rPr>
          <w:sz w:val="24"/>
          <w:szCs w:val="24"/>
          <w:lang w:val="sq-AL"/>
        </w:rPr>
        <w:t xml:space="preserve"> strukturore, përfshirë mungesën e hapësirave të përbashkëta për aktivitete në grup dhe oborreve në natyrë. Ministri i Drejtësis</w:t>
      </w:r>
      <w:r w:rsidR="005D3CCC" w:rsidRPr="0032048B">
        <w:rPr>
          <w:sz w:val="24"/>
          <w:szCs w:val="24"/>
          <w:lang w:val="sq-AL"/>
        </w:rPr>
        <w:t>ë</w:t>
      </w:r>
      <w:r w:rsidRPr="0032048B">
        <w:rPr>
          <w:sz w:val="24"/>
          <w:szCs w:val="24"/>
          <w:lang w:val="sq-AL"/>
        </w:rPr>
        <w:t xml:space="preserve"> dhe Ministri i Shëndetësis</w:t>
      </w:r>
      <w:r w:rsidR="005D3CCC" w:rsidRPr="0032048B">
        <w:rPr>
          <w:sz w:val="24"/>
          <w:szCs w:val="24"/>
          <w:lang w:val="sq-AL"/>
        </w:rPr>
        <w:t>ë</w:t>
      </w:r>
      <w:r w:rsidRPr="0032048B">
        <w:rPr>
          <w:sz w:val="24"/>
          <w:szCs w:val="24"/>
          <w:lang w:val="sq-AL"/>
        </w:rPr>
        <w:t xml:space="preserve"> dhe Mbrojtje Sociale </w:t>
      </w:r>
      <w:r w:rsidR="005D3CCC" w:rsidRPr="0032048B">
        <w:rPr>
          <w:sz w:val="24"/>
          <w:szCs w:val="24"/>
          <w:lang w:val="sq-AL"/>
        </w:rPr>
        <w:t>nënshkruan</w:t>
      </w:r>
      <w:r w:rsidRPr="0032048B">
        <w:rPr>
          <w:sz w:val="24"/>
          <w:szCs w:val="24"/>
          <w:lang w:val="sq-AL"/>
        </w:rPr>
        <w:t xml:space="preserve"> një memorandum mirëkuptimi dhe një plan të përbashkët veprimi për zbatimin e</w:t>
      </w:r>
      <w:r w:rsidR="004D53EC">
        <w:rPr>
          <w:sz w:val="24"/>
          <w:szCs w:val="24"/>
          <w:lang w:val="sq-AL"/>
        </w:rPr>
        <w:t xml:space="preserve"> </w:t>
      </w:r>
      <w:r w:rsidRPr="0032048B">
        <w:rPr>
          <w:sz w:val="24"/>
          <w:szCs w:val="24"/>
          <w:lang w:val="sq-AL"/>
        </w:rPr>
        <w:t>rekomandimeve 2021 të Komitetit Evropian për Parandalimin e Torturës dhe Trajtimit apo Nd</w:t>
      </w:r>
      <w:r w:rsidR="005D3CCC" w:rsidRPr="0032048B">
        <w:rPr>
          <w:sz w:val="24"/>
          <w:szCs w:val="24"/>
          <w:lang w:val="sq-AL"/>
        </w:rPr>
        <w:t>ë</w:t>
      </w:r>
      <w:r w:rsidRPr="0032048B">
        <w:rPr>
          <w:sz w:val="24"/>
          <w:szCs w:val="24"/>
          <w:lang w:val="sq-AL"/>
        </w:rPr>
        <w:t xml:space="preserve">shkimit </w:t>
      </w:r>
      <w:r w:rsidR="005D3CCC" w:rsidRPr="0032048B">
        <w:rPr>
          <w:sz w:val="24"/>
          <w:szCs w:val="24"/>
          <w:lang w:val="sq-AL"/>
        </w:rPr>
        <w:t>Çnjerëzor</w:t>
      </w:r>
      <w:r w:rsidRPr="0032048B">
        <w:rPr>
          <w:sz w:val="24"/>
          <w:szCs w:val="24"/>
          <w:lang w:val="sq-AL"/>
        </w:rPr>
        <w:t xml:space="preserve"> ose Degradues të KEDNJ-s</w:t>
      </w:r>
      <w:r w:rsidR="005D3CCC" w:rsidRPr="0032048B">
        <w:rPr>
          <w:sz w:val="24"/>
          <w:szCs w:val="24"/>
          <w:lang w:val="sq-AL"/>
        </w:rPr>
        <w:t>ë</w:t>
      </w:r>
      <w:r w:rsidRPr="0032048B">
        <w:rPr>
          <w:sz w:val="24"/>
          <w:szCs w:val="24"/>
          <w:lang w:val="sq-AL"/>
        </w:rPr>
        <w:t xml:space="preserve"> për pacientët e psikiatrisë ligjore dhe të burgosurit me çrregullime mendore. Pacientët me probleme mjekësore n</w:t>
      </w:r>
      <w:r w:rsidR="005D3CCC" w:rsidRPr="0032048B">
        <w:rPr>
          <w:sz w:val="24"/>
          <w:szCs w:val="24"/>
          <w:lang w:val="sq-AL"/>
        </w:rPr>
        <w:t>ë</w:t>
      </w:r>
      <w:r w:rsidRPr="0032048B">
        <w:rPr>
          <w:sz w:val="24"/>
          <w:szCs w:val="24"/>
          <w:lang w:val="sq-AL"/>
        </w:rPr>
        <w:t xml:space="preserve"> burgjet e Kruj</w:t>
      </w:r>
      <w:r w:rsidR="005D3CCC" w:rsidRPr="0032048B">
        <w:rPr>
          <w:sz w:val="24"/>
          <w:szCs w:val="24"/>
          <w:lang w:val="sq-AL"/>
        </w:rPr>
        <w:t>ë</w:t>
      </w:r>
      <w:r w:rsidRPr="0032048B">
        <w:rPr>
          <w:sz w:val="24"/>
          <w:szCs w:val="24"/>
          <w:lang w:val="sq-AL"/>
        </w:rPr>
        <w:t xml:space="preserve">s dhe </w:t>
      </w:r>
      <w:proofErr w:type="spellStart"/>
      <w:r w:rsidRPr="0032048B">
        <w:rPr>
          <w:sz w:val="24"/>
          <w:szCs w:val="24"/>
          <w:lang w:val="sq-AL"/>
        </w:rPr>
        <w:t>Zaharis</w:t>
      </w:r>
      <w:r w:rsidR="005D3CCC" w:rsidRPr="0032048B">
        <w:rPr>
          <w:sz w:val="24"/>
          <w:szCs w:val="24"/>
          <w:lang w:val="sq-AL"/>
        </w:rPr>
        <w:t>ë</w:t>
      </w:r>
      <w:proofErr w:type="spellEnd"/>
      <w:r w:rsidRPr="0032048B">
        <w:rPr>
          <w:sz w:val="24"/>
          <w:szCs w:val="24"/>
          <w:lang w:val="sq-AL"/>
        </w:rPr>
        <w:t xml:space="preserve"> u transferuan në burgun e Lezh</w:t>
      </w:r>
      <w:r w:rsidR="005D3CCC" w:rsidRPr="0032048B">
        <w:rPr>
          <w:sz w:val="24"/>
          <w:szCs w:val="24"/>
          <w:lang w:val="sq-AL"/>
        </w:rPr>
        <w:t>ë</w:t>
      </w:r>
      <w:r w:rsidRPr="0032048B">
        <w:rPr>
          <w:sz w:val="24"/>
          <w:szCs w:val="24"/>
          <w:lang w:val="sq-AL"/>
        </w:rPr>
        <w:t>s. Vazhdoi rikonstruksioni i burgut t</w:t>
      </w:r>
      <w:r w:rsidR="005D3CCC" w:rsidRPr="0032048B">
        <w:rPr>
          <w:sz w:val="24"/>
          <w:szCs w:val="24"/>
          <w:lang w:val="sq-AL"/>
        </w:rPr>
        <w:t>ë</w:t>
      </w:r>
      <w:r w:rsidRPr="0032048B">
        <w:rPr>
          <w:sz w:val="24"/>
          <w:szCs w:val="24"/>
          <w:lang w:val="sq-AL"/>
        </w:rPr>
        <w:t xml:space="preserve"> Lezh</w:t>
      </w:r>
      <w:r w:rsidR="005D3CCC" w:rsidRPr="0032048B">
        <w:rPr>
          <w:sz w:val="24"/>
          <w:szCs w:val="24"/>
          <w:lang w:val="sq-AL"/>
        </w:rPr>
        <w:t>ë</w:t>
      </w:r>
      <w:r w:rsidRPr="0032048B">
        <w:rPr>
          <w:sz w:val="24"/>
          <w:szCs w:val="24"/>
          <w:lang w:val="sq-AL"/>
        </w:rPr>
        <w:t>s, por vazhdon t</w:t>
      </w:r>
      <w:r w:rsidR="005D3CCC" w:rsidRPr="0032048B">
        <w:rPr>
          <w:sz w:val="24"/>
          <w:szCs w:val="24"/>
          <w:lang w:val="sq-AL"/>
        </w:rPr>
        <w:t>ë</w:t>
      </w:r>
      <w:r w:rsidRPr="0032048B">
        <w:rPr>
          <w:sz w:val="24"/>
          <w:szCs w:val="24"/>
          <w:lang w:val="sq-AL"/>
        </w:rPr>
        <w:t xml:space="preserve"> jet</w:t>
      </w:r>
      <w:r w:rsidR="005D3CCC" w:rsidRPr="0032048B">
        <w:rPr>
          <w:sz w:val="24"/>
          <w:szCs w:val="24"/>
          <w:lang w:val="sq-AL"/>
        </w:rPr>
        <w:t>ë</w:t>
      </w:r>
      <w:r w:rsidRPr="0032048B">
        <w:rPr>
          <w:sz w:val="24"/>
          <w:szCs w:val="24"/>
          <w:lang w:val="sq-AL"/>
        </w:rPr>
        <w:t xml:space="preserve"> i mbipopulluar, nd</w:t>
      </w:r>
      <w:r w:rsidR="005D3CCC" w:rsidRPr="0032048B">
        <w:rPr>
          <w:sz w:val="24"/>
          <w:szCs w:val="24"/>
          <w:lang w:val="sq-AL"/>
        </w:rPr>
        <w:t>ë</w:t>
      </w:r>
      <w:r w:rsidRPr="0032048B">
        <w:rPr>
          <w:sz w:val="24"/>
          <w:szCs w:val="24"/>
          <w:lang w:val="sq-AL"/>
        </w:rPr>
        <w:t>rsa kushtet në pjes</w:t>
      </w:r>
      <w:r w:rsidR="005D3CCC" w:rsidRPr="0032048B">
        <w:rPr>
          <w:sz w:val="24"/>
          <w:szCs w:val="24"/>
          <w:lang w:val="sq-AL"/>
        </w:rPr>
        <w:t>ë</w:t>
      </w:r>
      <w:r w:rsidRPr="0032048B">
        <w:rPr>
          <w:sz w:val="24"/>
          <w:szCs w:val="24"/>
          <w:lang w:val="sq-AL"/>
        </w:rPr>
        <w:t>n e psikiatris</w:t>
      </w:r>
      <w:r w:rsidR="005D3CCC" w:rsidRPr="0032048B">
        <w:rPr>
          <w:sz w:val="24"/>
          <w:szCs w:val="24"/>
          <w:lang w:val="sq-AL"/>
        </w:rPr>
        <w:t>ë</w:t>
      </w:r>
      <w:r w:rsidRPr="0032048B">
        <w:rPr>
          <w:sz w:val="24"/>
          <w:szCs w:val="24"/>
          <w:lang w:val="sq-AL"/>
        </w:rPr>
        <w:t xml:space="preserve"> ligjore ende nuk jan</w:t>
      </w:r>
      <w:r w:rsidR="005D3CCC" w:rsidRPr="0032048B">
        <w:rPr>
          <w:sz w:val="24"/>
          <w:szCs w:val="24"/>
          <w:lang w:val="sq-AL"/>
        </w:rPr>
        <w:t>ë</w:t>
      </w:r>
      <w:r w:rsidRPr="0032048B">
        <w:rPr>
          <w:sz w:val="24"/>
          <w:szCs w:val="24"/>
          <w:lang w:val="sq-AL"/>
        </w:rPr>
        <w:t xml:space="preserve"> n</w:t>
      </w:r>
      <w:r w:rsidR="005D3CCC" w:rsidRPr="0032048B">
        <w:rPr>
          <w:sz w:val="24"/>
          <w:szCs w:val="24"/>
          <w:lang w:val="sq-AL"/>
        </w:rPr>
        <w:t>ë</w:t>
      </w:r>
      <w:r w:rsidRPr="0032048B">
        <w:rPr>
          <w:sz w:val="24"/>
          <w:szCs w:val="24"/>
          <w:lang w:val="sq-AL"/>
        </w:rPr>
        <w:t xml:space="preserve"> standarde të kënaqshme. Po ashtu, duhen b</w:t>
      </w:r>
      <w:r w:rsidR="005D3CCC" w:rsidRPr="0032048B">
        <w:rPr>
          <w:sz w:val="24"/>
          <w:szCs w:val="24"/>
          <w:lang w:val="sq-AL"/>
        </w:rPr>
        <w:t>ë</w:t>
      </w:r>
      <w:r w:rsidRPr="0032048B">
        <w:rPr>
          <w:sz w:val="24"/>
          <w:szCs w:val="24"/>
          <w:lang w:val="sq-AL"/>
        </w:rPr>
        <w:t>r</w:t>
      </w:r>
      <w:r w:rsidR="005D3CCC" w:rsidRPr="0032048B">
        <w:rPr>
          <w:sz w:val="24"/>
          <w:szCs w:val="24"/>
          <w:lang w:val="sq-AL"/>
        </w:rPr>
        <w:t>ë</w:t>
      </w:r>
      <w:r w:rsidRPr="0032048B">
        <w:rPr>
          <w:sz w:val="24"/>
          <w:szCs w:val="24"/>
          <w:lang w:val="sq-AL"/>
        </w:rPr>
        <w:t xml:space="preserve"> përpjekje për të rritur numrin e punonj</w:t>
      </w:r>
      <w:r w:rsidR="005D3CCC" w:rsidRPr="0032048B">
        <w:rPr>
          <w:sz w:val="24"/>
          <w:szCs w:val="24"/>
          <w:lang w:val="sq-AL"/>
        </w:rPr>
        <w:t>ë</w:t>
      </w:r>
      <w:r w:rsidRPr="0032048B">
        <w:rPr>
          <w:sz w:val="24"/>
          <w:szCs w:val="24"/>
          <w:lang w:val="sq-AL"/>
        </w:rPr>
        <w:t xml:space="preserve">sve dhe për të përmirësuar kushtet dhe aftësitë e tyre të punës. Nuk është raportuar asnjë keqtrajtim </w:t>
      </w:r>
      <w:proofErr w:type="spellStart"/>
      <w:r w:rsidRPr="0032048B">
        <w:rPr>
          <w:sz w:val="24"/>
          <w:szCs w:val="24"/>
          <w:lang w:val="sq-AL"/>
        </w:rPr>
        <w:t>sistemik</w:t>
      </w:r>
      <w:proofErr w:type="spellEnd"/>
      <w:r w:rsidRPr="0032048B">
        <w:rPr>
          <w:sz w:val="24"/>
          <w:szCs w:val="24"/>
          <w:lang w:val="sq-AL"/>
        </w:rPr>
        <w:t xml:space="preserve"> në burgje apo nga policia, por Avokati </w:t>
      </w:r>
      <w:r w:rsidRPr="0032048B">
        <w:rPr>
          <w:sz w:val="24"/>
          <w:szCs w:val="24"/>
          <w:lang w:val="sq-AL"/>
        </w:rPr>
        <w:lastRenderedPageBreak/>
        <w:t>i Popullit nënvizon nevojën për përmirësimin e</w:t>
      </w:r>
      <w:r w:rsidR="004D53EC">
        <w:rPr>
          <w:sz w:val="24"/>
          <w:szCs w:val="24"/>
          <w:lang w:val="sq-AL"/>
        </w:rPr>
        <w:t xml:space="preserve"> </w:t>
      </w:r>
      <w:r w:rsidRPr="0032048B">
        <w:rPr>
          <w:sz w:val="24"/>
          <w:szCs w:val="24"/>
          <w:lang w:val="sq-AL"/>
        </w:rPr>
        <w:t>standardeve minimale për kushtet sanitare në burgje dhe ambientet e policisë.</w:t>
      </w:r>
    </w:p>
    <w:p w14:paraId="4A9DF673" w14:textId="76493CB7"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Mekanizmi Kombëtar Parandalues (MKP) kreu 73 inspektime periodike në vitin 2022, të cilat u pasuan nga 90 rekomandime (në përgjigje të inspektimeve dhe ankesave individuale). MKP-ja trajtoi 45 raste (31 ankesa dhe 14 raste kryesisht), nga të cilat 25 ankesa ishin të lidhura me burgjet dhe trajtimin e të burgosurve dhe ishin 6 kundër policisë së shtetit për përdorimin e supozuar të dhunës dhe shoq</w:t>
      </w:r>
      <w:r w:rsidR="005D3CCC" w:rsidRPr="0032048B">
        <w:rPr>
          <w:sz w:val="24"/>
          <w:szCs w:val="24"/>
          <w:lang w:val="sq-AL"/>
        </w:rPr>
        <w:t>ë</w:t>
      </w:r>
      <w:r w:rsidRPr="0032048B">
        <w:rPr>
          <w:sz w:val="24"/>
          <w:szCs w:val="24"/>
          <w:lang w:val="sq-AL"/>
        </w:rPr>
        <w:t>rimit t</w:t>
      </w:r>
      <w:r w:rsidR="005D3CCC" w:rsidRPr="0032048B">
        <w:rPr>
          <w:sz w:val="24"/>
          <w:szCs w:val="24"/>
          <w:lang w:val="sq-AL"/>
        </w:rPr>
        <w:t>ë</w:t>
      </w:r>
      <w:r w:rsidRPr="0032048B">
        <w:rPr>
          <w:sz w:val="24"/>
          <w:szCs w:val="24"/>
          <w:lang w:val="sq-AL"/>
        </w:rPr>
        <w:t xml:space="preserve"> padrejtë. 90 rekomandimet e MKP-s</w:t>
      </w:r>
      <w:r w:rsidR="005D3CCC" w:rsidRPr="0032048B">
        <w:rPr>
          <w:sz w:val="24"/>
          <w:szCs w:val="24"/>
          <w:lang w:val="sq-AL"/>
        </w:rPr>
        <w:t>ë</w:t>
      </w:r>
      <w:r w:rsidRPr="0032048B">
        <w:rPr>
          <w:sz w:val="24"/>
          <w:szCs w:val="24"/>
          <w:lang w:val="sq-AL"/>
        </w:rPr>
        <w:t xml:space="preserve"> u shoqëruan me 779 nën-rekomandime, nga të cilat vetëm 41% janë zbatuar, 9% jan</w:t>
      </w:r>
      <w:r w:rsidR="005D3CCC" w:rsidRPr="0032048B">
        <w:rPr>
          <w:sz w:val="24"/>
          <w:szCs w:val="24"/>
          <w:lang w:val="sq-AL"/>
        </w:rPr>
        <w:t>ë</w:t>
      </w:r>
      <w:r w:rsidRPr="0032048B">
        <w:rPr>
          <w:sz w:val="24"/>
          <w:szCs w:val="24"/>
          <w:lang w:val="sq-AL"/>
        </w:rPr>
        <w:t xml:space="preserve"> zbatuar pjesërisht, 45% nuk janë zbatuar dhe 5% janë ende pa përgjigje.</w:t>
      </w:r>
    </w:p>
    <w:p w14:paraId="2904841A" w14:textId="1B423CC0" w:rsidR="00380775" w:rsidRPr="0032048B" w:rsidRDefault="00380775" w:rsidP="00361D5A">
      <w:pPr>
        <w:tabs>
          <w:tab w:val="left" w:pos="1134"/>
        </w:tabs>
        <w:spacing w:before="120"/>
        <w:ind w:left="993" w:right="1067"/>
        <w:jc w:val="both"/>
        <w:rPr>
          <w:sz w:val="24"/>
          <w:szCs w:val="24"/>
          <w:lang w:val="sq-AL"/>
        </w:rPr>
      </w:pPr>
      <w:r w:rsidRPr="0032048B">
        <w:rPr>
          <w:b/>
          <w:sz w:val="24"/>
          <w:szCs w:val="24"/>
          <w:lang w:val="sq-AL"/>
        </w:rPr>
        <w:t>Sistemi i burgjeve</w:t>
      </w:r>
      <w:r w:rsidRPr="0032048B">
        <w:rPr>
          <w:sz w:val="24"/>
          <w:szCs w:val="24"/>
          <w:lang w:val="sq-AL"/>
        </w:rPr>
        <w:t xml:space="preserve"> dhe qendrat e ndalimit mbeten një çështje shqetësuese. Shqet</w:t>
      </w:r>
      <w:r w:rsidR="005D3CCC" w:rsidRPr="0032048B">
        <w:rPr>
          <w:sz w:val="24"/>
          <w:szCs w:val="24"/>
          <w:lang w:val="sq-AL"/>
        </w:rPr>
        <w:t>ë</w:t>
      </w:r>
      <w:r w:rsidRPr="0032048B">
        <w:rPr>
          <w:sz w:val="24"/>
          <w:szCs w:val="24"/>
          <w:lang w:val="sq-AL"/>
        </w:rPr>
        <w:t>simet nd</w:t>
      </w:r>
      <w:r w:rsidR="005D3CCC" w:rsidRPr="0032048B">
        <w:rPr>
          <w:sz w:val="24"/>
          <w:szCs w:val="24"/>
          <w:lang w:val="sq-AL"/>
        </w:rPr>
        <w:t>ë</w:t>
      </w:r>
      <w:r w:rsidRPr="0032048B">
        <w:rPr>
          <w:sz w:val="24"/>
          <w:szCs w:val="24"/>
          <w:lang w:val="sq-AL"/>
        </w:rPr>
        <w:t xml:space="preserve">r vite përfshijnë ndikimin politik, korrupsionin dhe menaxhimin e dobët, si dhe mungesën e stafit, infrastrukturën e keqe dhe mungesën e kujdesit shëndetësor dhe sigurisë. Mungesa e inspektimeve dhe programeve të punësimit, si dhe </w:t>
      </w:r>
      <w:proofErr w:type="spellStart"/>
      <w:r w:rsidRPr="0032048B">
        <w:rPr>
          <w:sz w:val="24"/>
          <w:szCs w:val="24"/>
          <w:lang w:val="sq-AL"/>
        </w:rPr>
        <w:t>riintegrimit</w:t>
      </w:r>
      <w:proofErr w:type="spellEnd"/>
      <w:r w:rsidRPr="0032048B">
        <w:rPr>
          <w:sz w:val="24"/>
          <w:szCs w:val="24"/>
          <w:lang w:val="sq-AL"/>
        </w:rPr>
        <w:t xml:space="preserve"> për të burgosurit janë çështje të tjera shqetësuese. Nevojiten përpjekje t</w:t>
      </w:r>
      <w:r w:rsidR="005D3CCC" w:rsidRPr="0032048B">
        <w:rPr>
          <w:sz w:val="24"/>
          <w:szCs w:val="24"/>
          <w:lang w:val="sq-AL"/>
        </w:rPr>
        <w:t>ë</w:t>
      </w:r>
      <w:r w:rsidRPr="0032048B">
        <w:rPr>
          <w:sz w:val="24"/>
          <w:szCs w:val="24"/>
          <w:lang w:val="sq-AL"/>
        </w:rPr>
        <w:t xml:space="preserve"> vazhdueshme për të rritur numrin e punonj</w:t>
      </w:r>
      <w:r w:rsidR="005D3CCC" w:rsidRPr="0032048B">
        <w:rPr>
          <w:sz w:val="24"/>
          <w:szCs w:val="24"/>
          <w:lang w:val="sq-AL"/>
        </w:rPr>
        <w:t>ë</w:t>
      </w:r>
      <w:r w:rsidRPr="0032048B">
        <w:rPr>
          <w:sz w:val="24"/>
          <w:szCs w:val="24"/>
          <w:lang w:val="sq-AL"/>
        </w:rPr>
        <w:t>sve n</w:t>
      </w:r>
      <w:r w:rsidR="005D3CCC" w:rsidRPr="0032048B">
        <w:rPr>
          <w:sz w:val="24"/>
          <w:szCs w:val="24"/>
          <w:lang w:val="sq-AL"/>
        </w:rPr>
        <w:t>ë</w:t>
      </w:r>
      <w:r w:rsidRPr="0032048B">
        <w:rPr>
          <w:sz w:val="24"/>
          <w:szCs w:val="24"/>
          <w:lang w:val="sq-AL"/>
        </w:rPr>
        <w:t xml:space="preserve"> burgje, përfshirë personelin mjekësor dhe të specializuar, si dhe për të përmirësuar aftësitë e tyre dhe kushtet e punës.</w:t>
      </w:r>
    </w:p>
    <w:p w14:paraId="2D4CA99F" w14:textId="6884C61C"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Në të gjithë vendin, numri i të burgosurve tani është nën kapacitetin e sistemit të burgjeve, me 89% të kapacitetit n</w:t>
      </w:r>
      <w:r w:rsidR="005D3CCC" w:rsidRPr="0032048B">
        <w:rPr>
          <w:sz w:val="24"/>
          <w:szCs w:val="24"/>
          <w:lang w:val="sq-AL"/>
        </w:rPr>
        <w:t>ë</w:t>
      </w:r>
      <w:r w:rsidRPr="0032048B">
        <w:rPr>
          <w:sz w:val="24"/>
          <w:szCs w:val="24"/>
          <w:lang w:val="sq-AL"/>
        </w:rPr>
        <w:t xml:space="preserve"> p</w:t>
      </w:r>
      <w:r w:rsidR="005D3CCC" w:rsidRPr="0032048B">
        <w:rPr>
          <w:sz w:val="24"/>
          <w:szCs w:val="24"/>
          <w:lang w:val="sq-AL"/>
        </w:rPr>
        <w:t>ë</w:t>
      </w:r>
      <w:r w:rsidRPr="0032048B">
        <w:rPr>
          <w:sz w:val="24"/>
          <w:szCs w:val="24"/>
          <w:lang w:val="sq-AL"/>
        </w:rPr>
        <w:t>rdorim. Megjithat</w:t>
      </w:r>
      <w:r w:rsidR="005D3CCC" w:rsidRPr="0032048B">
        <w:rPr>
          <w:sz w:val="24"/>
          <w:szCs w:val="24"/>
          <w:lang w:val="sq-AL"/>
        </w:rPr>
        <w:t>ë</w:t>
      </w:r>
      <w:r w:rsidRPr="0032048B">
        <w:rPr>
          <w:sz w:val="24"/>
          <w:szCs w:val="24"/>
          <w:lang w:val="sq-AL"/>
        </w:rPr>
        <w:t>, 13% (3 nga 22) e burgjeve janë të mbipopulluara.</w:t>
      </w:r>
    </w:p>
    <w:p w14:paraId="7113F9DF" w14:textId="6C243A61"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Drejtori i Përgjithshëm i Burgjeve ka filluar analiz</w:t>
      </w:r>
      <w:r w:rsidR="005D3CCC" w:rsidRPr="0032048B">
        <w:rPr>
          <w:sz w:val="24"/>
          <w:szCs w:val="24"/>
          <w:lang w:val="sq-AL"/>
        </w:rPr>
        <w:t>ë</w:t>
      </w:r>
      <w:r w:rsidRPr="0032048B">
        <w:rPr>
          <w:sz w:val="24"/>
          <w:szCs w:val="24"/>
          <w:lang w:val="sq-AL"/>
        </w:rPr>
        <w:t xml:space="preserve">n e sigurisë së burgut dhe rehabilitimit të </w:t>
      </w:r>
      <w:proofErr w:type="spellStart"/>
      <w:r w:rsidRPr="0032048B">
        <w:rPr>
          <w:sz w:val="24"/>
          <w:szCs w:val="24"/>
          <w:lang w:val="sq-AL"/>
        </w:rPr>
        <w:t>të</w:t>
      </w:r>
      <w:proofErr w:type="spellEnd"/>
      <w:r w:rsidRPr="0032048B">
        <w:rPr>
          <w:sz w:val="24"/>
          <w:szCs w:val="24"/>
          <w:lang w:val="sq-AL"/>
        </w:rPr>
        <w:t xml:space="preserve"> burgosurve në burgjet Peqin, Fier dhe </w:t>
      </w:r>
      <w:proofErr w:type="spellStart"/>
      <w:r w:rsidRPr="0032048B">
        <w:rPr>
          <w:sz w:val="24"/>
          <w:szCs w:val="24"/>
          <w:lang w:val="sq-AL"/>
        </w:rPr>
        <w:t>Ali</w:t>
      </w:r>
      <w:proofErr w:type="spellEnd"/>
      <w:r w:rsidRPr="0032048B">
        <w:rPr>
          <w:sz w:val="24"/>
          <w:szCs w:val="24"/>
          <w:lang w:val="sq-AL"/>
        </w:rPr>
        <w:t xml:space="preserve"> Demi. Vëmendje e veçantë duhet t’i kushtohet de-</w:t>
      </w:r>
      <w:proofErr w:type="spellStart"/>
      <w:r w:rsidRPr="0032048B">
        <w:rPr>
          <w:sz w:val="24"/>
          <w:szCs w:val="24"/>
          <w:lang w:val="sq-AL"/>
        </w:rPr>
        <w:t>radikalizimit</w:t>
      </w:r>
      <w:proofErr w:type="spellEnd"/>
      <w:r w:rsidRPr="0032048B">
        <w:rPr>
          <w:sz w:val="24"/>
          <w:szCs w:val="24"/>
          <w:lang w:val="sq-AL"/>
        </w:rPr>
        <w:t xml:space="preserve"> në burgje dhe pas lirimit. Mbyllja e burgjeve që nuk plotësojnë standardet e nevojshme është parashikuar në kuadrin e reformës territoriale të burgjeve (</w:t>
      </w:r>
      <w:proofErr w:type="spellStart"/>
      <w:r w:rsidRPr="0032048B">
        <w:rPr>
          <w:sz w:val="24"/>
          <w:szCs w:val="24"/>
          <w:lang w:val="sq-AL"/>
        </w:rPr>
        <w:t>Master</w:t>
      </w:r>
      <w:proofErr w:type="spellEnd"/>
      <w:r w:rsidRPr="0032048B">
        <w:rPr>
          <w:sz w:val="24"/>
          <w:szCs w:val="24"/>
          <w:lang w:val="sq-AL"/>
        </w:rPr>
        <w:t xml:space="preserve"> Plani 2023-2028 i Drejtorisë së Përgjithshme të Burgjeve), dhe pritet t</w:t>
      </w:r>
      <w:r w:rsidR="005D3CCC" w:rsidRPr="0032048B">
        <w:rPr>
          <w:sz w:val="24"/>
          <w:szCs w:val="24"/>
          <w:lang w:val="sq-AL"/>
        </w:rPr>
        <w:t>ë</w:t>
      </w:r>
      <w:r w:rsidRPr="0032048B">
        <w:rPr>
          <w:sz w:val="24"/>
          <w:szCs w:val="24"/>
          <w:lang w:val="sq-AL"/>
        </w:rPr>
        <w:t xml:space="preserve"> ndodh</w:t>
      </w:r>
      <w:r w:rsidR="005D3CCC" w:rsidRPr="0032048B">
        <w:rPr>
          <w:sz w:val="24"/>
          <w:szCs w:val="24"/>
          <w:lang w:val="sq-AL"/>
        </w:rPr>
        <w:t>ë</w:t>
      </w:r>
      <w:r w:rsidRPr="0032048B">
        <w:rPr>
          <w:sz w:val="24"/>
          <w:szCs w:val="24"/>
          <w:lang w:val="sq-AL"/>
        </w:rPr>
        <w:t xml:space="preserve"> në 2 vitet e ardhshme.</w:t>
      </w:r>
    </w:p>
    <w:p w14:paraId="2665DA4C" w14:textId="533E08C0"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Sipas Drejtorisë së Përgjithshme të Burgjeve, sistemi elektronik i menaxhimit t</w:t>
      </w:r>
      <w:r w:rsidR="005D3CCC" w:rsidRPr="0032048B">
        <w:rPr>
          <w:sz w:val="24"/>
          <w:szCs w:val="24"/>
          <w:lang w:val="sq-AL"/>
        </w:rPr>
        <w:t>ë</w:t>
      </w:r>
      <w:r w:rsidR="000C6EFC" w:rsidRPr="0032048B">
        <w:rPr>
          <w:sz w:val="24"/>
          <w:szCs w:val="24"/>
          <w:lang w:val="sq-AL"/>
        </w:rPr>
        <w:t xml:space="preserve"> hyrje-daljeve</w:t>
      </w:r>
      <w:r w:rsidRPr="0032048B">
        <w:rPr>
          <w:sz w:val="24"/>
          <w:szCs w:val="24"/>
          <w:lang w:val="sq-AL"/>
        </w:rPr>
        <w:t xml:space="preserve"> në burgje dhe institucionet e paraburgimit është gati të vihet në funksionim. Ai synon të rrisë sigurinë, të përmirësojë kontrollet dhe ruajtjen e të dhënave, t</w:t>
      </w:r>
      <w:r w:rsidR="005D3CCC" w:rsidRPr="0032048B">
        <w:rPr>
          <w:sz w:val="24"/>
          <w:szCs w:val="24"/>
          <w:lang w:val="sq-AL"/>
        </w:rPr>
        <w:t>ë</w:t>
      </w:r>
      <w:r w:rsidRPr="0032048B">
        <w:rPr>
          <w:sz w:val="24"/>
          <w:szCs w:val="24"/>
          <w:lang w:val="sq-AL"/>
        </w:rPr>
        <w:t xml:space="preserve"> leht</w:t>
      </w:r>
      <w:r w:rsidR="005D3CCC" w:rsidRPr="0032048B">
        <w:rPr>
          <w:sz w:val="24"/>
          <w:szCs w:val="24"/>
          <w:lang w:val="sq-AL"/>
        </w:rPr>
        <w:t>ë</w:t>
      </w:r>
      <w:r w:rsidRPr="0032048B">
        <w:rPr>
          <w:sz w:val="24"/>
          <w:szCs w:val="24"/>
          <w:lang w:val="sq-AL"/>
        </w:rPr>
        <w:t>soj</w:t>
      </w:r>
      <w:r w:rsidR="005D3CCC" w:rsidRPr="0032048B">
        <w:rPr>
          <w:sz w:val="24"/>
          <w:szCs w:val="24"/>
          <w:lang w:val="sq-AL"/>
        </w:rPr>
        <w:t>ë</w:t>
      </w:r>
      <w:r w:rsidRPr="0032048B">
        <w:rPr>
          <w:sz w:val="24"/>
          <w:szCs w:val="24"/>
          <w:lang w:val="sq-AL"/>
        </w:rPr>
        <w:t xml:space="preserve"> menaxhimin e objekteve. Midis janarit 2022 dhe shkurtit 2023 gjithsej 2 009 punonj</w:t>
      </w:r>
      <w:r w:rsidR="005D3CCC" w:rsidRPr="0032048B">
        <w:rPr>
          <w:sz w:val="24"/>
          <w:szCs w:val="24"/>
          <w:lang w:val="sq-AL"/>
        </w:rPr>
        <w:t>ë</w:t>
      </w:r>
      <w:r w:rsidRPr="0032048B">
        <w:rPr>
          <w:sz w:val="24"/>
          <w:szCs w:val="24"/>
          <w:lang w:val="sq-AL"/>
        </w:rPr>
        <w:t>s u trajnuan për të drejtat e njeriut, përfshirë Rregulloren Evropiane t</w:t>
      </w:r>
      <w:r w:rsidR="005D3CCC" w:rsidRPr="0032048B">
        <w:rPr>
          <w:sz w:val="24"/>
          <w:szCs w:val="24"/>
          <w:lang w:val="sq-AL"/>
        </w:rPr>
        <w:t>ë</w:t>
      </w:r>
      <w:r w:rsidRPr="0032048B">
        <w:rPr>
          <w:sz w:val="24"/>
          <w:szCs w:val="24"/>
          <w:lang w:val="sq-AL"/>
        </w:rPr>
        <w:t xml:space="preserve"> Burgjeve.</w:t>
      </w:r>
    </w:p>
    <w:p w14:paraId="2C7459DF" w14:textId="1BFAAB9E"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Në vitin 2022, 6 688 persona mor</w:t>
      </w:r>
      <w:r w:rsidR="005D3CCC" w:rsidRPr="0032048B">
        <w:rPr>
          <w:sz w:val="24"/>
          <w:szCs w:val="24"/>
          <w:lang w:val="sq-AL"/>
        </w:rPr>
        <w:t>ë</w:t>
      </w:r>
      <w:r w:rsidRPr="0032048B">
        <w:rPr>
          <w:sz w:val="24"/>
          <w:szCs w:val="24"/>
          <w:lang w:val="sq-AL"/>
        </w:rPr>
        <w:t>n</w:t>
      </w:r>
      <w:r w:rsidR="004D53EC">
        <w:rPr>
          <w:sz w:val="24"/>
          <w:szCs w:val="24"/>
          <w:lang w:val="sq-AL"/>
        </w:rPr>
        <w:t xml:space="preserve"> </w:t>
      </w:r>
      <w:r w:rsidRPr="0032048B">
        <w:rPr>
          <w:sz w:val="24"/>
          <w:szCs w:val="24"/>
          <w:lang w:val="sq-AL"/>
        </w:rPr>
        <w:t>d</w:t>
      </w:r>
      <w:r w:rsidR="005D3CCC" w:rsidRPr="0032048B">
        <w:rPr>
          <w:sz w:val="24"/>
          <w:szCs w:val="24"/>
          <w:lang w:val="sq-AL"/>
        </w:rPr>
        <w:t>ë</w:t>
      </w:r>
      <w:r w:rsidRPr="0032048B">
        <w:rPr>
          <w:sz w:val="24"/>
          <w:szCs w:val="24"/>
          <w:lang w:val="sq-AL"/>
        </w:rPr>
        <w:t>nime alternative me vendim gjykate, shif</w:t>
      </w:r>
      <w:r w:rsidR="005D3CCC" w:rsidRPr="0032048B">
        <w:rPr>
          <w:sz w:val="24"/>
          <w:szCs w:val="24"/>
          <w:lang w:val="sq-AL"/>
        </w:rPr>
        <w:t>ë</w:t>
      </w:r>
      <w:r w:rsidRPr="0032048B">
        <w:rPr>
          <w:sz w:val="24"/>
          <w:szCs w:val="24"/>
          <w:lang w:val="sq-AL"/>
        </w:rPr>
        <w:t>r kjo 1% m</w:t>
      </w:r>
      <w:r w:rsidR="005D3CCC" w:rsidRPr="0032048B">
        <w:rPr>
          <w:sz w:val="24"/>
          <w:szCs w:val="24"/>
          <w:lang w:val="sq-AL"/>
        </w:rPr>
        <w:t>ë</w:t>
      </w:r>
      <w:r w:rsidRPr="0032048B">
        <w:rPr>
          <w:sz w:val="24"/>
          <w:szCs w:val="24"/>
          <w:lang w:val="sq-AL"/>
        </w:rPr>
        <w:t xml:space="preserve"> e ul</w:t>
      </w:r>
      <w:r w:rsidR="005D3CCC" w:rsidRPr="0032048B">
        <w:rPr>
          <w:sz w:val="24"/>
          <w:szCs w:val="24"/>
          <w:lang w:val="sq-AL"/>
        </w:rPr>
        <w:t>ë</w:t>
      </w:r>
      <w:r w:rsidRPr="0032048B">
        <w:rPr>
          <w:sz w:val="24"/>
          <w:szCs w:val="24"/>
          <w:lang w:val="sq-AL"/>
        </w:rPr>
        <w:t>t nga viti 2021, por me një rritje prej 18% krahasuar me vitin 2020. Shërbimi i Provës mbetet plotësisht funksional në të gjithë vendin dhe siguron d</w:t>
      </w:r>
      <w:r w:rsidR="005D3CCC" w:rsidRPr="0032048B">
        <w:rPr>
          <w:sz w:val="24"/>
          <w:szCs w:val="24"/>
          <w:lang w:val="sq-AL"/>
        </w:rPr>
        <w:t>ë</w:t>
      </w:r>
      <w:r w:rsidRPr="0032048B">
        <w:rPr>
          <w:sz w:val="24"/>
          <w:szCs w:val="24"/>
          <w:lang w:val="sq-AL"/>
        </w:rPr>
        <w:t>nime alternative, përfshirë të miturit. Përdorimi i monitorimit elektronik vazhdon t</w:t>
      </w:r>
      <w:r w:rsidR="005D3CCC" w:rsidRPr="0032048B">
        <w:rPr>
          <w:sz w:val="24"/>
          <w:szCs w:val="24"/>
          <w:lang w:val="sq-AL"/>
        </w:rPr>
        <w:t>ë</w:t>
      </w:r>
      <w:r w:rsidRPr="0032048B">
        <w:rPr>
          <w:sz w:val="24"/>
          <w:szCs w:val="24"/>
          <w:lang w:val="sq-AL"/>
        </w:rPr>
        <w:t xml:space="preserve"> jet</w:t>
      </w:r>
      <w:r w:rsidR="005D3CCC" w:rsidRPr="0032048B">
        <w:rPr>
          <w:sz w:val="24"/>
          <w:szCs w:val="24"/>
          <w:lang w:val="sq-AL"/>
        </w:rPr>
        <w:t>ë</w:t>
      </w:r>
      <w:r w:rsidRPr="0032048B">
        <w:rPr>
          <w:sz w:val="24"/>
          <w:szCs w:val="24"/>
          <w:lang w:val="sq-AL"/>
        </w:rPr>
        <w:t xml:space="preserve"> i pezulluar (që nga viti 2017) për shkak të një mosmarrëveshje të pazgjidhur ligjore.</w:t>
      </w:r>
    </w:p>
    <w:p w14:paraId="06A885B3" w14:textId="6795463E"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 xml:space="preserve">Legjislacioni për </w:t>
      </w:r>
      <w:r w:rsidRPr="0032048B">
        <w:rPr>
          <w:b/>
          <w:sz w:val="24"/>
          <w:szCs w:val="24"/>
          <w:lang w:val="sq-AL"/>
        </w:rPr>
        <w:t>mbrojtjen e të dhënave personale</w:t>
      </w:r>
      <w:r w:rsidRPr="0032048B">
        <w:rPr>
          <w:sz w:val="24"/>
          <w:szCs w:val="24"/>
          <w:lang w:val="sq-AL"/>
        </w:rPr>
        <w:t xml:space="preserve"> duhet të përputhet urgjentisht me Rregulloren e Përgjithshme të BE-së p</w:t>
      </w:r>
      <w:r w:rsidR="005D3CCC" w:rsidRPr="0032048B">
        <w:rPr>
          <w:sz w:val="24"/>
          <w:szCs w:val="24"/>
          <w:lang w:val="sq-AL"/>
        </w:rPr>
        <w:t>ë</w:t>
      </w:r>
      <w:r w:rsidRPr="0032048B">
        <w:rPr>
          <w:sz w:val="24"/>
          <w:szCs w:val="24"/>
          <w:lang w:val="sq-AL"/>
        </w:rPr>
        <w:t>r Mbrojtjen e të Dhënave (GDPR) dhe Direktivën BE-së p</w:t>
      </w:r>
      <w:r w:rsidR="005D3CCC" w:rsidRPr="0032048B">
        <w:rPr>
          <w:sz w:val="24"/>
          <w:szCs w:val="24"/>
          <w:lang w:val="sq-AL"/>
        </w:rPr>
        <w:t>ë</w:t>
      </w:r>
      <w:r w:rsidRPr="0032048B">
        <w:rPr>
          <w:sz w:val="24"/>
          <w:szCs w:val="24"/>
          <w:lang w:val="sq-AL"/>
        </w:rPr>
        <w:t>r Zbatimin e Ligjit. Konsultimet publike për k</w:t>
      </w:r>
      <w:r w:rsidR="005D3CCC" w:rsidRPr="0032048B">
        <w:rPr>
          <w:sz w:val="24"/>
          <w:szCs w:val="24"/>
          <w:lang w:val="sq-AL"/>
        </w:rPr>
        <w:t>ë</w:t>
      </w:r>
      <w:r w:rsidRPr="0032048B">
        <w:rPr>
          <w:sz w:val="24"/>
          <w:szCs w:val="24"/>
          <w:lang w:val="sq-AL"/>
        </w:rPr>
        <w:t xml:space="preserve">to projekt–ligje u zhvilluan në verën e vitit 2022. Ligji duhet të sigurojë pavarësinë e Zyrës së </w:t>
      </w:r>
      <w:proofErr w:type="spellStart"/>
      <w:r w:rsidRPr="0032048B">
        <w:rPr>
          <w:sz w:val="24"/>
          <w:szCs w:val="24"/>
          <w:lang w:val="sq-AL"/>
        </w:rPr>
        <w:t>Komisionerit</w:t>
      </w:r>
      <w:proofErr w:type="spellEnd"/>
      <w:r w:rsidRPr="0032048B">
        <w:rPr>
          <w:sz w:val="24"/>
          <w:szCs w:val="24"/>
          <w:lang w:val="sq-AL"/>
        </w:rPr>
        <w:t xml:space="preserve"> p</w:t>
      </w:r>
      <w:r w:rsidR="005D3CCC" w:rsidRPr="0032048B">
        <w:rPr>
          <w:sz w:val="24"/>
          <w:szCs w:val="24"/>
          <w:lang w:val="sq-AL"/>
        </w:rPr>
        <w:t>ë</w:t>
      </w:r>
      <w:r w:rsidRPr="0032048B">
        <w:rPr>
          <w:sz w:val="24"/>
          <w:szCs w:val="24"/>
          <w:lang w:val="sq-AL"/>
        </w:rPr>
        <w:t>r Informimin dhe Mbrojtjen e të Dhënave Personale (IDP) dhe t’i jap</w:t>
      </w:r>
      <w:r w:rsidR="005D3CCC" w:rsidRPr="0032048B">
        <w:rPr>
          <w:sz w:val="24"/>
          <w:szCs w:val="24"/>
          <w:lang w:val="sq-AL"/>
        </w:rPr>
        <w:t>ë</w:t>
      </w:r>
      <w:r w:rsidRPr="0032048B">
        <w:rPr>
          <w:sz w:val="24"/>
          <w:szCs w:val="24"/>
          <w:lang w:val="sq-AL"/>
        </w:rPr>
        <w:t xml:space="preserve"> kompetenca për të dh</w:t>
      </w:r>
      <w:r w:rsidR="005D3CCC" w:rsidRPr="0032048B">
        <w:rPr>
          <w:sz w:val="24"/>
          <w:szCs w:val="24"/>
          <w:lang w:val="sq-AL"/>
        </w:rPr>
        <w:t>ë</w:t>
      </w:r>
      <w:r w:rsidRPr="0032048B">
        <w:rPr>
          <w:sz w:val="24"/>
          <w:szCs w:val="24"/>
          <w:lang w:val="sq-AL"/>
        </w:rPr>
        <w:t>n</w:t>
      </w:r>
      <w:r w:rsidR="005D3CCC" w:rsidRPr="0032048B">
        <w:rPr>
          <w:sz w:val="24"/>
          <w:szCs w:val="24"/>
          <w:lang w:val="sq-AL"/>
        </w:rPr>
        <w:t>ë</w:t>
      </w:r>
      <w:r w:rsidRPr="0032048B">
        <w:rPr>
          <w:sz w:val="24"/>
          <w:szCs w:val="24"/>
          <w:lang w:val="sq-AL"/>
        </w:rPr>
        <w:t xml:space="preserve"> vendime detyruese. Për më tepër, do të duhet të forcohen kapacitetet e </w:t>
      </w:r>
      <w:proofErr w:type="spellStart"/>
      <w:r w:rsidRPr="0032048B">
        <w:rPr>
          <w:sz w:val="24"/>
          <w:szCs w:val="24"/>
          <w:lang w:val="sq-AL"/>
        </w:rPr>
        <w:t>Komisionerit</w:t>
      </w:r>
      <w:proofErr w:type="spellEnd"/>
      <w:r w:rsidRPr="0032048B">
        <w:rPr>
          <w:sz w:val="24"/>
          <w:szCs w:val="24"/>
          <w:lang w:val="sq-AL"/>
        </w:rPr>
        <w:t xml:space="preserve"> për të siguruar një përafrim efektiv me </w:t>
      </w:r>
      <w:proofErr w:type="spellStart"/>
      <w:r w:rsidRPr="0032048B">
        <w:rPr>
          <w:i/>
          <w:iCs/>
          <w:sz w:val="24"/>
          <w:szCs w:val="24"/>
          <w:lang w:val="sq-AL"/>
        </w:rPr>
        <w:t>acquis</w:t>
      </w:r>
      <w:proofErr w:type="spellEnd"/>
      <w:r w:rsidRPr="0032048B">
        <w:rPr>
          <w:i/>
          <w:iCs/>
          <w:sz w:val="24"/>
          <w:szCs w:val="24"/>
          <w:lang w:val="sq-AL"/>
        </w:rPr>
        <w:t xml:space="preserve"> </w:t>
      </w:r>
      <w:r w:rsidRPr="0032048B">
        <w:rPr>
          <w:sz w:val="24"/>
          <w:szCs w:val="24"/>
          <w:lang w:val="sq-AL"/>
        </w:rPr>
        <w:t xml:space="preserve">e BE-së për mbrojtjen e të dhënave. </w:t>
      </w:r>
    </w:p>
    <w:p w14:paraId="0A1DD4A9" w14:textId="493830C1"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 xml:space="preserve">Në vitin 2022, </w:t>
      </w:r>
      <w:proofErr w:type="spellStart"/>
      <w:r w:rsidRPr="0032048B">
        <w:rPr>
          <w:sz w:val="24"/>
          <w:szCs w:val="24"/>
          <w:lang w:val="sq-AL"/>
        </w:rPr>
        <w:t>Komisioneri</w:t>
      </w:r>
      <w:proofErr w:type="spellEnd"/>
      <w:r w:rsidRPr="0032048B">
        <w:rPr>
          <w:sz w:val="24"/>
          <w:szCs w:val="24"/>
          <w:lang w:val="sq-AL"/>
        </w:rPr>
        <w:t xml:space="preserve"> trajtoi 370 ankesa dhe kreu 48 inspektime administrative, n</w:t>
      </w:r>
      <w:r w:rsidR="005D3CCC" w:rsidRPr="0032048B">
        <w:rPr>
          <w:sz w:val="24"/>
          <w:szCs w:val="24"/>
          <w:lang w:val="sq-AL"/>
        </w:rPr>
        <w:t>ë</w:t>
      </w:r>
      <w:r w:rsidRPr="0032048B">
        <w:rPr>
          <w:sz w:val="24"/>
          <w:szCs w:val="24"/>
          <w:lang w:val="sq-AL"/>
        </w:rPr>
        <w:t xml:space="preserve"> p</w:t>
      </w:r>
      <w:r w:rsidR="005D3CCC" w:rsidRPr="0032048B">
        <w:rPr>
          <w:sz w:val="24"/>
          <w:szCs w:val="24"/>
          <w:lang w:val="sq-AL"/>
        </w:rPr>
        <w:t>ë</w:t>
      </w:r>
      <w:r w:rsidRPr="0032048B">
        <w:rPr>
          <w:sz w:val="24"/>
          <w:szCs w:val="24"/>
          <w:lang w:val="sq-AL"/>
        </w:rPr>
        <w:t>rfundim t</w:t>
      </w:r>
      <w:r w:rsidR="005D3CCC" w:rsidRPr="0032048B">
        <w:rPr>
          <w:sz w:val="24"/>
          <w:szCs w:val="24"/>
          <w:lang w:val="sq-AL"/>
        </w:rPr>
        <w:t>ë</w:t>
      </w:r>
      <w:r w:rsidRPr="0032048B">
        <w:rPr>
          <w:sz w:val="24"/>
          <w:szCs w:val="24"/>
          <w:lang w:val="sq-AL"/>
        </w:rPr>
        <w:t xml:space="preserve"> </w:t>
      </w:r>
      <w:proofErr w:type="spellStart"/>
      <w:r w:rsidRPr="0032048B">
        <w:rPr>
          <w:sz w:val="24"/>
          <w:szCs w:val="24"/>
          <w:lang w:val="sq-AL"/>
        </w:rPr>
        <w:t>t</w:t>
      </w:r>
      <w:r w:rsidR="005D3CCC" w:rsidRPr="0032048B">
        <w:rPr>
          <w:sz w:val="24"/>
          <w:szCs w:val="24"/>
          <w:lang w:val="sq-AL"/>
        </w:rPr>
        <w:t>ë</w:t>
      </w:r>
      <w:proofErr w:type="spellEnd"/>
      <w:r w:rsidRPr="0032048B">
        <w:rPr>
          <w:sz w:val="24"/>
          <w:szCs w:val="24"/>
          <w:lang w:val="sq-AL"/>
        </w:rPr>
        <w:t xml:space="preserve"> cilave lëshoi 48 rekomandime dhe 63 sanksione administrative. Në përgjigje të rrjedhjeve masive të </w:t>
      </w:r>
      <w:proofErr w:type="spellStart"/>
      <w:r w:rsidRPr="0032048B">
        <w:rPr>
          <w:sz w:val="24"/>
          <w:szCs w:val="24"/>
          <w:lang w:val="sq-AL"/>
        </w:rPr>
        <w:t>të</w:t>
      </w:r>
      <w:proofErr w:type="spellEnd"/>
      <w:r w:rsidRPr="0032048B">
        <w:rPr>
          <w:sz w:val="24"/>
          <w:szCs w:val="24"/>
          <w:lang w:val="sq-AL"/>
        </w:rPr>
        <w:t xml:space="preserve"> dhënave personale në vitin 2021, </w:t>
      </w:r>
      <w:proofErr w:type="spellStart"/>
      <w:r w:rsidRPr="0032048B">
        <w:rPr>
          <w:sz w:val="24"/>
          <w:szCs w:val="24"/>
          <w:lang w:val="sq-AL"/>
        </w:rPr>
        <w:t>Komisioneri</w:t>
      </w:r>
      <w:proofErr w:type="spellEnd"/>
      <w:r w:rsidRPr="0032048B">
        <w:rPr>
          <w:sz w:val="24"/>
          <w:szCs w:val="24"/>
          <w:lang w:val="sq-AL"/>
        </w:rPr>
        <w:t xml:space="preserve"> i nxori një vendim në nëntor 2022 p</w:t>
      </w:r>
      <w:r w:rsidR="005D3CCC" w:rsidRPr="0032048B">
        <w:rPr>
          <w:sz w:val="24"/>
          <w:szCs w:val="24"/>
          <w:lang w:val="sq-AL"/>
        </w:rPr>
        <w:t>ë</w:t>
      </w:r>
      <w:r w:rsidRPr="0032048B">
        <w:rPr>
          <w:sz w:val="24"/>
          <w:szCs w:val="24"/>
          <w:lang w:val="sq-AL"/>
        </w:rPr>
        <w:t>r t</w:t>
      </w:r>
      <w:r w:rsidR="005D3CCC" w:rsidRPr="0032048B">
        <w:rPr>
          <w:sz w:val="24"/>
          <w:szCs w:val="24"/>
          <w:lang w:val="sq-AL"/>
        </w:rPr>
        <w:t>ë</w:t>
      </w:r>
      <w:r w:rsidRPr="0032048B">
        <w:rPr>
          <w:sz w:val="24"/>
          <w:szCs w:val="24"/>
          <w:lang w:val="sq-AL"/>
        </w:rPr>
        <w:t xml:space="preserve"> gjobitur Drejtorinë e Përgjithshme t</w:t>
      </w:r>
      <w:r w:rsidR="005D3CCC" w:rsidRPr="0032048B">
        <w:rPr>
          <w:sz w:val="24"/>
          <w:szCs w:val="24"/>
          <w:lang w:val="sq-AL"/>
        </w:rPr>
        <w:t>ë</w:t>
      </w:r>
      <w:r w:rsidRPr="0032048B">
        <w:rPr>
          <w:sz w:val="24"/>
          <w:szCs w:val="24"/>
          <w:lang w:val="sq-AL"/>
        </w:rPr>
        <w:t xml:space="preserve"> Taksave dhe Drejtorinë e Përgjithshme për Shërbimet e Transportit Rrugor për përgjegjësitë p</w:t>
      </w:r>
      <w:r w:rsidR="005D3CCC" w:rsidRPr="0032048B">
        <w:rPr>
          <w:sz w:val="24"/>
          <w:szCs w:val="24"/>
          <w:lang w:val="sq-AL"/>
        </w:rPr>
        <w:t>ë</w:t>
      </w:r>
      <w:r w:rsidRPr="0032048B">
        <w:rPr>
          <w:sz w:val="24"/>
          <w:szCs w:val="24"/>
          <w:lang w:val="sq-AL"/>
        </w:rPr>
        <w:t>rkat</w:t>
      </w:r>
      <w:r w:rsidR="005D3CCC" w:rsidRPr="0032048B">
        <w:rPr>
          <w:sz w:val="24"/>
          <w:szCs w:val="24"/>
          <w:lang w:val="sq-AL"/>
        </w:rPr>
        <w:t>ë</w:t>
      </w:r>
      <w:r w:rsidRPr="0032048B">
        <w:rPr>
          <w:sz w:val="24"/>
          <w:szCs w:val="24"/>
          <w:lang w:val="sq-AL"/>
        </w:rPr>
        <w:t xml:space="preserve">se lidhur me shkeljet. Nga inspektimet administrative, </w:t>
      </w:r>
      <w:proofErr w:type="spellStart"/>
      <w:r w:rsidRPr="0032048B">
        <w:rPr>
          <w:sz w:val="24"/>
          <w:szCs w:val="24"/>
          <w:lang w:val="sq-AL"/>
        </w:rPr>
        <w:t>Komisioneri</w:t>
      </w:r>
      <w:proofErr w:type="spellEnd"/>
      <w:r w:rsidRPr="0032048B">
        <w:rPr>
          <w:sz w:val="24"/>
          <w:szCs w:val="24"/>
          <w:lang w:val="sq-AL"/>
        </w:rPr>
        <w:t xml:space="preserve"> ka konstatuar munges</w:t>
      </w:r>
      <w:r w:rsidR="005D3CCC" w:rsidRPr="0032048B">
        <w:rPr>
          <w:sz w:val="24"/>
          <w:szCs w:val="24"/>
          <w:lang w:val="sq-AL"/>
        </w:rPr>
        <w:t>ë</w:t>
      </w:r>
      <w:r w:rsidRPr="0032048B">
        <w:rPr>
          <w:sz w:val="24"/>
          <w:szCs w:val="24"/>
          <w:lang w:val="sq-AL"/>
        </w:rPr>
        <w:t xml:space="preserve">n e vetëdijes për mbrojtjen e të dhënave në administratën publike. Shqetësimet në lidhje me trajtimin e të </w:t>
      </w:r>
      <w:r w:rsidRPr="0032048B">
        <w:rPr>
          <w:sz w:val="24"/>
          <w:szCs w:val="24"/>
          <w:lang w:val="sq-AL"/>
        </w:rPr>
        <w:lastRenderedPageBreak/>
        <w:t>dhënave personale nga kompanitë private dhe administrata publike vazhduan në vitin 2022. Në përgjithësi, nevojiten masa të fuqishme ligjore dhe institucionale për të parandaluar shkeljet e të dhënave personale, për të rritur ndërgjegjësimin e publikut për rreziqet përkatëse dhe për të rritur ndërgjegjësimin e institucioneve publike për detyrimet q</w:t>
      </w:r>
      <w:r w:rsidR="005D3CCC" w:rsidRPr="0032048B">
        <w:rPr>
          <w:sz w:val="24"/>
          <w:szCs w:val="24"/>
          <w:lang w:val="sq-AL"/>
        </w:rPr>
        <w:t>ë</w:t>
      </w:r>
      <w:r w:rsidRPr="0032048B">
        <w:rPr>
          <w:sz w:val="24"/>
          <w:szCs w:val="24"/>
          <w:lang w:val="sq-AL"/>
        </w:rPr>
        <w:t xml:space="preserve"> kan</w:t>
      </w:r>
      <w:r w:rsidR="005D3CCC" w:rsidRPr="0032048B">
        <w:rPr>
          <w:sz w:val="24"/>
          <w:szCs w:val="24"/>
          <w:lang w:val="sq-AL"/>
        </w:rPr>
        <w:t>ë</w:t>
      </w:r>
      <w:r w:rsidRPr="0032048B">
        <w:rPr>
          <w:sz w:val="24"/>
          <w:szCs w:val="24"/>
          <w:lang w:val="sq-AL"/>
        </w:rPr>
        <w:t xml:space="preserve"> sipas ligjit.</w:t>
      </w:r>
    </w:p>
    <w:p w14:paraId="35740673" w14:textId="6266B04A"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 xml:space="preserve">Në përgjithësi, </w:t>
      </w:r>
      <w:r w:rsidRPr="0032048B">
        <w:rPr>
          <w:b/>
          <w:sz w:val="24"/>
          <w:szCs w:val="24"/>
          <w:lang w:val="sq-AL"/>
        </w:rPr>
        <w:t>liria e mendimit, ndërgjegjes dhe fes</w:t>
      </w:r>
      <w:r w:rsidR="005D3CCC" w:rsidRPr="0032048B">
        <w:rPr>
          <w:b/>
          <w:sz w:val="24"/>
          <w:szCs w:val="24"/>
          <w:lang w:val="sq-AL"/>
        </w:rPr>
        <w:t>ë</w:t>
      </w:r>
      <w:r w:rsidRPr="0032048B">
        <w:rPr>
          <w:sz w:val="24"/>
          <w:szCs w:val="24"/>
          <w:lang w:val="sq-AL"/>
        </w:rPr>
        <w:t xml:space="preserve"> u respektua. Shteti vazhdoi të sigurojë të njëjtin nivel të mbështetjes financiare për komunitetet fetare. Në maj të vitit 2023, shteti ndau afërsisht 1.05 milion EURO për komunitetet katolike, </w:t>
      </w:r>
      <w:proofErr w:type="spellStart"/>
      <w:r w:rsidRPr="0032048B">
        <w:rPr>
          <w:sz w:val="24"/>
          <w:szCs w:val="24"/>
          <w:lang w:val="sq-AL"/>
        </w:rPr>
        <w:t>suni</w:t>
      </w:r>
      <w:proofErr w:type="spellEnd"/>
      <w:r w:rsidRPr="0032048B">
        <w:rPr>
          <w:sz w:val="24"/>
          <w:szCs w:val="24"/>
          <w:lang w:val="sq-AL"/>
        </w:rPr>
        <w:t xml:space="preserve"> myslimane, ortodokse dhe Bektashi për funksionimin administrativ të k</w:t>
      </w:r>
      <w:r w:rsidR="005D3CCC" w:rsidRPr="0032048B">
        <w:rPr>
          <w:sz w:val="24"/>
          <w:szCs w:val="24"/>
          <w:lang w:val="sq-AL"/>
        </w:rPr>
        <w:t>ë</w:t>
      </w:r>
      <w:r w:rsidRPr="0032048B">
        <w:rPr>
          <w:sz w:val="24"/>
          <w:szCs w:val="24"/>
          <w:lang w:val="sq-AL"/>
        </w:rPr>
        <w:t>tyre komuniteteve dhe arsimit fetar, një shumë e ngjashme me një vit më parë. Vartësia e disa grupeve fetare nga mbështetja financiare e palëve t</w:t>
      </w:r>
      <w:r w:rsidR="005D3CCC" w:rsidRPr="0032048B">
        <w:rPr>
          <w:sz w:val="24"/>
          <w:szCs w:val="24"/>
          <w:lang w:val="sq-AL"/>
        </w:rPr>
        <w:t>ë</w:t>
      </w:r>
      <w:r w:rsidRPr="0032048B">
        <w:rPr>
          <w:sz w:val="24"/>
          <w:szCs w:val="24"/>
          <w:lang w:val="sq-AL"/>
        </w:rPr>
        <w:t xml:space="preserve"> treta krijon probleme. Kthimi i pronave që u përkasin grupeve fetare që u shpronësuan gjatë epokës komuniste mbetet një çështje e pazgjidhur.</w:t>
      </w:r>
    </w:p>
    <w:p w14:paraId="3F284650" w14:textId="77777777" w:rsidR="00380775" w:rsidRPr="0032048B" w:rsidRDefault="00380775" w:rsidP="00361D5A">
      <w:pPr>
        <w:tabs>
          <w:tab w:val="left" w:pos="1134"/>
        </w:tabs>
        <w:spacing w:before="120"/>
        <w:ind w:left="993" w:right="1067"/>
        <w:jc w:val="both"/>
        <w:rPr>
          <w:sz w:val="24"/>
          <w:szCs w:val="24"/>
          <w:lang w:val="sq-AL"/>
        </w:rPr>
      </w:pPr>
      <w:proofErr w:type="spellStart"/>
      <w:r w:rsidRPr="0032048B">
        <w:rPr>
          <w:sz w:val="24"/>
          <w:szCs w:val="24"/>
          <w:lang w:val="sq-AL"/>
        </w:rPr>
        <w:t>Komisioneri</w:t>
      </w:r>
      <w:proofErr w:type="spellEnd"/>
      <w:r w:rsidRPr="0032048B">
        <w:rPr>
          <w:sz w:val="24"/>
          <w:szCs w:val="24"/>
          <w:lang w:val="sq-AL"/>
        </w:rPr>
        <w:t xml:space="preserve"> për Mbrojtjen nga Diskriminimi raportoi tre raste ankesash për diskriminim në baza fetare, por vendosi se nuk kishte pasur diskriminim në asnjë prej rasteve.</w:t>
      </w:r>
    </w:p>
    <w:p w14:paraId="071E516B" w14:textId="6FE37BC2"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Sa i përket luftës kundër antisemitizmit, Shqipëria është anëtar vëzhgues në Aleancën Ndërkombëtare të Kujtes</w:t>
      </w:r>
      <w:r w:rsidR="005D3CCC" w:rsidRPr="0032048B">
        <w:rPr>
          <w:sz w:val="24"/>
          <w:szCs w:val="24"/>
          <w:lang w:val="sq-AL"/>
        </w:rPr>
        <w:t>ë</w:t>
      </w:r>
      <w:r w:rsidRPr="0032048B">
        <w:rPr>
          <w:sz w:val="24"/>
          <w:szCs w:val="24"/>
          <w:lang w:val="sq-AL"/>
        </w:rPr>
        <w:t>s për Holokaustin (IHRA) dhe ka adoptuar përkufizimin e IHRA-s për antisemitizmin. P</w:t>
      </w:r>
      <w:r w:rsidR="005D3CCC" w:rsidRPr="0032048B">
        <w:rPr>
          <w:sz w:val="24"/>
          <w:szCs w:val="24"/>
          <w:lang w:val="sq-AL"/>
        </w:rPr>
        <w:t>ë</w:t>
      </w:r>
      <w:r w:rsidRPr="0032048B">
        <w:rPr>
          <w:sz w:val="24"/>
          <w:szCs w:val="24"/>
          <w:lang w:val="sq-AL"/>
        </w:rPr>
        <w:t>r edukimin rreth Holokaustit jan</w:t>
      </w:r>
      <w:r w:rsidR="005D3CCC" w:rsidRPr="0032048B">
        <w:rPr>
          <w:sz w:val="24"/>
          <w:szCs w:val="24"/>
          <w:lang w:val="sq-AL"/>
        </w:rPr>
        <w:t>ë</w:t>
      </w:r>
      <w:r w:rsidRPr="0032048B">
        <w:rPr>
          <w:sz w:val="24"/>
          <w:szCs w:val="24"/>
          <w:lang w:val="sq-AL"/>
        </w:rPr>
        <w:t xml:space="preserve"> b</w:t>
      </w:r>
      <w:r w:rsidR="005D3CCC" w:rsidRPr="0032048B">
        <w:rPr>
          <w:sz w:val="24"/>
          <w:szCs w:val="24"/>
          <w:lang w:val="sq-AL"/>
        </w:rPr>
        <w:t>ë</w:t>
      </w:r>
      <w:r w:rsidRPr="0032048B">
        <w:rPr>
          <w:sz w:val="24"/>
          <w:szCs w:val="24"/>
          <w:lang w:val="sq-AL"/>
        </w:rPr>
        <w:t>r</w:t>
      </w:r>
      <w:r w:rsidR="005D3CCC" w:rsidRPr="0032048B">
        <w:rPr>
          <w:sz w:val="24"/>
          <w:szCs w:val="24"/>
          <w:lang w:val="sq-AL"/>
        </w:rPr>
        <w:t>ë</w:t>
      </w:r>
      <w:r w:rsidRPr="0032048B">
        <w:rPr>
          <w:sz w:val="24"/>
          <w:szCs w:val="24"/>
          <w:lang w:val="sq-AL"/>
        </w:rPr>
        <w:t xml:space="preserve"> </w:t>
      </w:r>
      <w:r w:rsidR="005D3CCC" w:rsidRPr="0032048B">
        <w:rPr>
          <w:sz w:val="24"/>
          <w:szCs w:val="24"/>
          <w:lang w:val="sq-AL"/>
        </w:rPr>
        <w:t>përpjekjeje</w:t>
      </w:r>
      <w:r w:rsidRPr="0032048B">
        <w:rPr>
          <w:sz w:val="24"/>
          <w:szCs w:val="24"/>
          <w:lang w:val="sq-AL"/>
        </w:rPr>
        <w:t xml:space="preserve"> konkrete.</w:t>
      </w:r>
    </w:p>
    <w:p w14:paraId="31262DFE" w14:textId="77777777" w:rsidR="00380775" w:rsidRPr="0032048B" w:rsidRDefault="00380775" w:rsidP="00361D5A">
      <w:pPr>
        <w:tabs>
          <w:tab w:val="left" w:pos="1134"/>
        </w:tabs>
        <w:spacing w:before="36"/>
        <w:ind w:left="993" w:right="1067"/>
        <w:rPr>
          <w:sz w:val="20"/>
          <w:szCs w:val="24"/>
          <w:lang w:val="sq-AL"/>
        </w:rPr>
      </w:pPr>
      <w:r w:rsidRPr="0032048B">
        <w:rPr>
          <w:sz w:val="24"/>
          <w:szCs w:val="24"/>
          <w:lang w:val="sq-AL" w:eastAsia="sq-AL"/>
        </w:rPr>
        <mc:AlternateContent>
          <mc:Choice Requires="wps">
            <w:drawing>
              <wp:anchor distT="0" distB="0" distL="0" distR="0" simplePos="0" relativeHeight="251655168" behindDoc="1" locked="0" layoutInCell="1" allowOverlap="1" wp14:anchorId="3A63C6ED" wp14:editId="20D33DDA">
                <wp:simplePos x="0" y="0"/>
                <wp:positionH relativeFrom="page">
                  <wp:posOffset>914400</wp:posOffset>
                </wp:positionH>
                <wp:positionV relativeFrom="paragraph">
                  <wp:posOffset>184658</wp:posOffset>
                </wp:positionV>
                <wp:extent cx="568452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4520" cy="1270"/>
                        </a:xfrm>
                        <a:custGeom>
                          <a:avLst/>
                          <a:gdLst/>
                          <a:ahLst/>
                          <a:cxnLst/>
                          <a:rect l="l" t="t" r="r" b="b"/>
                          <a:pathLst>
                            <a:path w="5684520">
                              <a:moveTo>
                                <a:pt x="0" y="0"/>
                              </a:moveTo>
                              <a:lnTo>
                                <a:pt x="5684216"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0532895" id="Graphic 4" o:spid="_x0000_s1026" style="position:absolute;margin-left:1in;margin-top:14.55pt;width:447.6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5684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" path="m,l5684216,e" filled="f" strokeweight=".31239mm">
                <v:stroke dashstyle="dash"/>
                <v:path arrowok="t"/>
                <w10:wrap type="topAndBottom" anchorx="page"/>
              </v:shape>
            </w:pict>
          </mc:Fallback>
        </mc:AlternateContent>
      </w:r>
    </w:p>
    <w:p w14:paraId="20BF44FD" w14:textId="77777777" w:rsidR="00380775" w:rsidRPr="0032048B" w:rsidRDefault="00380775" w:rsidP="00361D5A">
      <w:pPr>
        <w:tabs>
          <w:tab w:val="left" w:pos="1134"/>
        </w:tabs>
        <w:spacing w:before="215"/>
        <w:ind w:left="993" w:right="1067"/>
        <w:outlineLvl w:val="0"/>
        <w:rPr>
          <w:b/>
          <w:bCs/>
          <w:sz w:val="24"/>
          <w:szCs w:val="24"/>
          <w:lang w:val="sq-AL"/>
        </w:rPr>
      </w:pPr>
      <w:r w:rsidRPr="0032048B">
        <w:rPr>
          <w:b/>
          <w:bCs/>
          <w:sz w:val="24"/>
          <w:szCs w:val="24"/>
          <w:lang w:val="sq-AL"/>
        </w:rPr>
        <w:t>Liria e shprehjes</w:t>
      </w:r>
    </w:p>
    <w:p w14:paraId="64C65DF9" w14:textId="77777777" w:rsidR="00380775" w:rsidRPr="0032048B" w:rsidRDefault="00380775" w:rsidP="00361D5A">
      <w:pPr>
        <w:tabs>
          <w:tab w:val="left" w:pos="1134"/>
        </w:tabs>
        <w:spacing w:before="215"/>
        <w:ind w:left="993" w:right="1067"/>
        <w:outlineLvl w:val="0"/>
        <w:rPr>
          <w:b/>
          <w:bCs/>
          <w:sz w:val="24"/>
          <w:szCs w:val="24"/>
          <w:lang w:val="sq-AL"/>
        </w:rPr>
      </w:pPr>
    </w:p>
    <w:tbl>
      <w:tblPr>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8"/>
      </w:tblGrid>
      <w:tr w:rsidR="00380775" w:rsidRPr="0032048B" w14:paraId="175E84DD" w14:textId="77777777" w:rsidTr="00AB29CB">
        <w:trPr>
          <w:trHeight w:val="5261"/>
        </w:trPr>
        <w:tc>
          <w:tcPr>
            <w:tcW w:w="8788" w:type="dxa"/>
          </w:tcPr>
          <w:p w14:paraId="290FFEE9" w14:textId="7FFFE149" w:rsidR="00380775" w:rsidRPr="0032048B" w:rsidRDefault="00380775" w:rsidP="00AB29CB">
            <w:pPr>
              <w:spacing w:before="19"/>
              <w:ind w:left="145" w:right="141"/>
              <w:jc w:val="both"/>
              <w:rPr>
                <w:sz w:val="24"/>
                <w:lang w:val="sq-AL"/>
              </w:rPr>
            </w:pPr>
            <w:r w:rsidRPr="0032048B">
              <w:rPr>
                <w:sz w:val="24"/>
                <w:lang w:val="sq-AL"/>
              </w:rPr>
              <w:t xml:space="preserve">Vendi është </w:t>
            </w:r>
            <w:r w:rsidR="00B31C99" w:rsidRPr="0032048B">
              <w:rPr>
                <w:b/>
                <w:sz w:val="24"/>
                <w:lang w:val="sq-AL"/>
              </w:rPr>
              <w:t xml:space="preserve">midis </w:t>
            </w:r>
            <w:r w:rsidRPr="0032048B">
              <w:rPr>
                <w:b/>
                <w:sz w:val="24"/>
                <w:lang w:val="sq-AL"/>
              </w:rPr>
              <w:t>p</w:t>
            </w:r>
            <w:r w:rsidR="005D3CCC" w:rsidRPr="0032048B">
              <w:rPr>
                <w:b/>
                <w:sz w:val="24"/>
                <w:lang w:val="sq-AL"/>
              </w:rPr>
              <w:t>ë</w:t>
            </w:r>
            <w:r w:rsidRPr="0032048B">
              <w:rPr>
                <w:b/>
                <w:sz w:val="24"/>
                <w:lang w:val="sq-AL"/>
              </w:rPr>
              <w:t>rgatitje</w:t>
            </w:r>
            <w:r w:rsidR="00B31C99" w:rsidRPr="0032048B">
              <w:rPr>
                <w:b/>
                <w:sz w:val="24"/>
                <w:lang w:val="sq-AL"/>
              </w:rPr>
              <w:t xml:space="preserve">s </w:t>
            </w:r>
            <w:r w:rsidR="00E247EA" w:rsidRPr="0032048B">
              <w:rPr>
                <w:b/>
                <w:sz w:val="24"/>
                <w:lang w:val="sq-AL"/>
              </w:rPr>
              <w:t>së</w:t>
            </w:r>
            <w:r w:rsidR="00B31C99" w:rsidRPr="0032048B">
              <w:rPr>
                <w:b/>
                <w:sz w:val="24"/>
                <w:lang w:val="sq-AL"/>
              </w:rPr>
              <w:t xml:space="preserve"> mjaftueshme </w:t>
            </w:r>
            <w:r w:rsidRPr="0032048B">
              <w:rPr>
                <w:b/>
                <w:sz w:val="24"/>
                <w:lang w:val="sq-AL"/>
              </w:rPr>
              <w:t>dhe p</w:t>
            </w:r>
            <w:r w:rsidR="005D3CCC" w:rsidRPr="0032048B">
              <w:rPr>
                <w:b/>
                <w:sz w:val="24"/>
                <w:lang w:val="sq-AL"/>
              </w:rPr>
              <w:t>ë</w:t>
            </w:r>
            <w:r w:rsidRPr="0032048B">
              <w:rPr>
                <w:b/>
                <w:sz w:val="24"/>
                <w:lang w:val="sq-AL"/>
              </w:rPr>
              <w:t>rgatitjes mesatare</w:t>
            </w:r>
            <w:r w:rsidRPr="0032048B">
              <w:rPr>
                <w:sz w:val="24"/>
                <w:lang w:val="sq-AL"/>
              </w:rPr>
              <w:t xml:space="preserve"> në fushën e lirisë së shprehjes. </w:t>
            </w:r>
            <w:r w:rsidRPr="0032048B">
              <w:rPr>
                <w:b/>
                <w:sz w:val="24"/>
                <w:lang w:val="sq-AL"/>
              </w:rPr>
              <w:t>Progres i kufizuar</w:t>
            </w:r>
            <w:r w:rsidRPr="0032048B">
              <w:rPr>
                <w:sz w:val="24"/>
                <w:lang w:val="sq-AL"/>
              </w:rPr>
              <w:t xml:space="preserve"> </w:t>
            </w:r>
            <w:r w:rsidR="005D3CCC" w:rsidRPr="0032048B">
              <w:rPr>
                <w:sz w:val="24"/>
                <w:lang w:val="sq-AL"/>
              </w:rPr>
              <w:t>ë</w:t>
            </w:r>
            <w:r w:rsidRPr="0032048B">
              <w:rPr>
                <w:sz w:val="24"/>
                <w:lang w:val="sq-AL"/>
              </w:rPr>
              <w:t>sht</w:t>
            </w:r>
            <w:r w:rsidR="005D3CCC" w:rsidRPr="0032048B">
              <w:rPr>
                <w:sz w:val="24"/>
                <w:lang w:val="sq-AL"/>
              </w:rPr>
              <w:t>ë</w:t>
            </w:r>
            <w:r w:rsidRPr="0032048B">
              <w:rPr>
                <w:sz w:val="24"/>
                <w:lang w:val="sq-AL"/>
              </w:rPr>
              <w:t xml:space="preserve"> bër</w:t>
            </w:r>
            <w:r w:rsidR="005D3CCC" w:rsidRPr="0032048B">
              <w:rPr>
                <w:sz w:val="24"/>
                <w:lang w:val="sq-AL"/>
              </w:rPr>
              <w:t>ë</w:t>
            </w:r>
            <w:r w:rsidRPr="0032048B">
              <w:rPr>
                <w:sz w:val="24"/>
                <w:lang w:val="sq-AL"/>
              </w:rPr>
              <w:t xml:space="preserve">, në veçanti përmes ndryshimit të Ligjit për mediat </w:t>
            </w:r>
            <w:proofErr w:type="spellStart"/>
            <w:r w:rsidRPr="0032048B">
              <w:rPr>
                <w:sz w:val="24"/>
                <w:lang w:val="sq-AL"/>
              </w:rPr>
              <w:t>audiovizuale</w:t>
            </w:r>
            <w:proofErr w:type="spellEnd"/>
            <w:r w:rsidRPr="0032048B">
              <w:rPr>
                <w:sz w:val="24"/>
                <w:lang w:val="sq-AL"/>
              </w:rPr>
              <w:t xml:space="preserve">, për t’u përafruar me Direktivën e BE –së 2018 për shërbimet e mediave </w:t>
            </w:r>
            <w:proofErr w:type="spellStart"/>
            <w:r w:rsidRPr="0032048B">
              <w:rPr>
                <w:sz w:val="24"/>
                <w:lang w:val="sq-AL"/>
              </w:rPr>
              <w:t>audiovizuale</w:t>
            </w:r>
            <w:proofErr w:type="spellEnd"/>
            <w:r w:rsidRPr="0032048B">
              <w:rPr>
                <w:sz w:val="24"/>
                <w:lang w:val="sq-AL"/>
              </w:rPr>
              <w:t xml:space="preserve">, me qëllim të pjesëmarrjes në programin </w:t>
            </w:r>
            <w:proofErr w:type="spellStart"/>
            <w:r w:rsidRPr="0032048B">
              <w:rPr>
                <w:i/>
                <w:sz w:val="24"/>
                <w:lang w:val="sq-AL"/>
              </w:rPr>
              <w:t>Creative</w:t>
            </w:r>
            <w:proofErr w:type="spellEnd"/>
            <w:r w:rsidRPr="0032048B">
              <w:rPr>
                <w:i/>
                <w:sz w:val="24"/>
                <w:lang w:val="sq-AL"/>
              </w:rPr>
              <w:t xml:space="preserve"> Europe</w:t>
            </w:r>
            <w:r w:rsidRPr="0032048B">
              <w:rPr>
                <w:sz w:val="24"/>
                <w:lang w:val="sq-AL"/>
              </w:rPr>
              <w:t>. Nd</w:t>
            </w:r>
            <w:r w:rsidR="005D3CCC" w:rsidRPr="0032048B">
              <w:rPr>
                <w:sz w:val="24"/>
                <w:lang w:val="sq-AL"/>
              </w:rPr>
              <w:t>ë</w:t>
            </w:r>
            <w:r w:rsidRPr="0032048B">
              <w:rPr>
                <w:sz w:val="24"/>
                <w:lang w:val="sq-AL"/>
              </w:rPr>
              <w:t xml:space="preserve">rthurja e </w:t>
            </w:r>
            <w:r w:rsidR="00E247EA" w:rsidRPr="0032048B">
              <w:rPr>
                <w:sz w:val="24"/>
                <w:lang w:val="sq-AL"/>
              </w:rPr>
              <w:t>interesave</w:t>
            </w:r>
            <w:r w:rsidRPr="0032048B">
              <w:rPr>
                <w:sz w:val="24"/>
                <w:lang w:val="sq-AL"/>
              </w:rPr>
              <w:t xml:space="preserve"> të biznesit dhe politikës, mungesa e transparencës së burimeve të financimit, përqendrimi i pronësisë së mediave, </w:t>
            </w:r>
            <w:r w:rsidR="00026FA9" w:rsidRPr="0032048B">
              <w:rPr>
                <w:sz w:val="24"/>
                <w:lang w:val="sq-AL"/>
              </w:rPr>
              <w:t>frikësimi</w:t>
            </w:r>
            <w:r w:rsidRPr="0032048B">
              <w:rPr>
                <w:sz w:val="24"/>
                <w:lang w:val="sq-AL"/>
              </w:rPr>
              <w:t xml:space="preserve"> dhe kushtet e pasigurta të punës vazhduan të pengojnë pavarësinë e mediave, pluralizmin dhe cilësinë e gazetarisë. Atmosfera e sulmeve verbale dhe fizike, fushatat e p</w:t>
            </w:r>
            <w:r w:rsidR="005D3CCC" w:rsidRPr="0032048B">
              <w:rPr>
                <w:sz w:val="24"/>
                <w:lang w:val="sq-AL"/>
              </w:rPr>
              <w:t>ë</w:t>
            </w:r>
            <w:r w:rsidR="00E247EA" w:rsidRPr="0032048B">
              <w:rPr>
                <w:sz w:val="24"/>
                <w:lang w:val="sq-AL"/>
              </w:rPr>
              <w:t xml:space="preserve">rbaltjes dhe paditë </w:t>
            </w:r>
            <w:r w:rsidR="00026FA9" w:rsidRPr="0032048B">
              <w:rPr>
                <w:sz w:val="24"/>
                <w:lang w:val="sq-AL"/>
              </w:rPr>
              <w:t>frikësuese</w:t>
            </w:r>
            <w:r w:rsidRPr="0032048B">
              <w:rPr>
                <w:sz w:val="24"/>
                <w:lang w:val="sq-AL"/>
              </w:rPr>
              <w:t xml:space="preserve"> kundër gazetarëve nuk ka</w:t>
            </w:r>
            <w:r w:rsidR="00026FA9" w:rsidRPr="0032048B">
              <w:rPr>
                <w:sz w:val="24"/>
                <w:lang w:val="sq-AL"/>
              </w:rPr>
              <w:t>në</w:t>
            </w:r>
            <w:r w:rsidRPr="0032048B">
              <w:rPr>
                <w:sz w:val="24"/>
                <w:lang w:val="sq-AL"/>
              </w:rPr>
              <w:t xml:space="preserve"> ndryshuar.</w:t>
            </w:r>
          </w:p>
          <w:p w14:paraId="65B3083C" w14:textId="77777777" w:rsidR="00380775" w:rsidRPr="0032048B" w:rsidRDefault="00380775" w:rsidP="00AB29CB">
            <w:pPr>
              <w:spacing w:before="19"/>
              <w:ind w:left="145" w:right="141"/>
              <w:jc w:val="both"/>
              <w:rPr>
                <w:sz w:val="24"/>
                <w:lang w:val="sq-AL"/>
              </w:rPr>
            </w:pPr>
            <w:r w:rsidRPr="0032048B">
              <w:rPr>
                <w:sz w:val="24"/>
                <w:lang w:val="sq-AL"/>
              </w:rPr>
              <w:t>Rekomandimet e vitit të kaluar mbeten të vlefshme. Në vitin e ardhshëm, Shqipëria, në veçanti, duhet:</w:t>
            </w:r>
          </w:p>
          <w:p w14:paraId="204FCC9A" w14:textId="4A680DF8" w:rsidR="00380775" w:rsidRPr="0032048B" w:rsidRDefault="00380775" w:rsidP="00AB29CB">
            <w:pPr>
              <w:spacing w:before="19"/>
              <w:ind w:left="145" w:right="141"/>
              <w:jc w:val="both"/>
              <w:rPr>
                <w:sz w:val="24"/>
                <w:lang w:val="sq-AL"/>
              </w:rPr>
            </w:pPr>
            <w:r w:rsidRPr="0032048B">
              <w:rPr>
                <w:rFonts w:ascii="Symbol" w:hAnsi="Symbol"/>
                <w:sz w:val="24"/>
                <w:lang w:val="sq-AL"/>
              </w:rPr>
              <w:t></w:t>
            </w:r>
            <w:r w:rsidRPr="0032048B">
              <w:rPr>
                <w:sz w:val="24"/>
                <w:lang w:val="sq-AL"/>
              </w:rPr>
              <w:t xml:space="preserve"> T</w:t>
            </w:r>
            <w:r w:rsidR="005D3CCC" w:rsidRPr="0032048B">
              <w:rPr>
                <w:sz w:val="24"/>
                <w:lang w:val="sq-AL"/>
              </w:rPr>
              <w:t>ë</w:t>
            </w:r>
            <w:r w:rsidRPr="0032048B">
              <w:rPr>
                <w:sz w:val="24"/>
                <w:lang w:val="sq-AL"/>
              </w:rPr>
              <w:t xml:space="preserve"> ket</w:t>
            </w:r>
            <w:r w:rsidR="005D3CCC" w:rsidRPr="0032048B">
              <w:rPr>
                <w:sz w:val="24"/>
                <w:lang w:val="sq-AL"/>
              </w:rPr>
              <w:t>ë</w:t>
            </w:r>
            <w:r w:rsidRPr="0032048B">
              <w:rPr>
                <w:sz w:val="24"/>
                <w:lang w:val="sq-AL"/>
              </w:rPr>
              <w:t xml:space="preserve"> tolerancë zero për </w:t>
            </w:r>
            <w:r w:rsidR="00026FA9" w:rsidRPr="0032048B">
              <w:rPr>
                <w:sz w:val="24"/>
                <w:lang w:val="sq-AL"/>
              </w:rPr>
              <w:t>frikësimet</w:t>
            </w:r>
            <w:r w:rsidRPr="0032048B">
              <w:rPr>
                <w:sz w:val="24"/>
                <w:lang w:val="sq-AL"/>
              </w:rPr>
              <w:t xml:space="preserve"> dhe t</w:t>
            </w:r>
            <w:r w:rsidR="005D3CCC" w:rsidRPr="0032048B">
              <w:rPr>
                <w:sz w:val="24"/>
                <w:lang w:val="sq-AL"/>
              </w:rPr>
              <w:t>ë</w:t>
            </w:r>
            <w:r w:rsidRPr="0032048B">
              <w:rPr>
                <w:sz w:val="24"/>
                <w:lang w:val="sq-AL"/>
              </w:rPr>
              <w:t xml:space="preserve"> garantoj</w:t>
            </w:r>
            <w:r w:rsidR="005D3CCC" w:rsidRPr="0032048B">
              <w:rPr>
                <w:sz w:val="24"/>
                <w:lang w:val="sq-AL"/>
              </w:rPr>
              <w:t>ë</w:t>
            </w:r>
            <w:r w:rsidRPr="0032048B">
              <w:rPr>
                <w:sz w:val="24"/>
                <w:lang w:val="sq-AL"/>
              </w:rPr>
              <w:t xml:space="preserve"> procese efektive gjyqësore në rastet e sulmeve kundër gazetarëve, përfshirë përmes </w:t>
            </w:r>
            <w:proofErr w:type="spellStart"/>
            <w:r w:rsidRPr="0032048B">
              <w:rPr>
                <w:sz w:val="24"/>
                <w:lang w:val="sq-AL"/>
              </w:rPr>
              <w:t>dekriminalizimit</w:t>
            </w:r>
            <w:proofErr w:type="spellEnd"/>
            <w:r w:rsidRPr="0032048B">
              <w:rPr>
                <w:sz w:val="24"/>
                <w:lang w:val="sq-AL"/>
              </w:rPr>
              <w:t xml:space="preserve"> të plotë të shpifjes;</w:t>
            </w:r>
          </w:p>
          <w:p w14:paraId="3068EB84" w14:textId="64A3E7F0" w:rsidR="00380775" w:rsidRPr="0032048B" w:rsidRDefault="00380775" w:rsidP="00AB29CB">
            <w:pPr>
              <w:spacing w:before="19"/>
              <w:ind w:left="145" w:right="141"/>
              <w:jc w:val="both"/>
              <w:rPr>
                <w:sz w:val="24"/>
                <w:lang w:val="sq-AL"/>
              </w:rPr>
            </w:pPr>
            <w:r w:rsidRPr="0032048B">
              <w:rPr>
                <w:rFonts w:ascii="Symbol" w:hAnsi="Symbol"/>
                <w:sz w:val="24"/>
                <w:lang w:val="sq-AL"/>
              </w:rPr>
              <w:t></w:t>
            </w:r>
            <w:r w:rsidRPr="0032048B">
              <w:rPr>
                <w:sz w:val="24"/>
                <w:lang w:val="sq-AL"/>
              </w:rPr>
              <w:t xml:space="preserve"> T</w:t>
            </w:r>
            <w:r w:rsidR="005D3CCC" w:rsidRPr="0032048B">
              <w:rPr>
                <w:sz w:val="24"/>
                <w:lang w:val="sq-AL"/>
              </w:rPr>
              <w:t>ë</w:t>
            </w:r>
            <w:r w:rsidRPr="0032048B">
              <w:rPr>
                <w:sz w:val="24"/>
                <w:lang w:val="sq-AL"/>
              </w:rPr>
              <w:t xml:space="preserve"> trajtoj</w:t>
            </w:r>
            <w:r w:rsidR="005D3CCC" w:rsidRPr="0032048B">
              <w:rPr>
                <w:sz w:val="24"/>
                <w:lang w:val="sq-AL"/>
              </w:rPr>
              <w:t>ë</w:t>
            </w:r>
            <w:r w:rsidRPr="0032048B">
              <w:rPr>
                <w:sz w:val="24"/>
                <w:lang w:val="sq-AL"/>
              </w:rPr>
              <w:t xml:space="preserve"> përqendrimin e lartë të pronësisë s</w:t>
            </w:r>
            <w:r w:rsidR="005D3CCC" w:rsidRPr="0032048B">
              <w:rPr>
                <w:sz w:val="24"/>
                <w:lang w:val="sq-AL"/>
              </w:rPr>
              <w:t>ë</w:t>
            </w:r>
            <w:r w:rsidRPr="0032048B">
              <w:rPr>
                <w:sz w:val="24"/>
                <w:lang w:val="sq-AL"/>
              </w:rPr>
              <w:t xml:space="preserve"> mediave dhe t</w:t>
            </w:r>
            <w:r w:rsidR="005D3CCC" w:rsidRPr="0032048B">
              <w:rPr>
                <w:sz w:val="24"/>
                <w:lang w:val="sq-AL"/>
              </w:rPr>
              <w:t>ë</w:t>
            </w:r>
            <w:r w:rsidRPr="0032048B">
              <w:rPr>
                <w:sz w:val="24"/>
                <w:lang w:val="sq-AL"/>
              </w:rPr>
              <w:t xml:space="preserve"> rris</w:t>
            </w:r>
            <w:r w:rsidR="005D3CCC" w:rsidRPr="0032048B">
              <w:rPr>
                <w:sz w:val="24"/>
                <w:lang w:val="sq-AL"/>
              </w:rPr>
              <w:t>ë</w:t>
            </w:r>
            <w:r w:rsidRPr="0032048B">
              <w:rPr>
                <w:sz w:val="24"/>
                <w:lang w:val="sq-AL"/>
              </w:rPr>
              <w:t xml:space="preserve"> ndjeshëm transparencën e financimit të mediave, përfshirë p</w:t>
            </w:r>
            <w:r w:rsidR="005D3CCC" w:rsidRPr="0032048B">
              <w:rPr>
                <w:sz w:val="24"/>
                <w:lang w:val="sq-AL"/>
              </w:rPr>
              <w:t>ë</w:t>
            </w:r>
            <w:r w:rsidRPr="0032048B">
              <w:rPr>
                <w:sz w:val="24"/>
                <w:lang w:val="sq-AL"/>
              </w:rPr>
              <w:t>rmes rishikimit t</w:t>
            </w:r>
            <w:r w:rsidR="005D3CCC" w:rsidRPr="0032048B">
              <w:rPr>
                <w:sz w:val="24"/>
                <w:lang w:val="sq-AL"/>
              </w:rPr>
              <w:t>ë</w:t>
            </w:r>
            <w:r w:rsidRPr="0032048B">
              <w:rPr>
                <w:sz w:val="24"/>
                <w:lang w:val="sq-AL"/>
              </w:rPr>
              <w:t xml:space="preserve"> kërkesave ligjore për reklamat publike, në përputhje me standardet evropiane;</w:t>
            </w:r>
          </w:p>
          <w:p w14:paraId="441FE9F0" w14:textId="530AA3E8" w:rsidR="00380775" w:rsidRPr="0032048B" w:rsidRDefault="00380775" w:rsidP="00AB29CB">
            <w:pPr>
              <w:spacing w:before="135" w:line="276" w:lineRule="exact"/>
              <w:ind w:left="145" w:right="141"/>
              <w:jc w:val="both"/>
              <w:rPr>
                <w:sz w:val="24"/>
                <w:lang w:val="sq-AL"/>
              </w:rPr>
            </w:pPr>
            <w:r w:rsidRPr="0032048B">
              <w:rPr>
                <w:rFonts w:ascii="Symbol" w:hAnsi="Symbol"/>
                <w:sz w:val="24"/>
                <w:lang w:val="sq-AL"/>
              </w:rPr>
              <w:t></w:t>
            </w:r>
            <w:r w:rsidRPr="0032048B">
              <w:rPr>
                <w:sz w:val="24"/>
                <w:lang w:val="sq-AL"/>
              </w:rPr>
              <w:t xml:space="preserve"> T</w:t>
            </w:r>
            <w:r w:rsidR="005D3CCC" w:rsidRPr="0032048B">
              <w:rPr>
                <w:sz w:val="24"/>
                <w:lang w:val="sq-AL"/>
              </w:rPr>
              <w:t>ë</w:t>
            </w:r>
            <w:r w:rsidRPr="0032048B">
              <w:rPr>
                <w:sz w:val="24"/>
                <w:lang w:val="sq-AL"/>
              </w:rPr>
              <w:t xml:space="preserve"> përmirësoj</w:t>
            </w:r>
            <w:r w:rsidR="005D3CCC" w:rsidRPr="0032048B">
              <w:rPr>
                <w:sz w:val="24"/>
                <w:lang w:val="sq-AL"/>
              </w:rPr>
              <w:t>ë</w:t>
            </w:r>
            <w:r w:rsidRPr="0032048B">
              <w:rPr>
                <w:sz w:val="24"/>
                <w:lang w:val="sq-AL"/>
              </w:rPr>
              <w:t xml:space="preserve"> kushtet e punës për gazetarët, veçanërisht duke forcuar mbrojtjen e t</w:t>
            </w:r>
            <w:r w:rsidR="005D3CCC" w:rsidRPr="0032048B">
              <w:rPr>
                <w:sz w:val="24"/>
                <w:lang w:val="sq-AL"/>
              </w:rPr>
              <w:t>ë</w:t>
            </w:r>
            <w:r w:rsidRPr="0032048B">
              <w:rPr>
                <w:sz w:val="24"/>
                <w:lang w:val="sq-AL"/>
              </w:rPr>
              <w:t xml:space="preserve"> drejtave t</w:t>
            </w:r>
            <w:r w:rsidR="005D3CCC" w:rsidRPr="0032048B">
              <w:rPr>
                <w:sz w:val="24"/>
                <w:lang w:val="sq-AL"/>
              </w:rPr>
              <w:t>ë</w:t>
            </w:r>
            <w:r w:rsidRPr="0032048B">
              <w:rPr>
                <w:sz w:val="24"/>
                <w:lang w:val="sq-AL"/>
              </w:rPr>
              <w:t xml:space="preserve"> punësimit dhe të drejtave sociale të gazetarëve shqiptarë dhe duke siguruar një zbatim t</w:t>
            </w:r>
            <w:r w:rsidR="005D3CCC" w:rsidRPr="0032048B">
              <w:rPr>
                <w:sz w:val="24"/>
                <w:lang w:val="sq-AL"/>
              </w:rPr>
              <w:t>ë</w:t>
            </w:r>
            <w:r w:rsidRPr="0032048B">
              <w:rPr>
                <w:sz w:val="24"/>
                <w:lang w:val="sq-AL"/>
              </w:rPr>
              <w:t xml:space="preserve"> rregullt të Kodit të Punës.</w:t>
            </w:r>
          </w:p>
        </w:tc>
      </w:tr>
    </w:tbl>
    <w:p w14:paraId="201BE29C" w14:textId="0CFF38C9"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Frik</w:t>
      </w:r>
      <w:r w:rsidR="005D3CCC" w:rsidRPr="0032048B">
        <w:rPr>
          <w:sz w:val="24"/>
          <w:szCs w:val="24"/>
          <w:lang w:val="sq-AL"/>
        </w:rPr>
        <w:t>ë</w:t>
      </w:r>
      <w:r w:rsidRPr="0032048B">
        <w:rPr>
          <w:sz w:val="24"/>
          <w:szCs w:val="24"/>
          <w:lang w:val="sq-AL"/>
        </w:rPr>
        <w:t>simi i gazetar</w:t>
      </w:r>
      <w:r w:rsidR="005D3CCC" w:rsidRPr="0032048B">
        <w:rPr>
          <w:sz w:val="24"/>
          <w:szCs w:val="24"/>
          <w:lang w:val="sq-AL"/>
        </w:rPr>
        <w:t>ë</w:t>
      </w:r>
      <w:r w:rsidRPr="0032048B">
        <w:rPr>
          <w:sz w:val="24"/>
          <w:szCs w:val="24"/>
          <w:lang w:val="sq-AL"/>
        </w:rPr>
        <w:t>ve</w:t>
      </w:r>
    </w:p>
    <w:p w14:paraId="68D149B8" w14:textId="7C441411"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 xml:space="preserve">Zyrtarët e nivelit të lartë dhe aktorët politikë vazhduan të shprehin ndjenja </w:t>
      </w:r>
      <w:proofErr w:type="spellStart"/>
      <w:r w:rsidRPr="0032048B">
        <w:rPr>
          <w:sz w:val="24"/>
          <w:szCs w:val="24"/>
          <w:lang w:val="sq-AL"/>
        </w:rPr>
        <w:t>anti</w:t>
      </w:r>
      <w:proofErr w:type="spellEnd"/>
      <w:r w:rsidRPr="0032048B">
        <w:rPr>
          <w:sz w:val="24"/>
          <w:szCs w:val="24"/>
          <w:lang w:val="sq-AL"/>
        </w:rPr>
        <w:t>-media dhe të përdorin gjuhë denigruese kundër gazetarëve në disa raste. Në korrik 2022, pati nj</w:t>
      </w:r>
      <w:r w:rsidR="005D3CCC" w:rsidRPr="0032048B">
        <w:rPr>
          <w:sz w:val="24"/>
          <w:szCs w:val="24"/>
          <w:lang w:val="sq-AL"/>
        </w:rPr>
        <w:t>ë</w:t>
      </w:r>
      <w:r w:rsidRPr="0032048B">
        <w:rPr>
          <w:sz w:val="24"/>
          <w:szCs w:val="24"/>
          <w:lang w:val="sq-AL"/>
        </w:rPr>
        <w:t xml:space="preserve"> gazetar t</w:t>
      </w:r>
      <w:r w:rsidR="005D3CCC" w:rsidRPr="0032048B">
        <w:rPr>
          <w:sz w:val="24"/>
          <w:szCs w:val="24"/>
          <w:lang w:val="sq-AL"/>
        </w:rPr>
        <w:t>ë</w:t>
      </w:r>
      <w:r w:rsidRPr="0032048B">
        <w:rPr>
          <w:sz w:val="24"/>
          <w:szCs w:val="24"/>
          <w:lang w:val="sq-AL"/>
        </w:rPr>
        <w:t xml:space="preserve"> dytë q</w:t>
      </w:r>
      <w:r w:rsidR="005D3CCC" w:rsidRPr="0032048B">
        <w:rPr>
          <w:sz w:val="24"/>
          <w:szCs w:val="24"/>
          <w:lang w:val="sq-AL"/>
        </w:rPr>
        <w:t>ë</w:t>
      </w:r>
      <w:r w:rsidRPr="0032048B">
        <w:rPr>
          <w:sz w:val="24"/>
          <w:szCs w:val="24"/>
          <w:lang w:val="sq-AL"/>
        </w:rPr>
        <w:t xml:space="preserve"> u ndalua për tre muaj t</w:t>
      </w:r>
      <w:r w:rsidR="005D3CCC" w:rsidRPr="0032048B">
        <w:rPr>
          <w:sz w:val="24"/>
          <w:szCs w:val="24"/>
          <w:lang w:val="sq-AL"/>
        </w:rPr>
        <w:t>ë</w:t>
      </w:r>
      <w:r w:rsidRPr="0032048B">
        <w:rPr>
          <w:sz w:val="24"/>
          <w:szCs w:val="24"/>
          <w:lang w:val="sq-AL"/>
        </w:rPr>
        <w:t xml:space="preserve"> marr</w:t>
      </w:r>
      <w:r w:rsidR="005D3CCC" w:rsidRPr="0032048B">
        <w:rPr>
          <w:sz w:val="24"/>
          <w:szCs w:val="24"/>
          <w:lang w:val="sq-AL"/>
        </w:rPr>
        <w:t>ë</w:t>
      </w:r>
      <w:r w:rsidRPr="0032048B">
        <w:rPr>
          <w:sz w:val="24"/>
          <w:szCs w:val="24"/>
          <w:lang w:val="sq-AL"/>
        </w:rPr>
        <w:t xml:space="preserve"> pjes</w:t>
      </w:r>
      <w:r w:rsidR="005D3CCC" w:rsidRPr="0032048B">
        <w:rPr>
          <w:sz w:val="24"/>
          <w:szCs w:val="24"/>
          <w:lang w:val="sq-AL"/>
        </w:rPr>
        <w:t>ë</w:t>
      </w:r>
      <w:r w:rsidRPr="0032048B">
        <w:rPr>
          <w:sz w:val="24"/>
          <w:szCs w:val="24"/>
          <w:lang w:val="sq-AL"/>
        </w:rPr>
        <w:t xml:space="preserve"> n</w:t>
      </w:r>
      <w:r w:rsidR="005D3CCC" w:rsidRPr="0032048B">
        <w:rPr>
          <w:sz w:val="24"/>
          <w:szCs w:val="24"/>
          <w:lang w:val="sq-AL"/>
        </w:rPr>
        <w:t>ë</w:t>
      </w:r>
      <w:r w:rsidR="004D53EC">
        <w:rPr>
          <w:sz w:val="24"/>
          <w:szCs w:val="24"/>
          <w:lang w:val="sq-AL"/>
        </w:rPr>
        <w:t xml:space="preserve"> </w:t>
      </w:r>
      <w:r w:rsidRPr="0032048B">
        <w:rPr>
          <w:sz w:val="24"/>
          <w:szCs w:val="24"/>
          <w:lang w:val="sq-AL"/>
        </w:rPr>
        <w:t>konferencat e shtypit t</w:t>
      </w:r>
      <w:r w:rsidR="005D3CCC" w:rsidRPr="0032048B">
        <w:rPr>
          <w:sz w:val="24"/>
          <w:szCs w:val="24"/>
          <w:lang w:val="sq-AL"/>
        </w:rPr>
        <w:t>ë</w:t>
      </w:r>
      <w:r w:rsidRPr="0032048B">
        <w:rPr>
          <w:sz w:val="24"/>
          <w:szCs w:val="24"/>
          <w:lang w:val="sq-AL"/>
        </w:rPr>
        <w:t xml:space="preserve"> qeveris</w:t>
      </w:r>
      <w:r w:rsidR="005D3CCC" w:rsidRPr="0032048B">
        <w:rPr>
          <w:sz w:val="24"/>
          <w:szCs w:val="24"/>
          <w:lang w:val="sq-AL"/>
        </w:rPr>
        <w:t>ë</w:t>
      </w:r>
      <w:r w:rsidRPr="0032048B">
        <w:rPr>
          <w:sz w:val="24"/>
          <w:szCs w:val="24"/>
          <w:lang w:val="sq-AL"/>
        </w:rPr>
        <w:t xml:space="preserve"> për shkelje të supozuara etike.</w:t>
      </w:r>
    </w:p>
    <w:p w14:paraId="400609E3" w14:textId="4E8644E4"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 xml:space="preserve">Në nëntor 2022, një gazetar </w:t>
      </w:r>
      <w:proofErr w:type="spellStart"/>
      <w:r w:rsidRPr="0032048B">
        <w:rPr>
          <w:sz w:val="24"/>
          <w:szCs w:val="24"/>
          <w:lang w:val="sq-AL"/>
        </w:rPr>
        <w:t>investigativ</w:t>
      </w:r>
      <w:proofErr w:type="spellEnd"/>
      <w:r w:rsidRPr="0032048B">
        <w:rPr>
          <w:sz w:val="24"/>
          <w:szCs w:val="24"/>
          <w:lang w:val="sq-AL"/>
        </w:rPr>
        <w:t xml:space="preserve"> u sulmua fizikisht në Tiranë nga persona të paidentifikuar. Gazetari pohoi se sulmi ishte i lidhur drejtpërdrejt me raportimin e tij për akuzat e lidhjeve të ish zyrtarëve publik</w:t>
      </w:r>
      <w:r w:rsidR="005D3CCC" w:rsidRPr="0032048B">
        <w:rPr>
          <w:sz w:val="24"/>
          <w:szCs w:val="24"/>
          <w:lang w:val="sq-AL"/>
        </w:rPr>
        <w:t>ë</w:t>
      </w:r>
      <w:r w:rsidRPr="0032048B">
        <w:rPr>
          <w:sz w:val="24"/>
          <w:szCs w:val="24"/>
          <w:lang w:val="sq-AL"/>
        </w:rPr>
        <w:t xml:space="preserve"> me rastet e korrupsionit. Në janar 2023, një gazetar </w:t>
      </w:r>
      <w:r w:rsidRPr="0032048B">
        <w:rPr>
          <w:sz w:val="24"/>
          <w:szCs w:val="24"/>
          <w:lang w:val="sq-AL"/>
        </w:rPr>
        <w:lastRenderedPageBreak/>
        <w:t>lokal dhe gruaja e tij u sulmuan fizikisht ndërsa gazetari ishte në detyrë duke mbuluar një çështje gjyqësore. Në mars 2023, ndërtesa e një transmetuesi kombëtar privat u sulmua nga individë të armatosur rëndë dhe, si rezultat, një roje sigurie humbi jetën. Të gjithë autoritetet shtetërore të nivelit të lartë dhe politikanët në të gjitha partitë politike dënuan ngjarjen. P</w:t>
      </w:r>
      <w:r w:rsidR="005D3CCC" w:rsidRPr="0032048B">
        <w:rPr>
          <w:sz w:val="24"/>
          <w:szCs w:val="24"/>
          <w:lang w:val="sq-AL"/>
        </w:rPr>
        <w:t>ë</w:t>
      </w:r>
      <w:r w:rsidRPr="0032048B">
        <w:rPr>
          <w:sz w:val="24"/>
          <w:szCs w:val="24"/>
          <w:lang w:val="sq-AL"/>
        </w:rPr>
        <w:t>r k</w:t>
      </w:r>
      <w:r w:rsidR="005D3CCC" w:rsidRPr="0032048B">
        <w:rPr>
          <w:sz w:val="24"/>
          <w:szCs w:val="24"/>
          <w:lang w:val="sq-AL"/>
        </w:rPr>
        <w:t>ë</w:t>
      </w:r>
      <w:r w:rsidRPr="0032048B">
        <w:rPr>
          <w:sz w:val="24"/>
          <w:szCs w:val="24"/>
          <w:lang w:val="sq-AL"/>
        </w:rPr>
        <w:t>t</w:t>
      </w:r>
      <w:r w:rsidR="005D3CCC" w:rsidRPr="0032048B">
        <w:rPr>
          <w:sz w:val="24"/>
          <w:szCs w:val="24"/>
          <w:lang w:val="sq-AL"/>
        </w:rPr>
        <w:t>ë</w:t>
      </w:r>
      <w:r w:rsidRPr="0032048B">
        <w:rPr>
          <w:sz w:val="24"/>
          <w:szCs w:val="24"/>
          <w:lang w:val="sq-AL"/>
        </w:rPr>
        <w:t xml:space="preserve"> </w:t>
      </w:r>
      <w:r w:rsidR="00E247EA" w:rsidRPr="0032048B">
        <w:rPr>
          <w:sz w:val="24"/>
          <w:szCs w:val="24"/>
          <w:lang w:val="sq-AL"/>
        </w:rPr>
        <w:t>çështje</w:t>
      </w:r>
      <w:r w:rsidRPr="0032048B">
        <w:rPr>
          <w:sz w:val="24"/>
          <w:szCs w:val="24"/>
          <w:lang w:val="sq-AL"/>
        </w:rPr>
        <w:t xml:space="preserve"> duhet t</w:t>
      </w:r>
      <w:r w:rsidR="005D3CCC" w:rsidRPr="0032048B">
        <w:rPr>
          <w:sz w:val="24"/>
          <w:szCs w:val="24"/>
          <w:lang w:val="sq-AL"/>
        </w:rPr>
        <w:t>ë</w:t>
      </w:r>
      <w:r w:rsidRPr="0032048B">
        <w:rPr>
          <w:sz w:val="24"/>
          <w:szCs w:val="24"/>
          <w:lang w:val="sq-AL"/>
        </w:rPr>
        <w:t xml:space="preserve"> sigurohet ndjekje efektive gjyqësore. Në korrik 2023, organizatat ndërkombëtare q</w:t>
      </w:r>
      <w:r w:rsidR="005D3CCC" w:rsidRPr="0032048B">
        <w:rPr>
          <w:sz w:val="24"/>
          <w:szCs w:val="24"/>
          <w:lang w:val="sq-AL"/>
        </w:rPr>
        <w:t>ë</w:t>
      </w:r>
      <w:r w:rsidRPr="0032048B">
        <w:rPr>
          <w:sz w:val="24"/>
          <w:szCs w:val="24"/>
          <w:lang w:val="sq-AL"/>
        </w:rPr>
        <w:t xml:space="preserve"> mbikëqyrin mediat i bënë thirrje një zyrtari lokal të nivelit të lartë të përmbahej nga kërcënimi dhe ngacmimi i një gazetareje pas raportimeve t</w:t>
      </w:r>
      <w:r w:rsidR="005D3CCC" w:rsidRPr="0032048B">
        <w:rPr>
          <w:sz w:val="24"/>
          <w:szCs w:val="24"/>
          <w:lang w:val="sq-AL"/>
        </w:rPr>
        <w:t>ë</w:t>
      </w:r>
      <w:r w:rsidRPr="0032048B">
        <w:rPr>
          <w:sz w:val="24"/>
          <w:szCs w:val="24"/>
          <w:lang w:val="sq-AL"/>
        </w:rPr>
        <w:t xml:space="preserve"> saj për një çështje korrupsioni. Ende nuk </w:t>
      </w:r>
      <w:r w:rsidR="005D3CCC" w:rsidRPr="0032048B">
        <w:rPr>
          <w:sz w:val="24"/>
          <w:szCs w:val="24"/>
          <w:lang w:val="sq-AL"/>
        </w:rPr>
        <w:t>ë</w:t>
      </w:r>
      <w:r w:rsidRPr="0032048B">
        <w:rPr>
          <w:sz w:val="24"/>
          <w:szCs w:val="24"/>
          <w:lang w:val="sq-AL"/>
        </w:rPr>
        <w:t>sht</w:t>
      </w:r>
      <w:r w:rsidR="005D3CCC" w:rsidRPr="0032048B">
        <w:rPr>
          <w:sz w:val="24"/>
          <w:szCs w:val="24"/>
          <w:lang w:val="sq-AL"/>
        </w:rPr>
        <w:t>ë</w:t>
      </w:r>
      <w:r w:rsidRPr="0032048B">
        <w:rPr>
          <w:sz w:val="24"/>
          <w:szCs w:val="24"/>
          <w:lang w:val="sq-AL"/>
        </w:rPr>
        <w:t xml:space="preserve"> krijuar nj</w:t>
      </w:r>
      <w:r w:rsidR="005D3CCC" w:rsidRPr="0032048B">
        <w:rPr>
          <w:sz w:val="24"/>
          <w:szCs w:val="24"/>
          <w:lang w:val="sq-AL"/>
        </w:rPr>
        <w:t>ë</w:t>
      </w:r>
      <w:r w:rsidRPr="0032048B">
        <w:rPr>
          <w:sz w:val="24"/>
          <w:szCs w:val="24"/>
          <w:lang w:val="sq-AL"/>
        </w:rPr>
        <w:t xml:space="preserve"> praktik</w:t>
      </w:r>
      <w:r w:rsidR="005D3CCC" w:rsidRPr="0032048B">
        <w:rPr>
          <w:sz w:val="24"/>
          <w:szCs w:val="24"/>
          <w:lang w:val="sq-AL"/>
        </w:rPr>
        <w:t>ë</w:t>
      </w:r>
      <w:r w:rsidRPr="0032048B">
        <w:rPr>
          <w:sz w:val="24"/>
          <w:szCs w:val="24"/>
          <w:lang w:val="sq-AL"/>
        </w:rPr>
        <w:t xml:space="preserve"> e fortë n</w:t>
      </w:r>
      <w:r w:rsidR="005D3CCC" w:rsidRPr="0032048B">
        <w:rPr>
          <w:sz w:val="24"/>
          <w:szCs w:val="24"/>
          <w:lang w:val="sq-AL"/>
        </w:rPr>
        <w:t>ë</w:t>
      </w:r>
      <w:r w:rsidRPr="0032048B">
        <w:rPr>
          <w:sz w:val="24"/>
          <w:szCs w:val="24"/>
          <w:lang w:val="sq-AL"/>
        </w:rPr>
        <w:t xml:space="preserve"> fush</w:t>
      </w:r>
      <w:r w:rsidR="005D3CCC" w:rsidRPr="0032048B">
        <w:rPr>
          <w:sz w:val="24"/>
          <w:szCs w:val="24"/>
          <w:lang w:val="sq-AL"/>
        </w:rPr>
        <w:t>ë</w:t>
      </w:r>
      <w:r w:rsidRPr="0032048B">
        <w:rPr>
          <w:sz w:val="24"/>
          <w:szCs w:val="24"/>
          <w:lang w:val="sq-AL"/>
        </w:rPr>
        <w:t>n e ndjekjes penale dhe proceseve gjyqësore q</w:t>
      </w:r>
      <w:r w:rsidR="005D3CCC" w:rsidRPr="0032048B">
        <w:rPr>
          <w:sz w:val="24"/>
          <w:szCs w:val="24"/>
          <w:lang w:val="sq-AL"/>
        </w:rPr>
        <w:t>ë</w:t>
      </w:r>
      <w:r w:rsidRPr="0032048B">
        <w:rPr>
          <w:sz w:val="24"/>
          <w:szCs w:val="24"/>
          <w:lang w:val="sq-AL"/>
        </w:rPr>
        <w:t xml:space="preserve"> garantojn</w:t>
      </w:r>
      <w:r w:rsidR="005D3CCC" w:rsidRPr="0032048B">
        <w:rPr>
          <w:sz w:val="24"/>
          <w:szCs w:val="24"/>
          <w:lang w:val="sq-AL"/>
        </w:rPr>
        <w:t>ë</w:t>
      </w:r>
      <w:r w:rsidRPr="0032048B">
        <w:rPr>
          <w:sz w:val="24"/>
          <w:szCs w:val="24"/>
          <w:lang w:val="sq-AL"/>
        </w:rPr>
        <w:t xml:space="preserve"> sigurinë e gazetarëve.</w:t>
      </w:r>
    </w:p>
    <w:p w14:paraId="42B60E79" w14:textId="7F17271A" w:rsidR="00380775" w:rsidRPr="0032048B" w:rsidRDefault="00380775" w:rsidP="00361D5A">
      <w:pPr>
        <w:tabs>
          <w:tab w:val="left" w:pos="1134"/>
        </w:tabs>
        <w:spacing w:before="120"/>
        <w:ind w:left="993" w:right="1067"/>
        <w:jc w:val="both"/>
        <w:rPr>
          <w:sz w:val="24"/>
          <w:szCs w:val="24"/>
          <w:lang w:val="sq-AL"/>
        </w:rPr>
      </w:pPr>
      <w:r w:rsidRPr="0032048B">
        <w:rPr>
          <w:sz w:val="24"/>
          <w:szCs w:val="24"/>
          <w:lang w:val="sq-AL"/>
        </w:rPr>
        <w:t>Ka pasur një rritje të vogël të numrit të padive strategjike kundër pjesëmarrjes së publikut (SLAPP). Organizatat e mediave raportuan se 19 çështje të reja penale ishin ngritur kundër gazetarëve ose punonjësve të mediave në vitin 2022, ndërsa 11 raste t</w:t>
      </w:r>
      <w:r w:rsidR="005D3CCC" w:rsidRPr="0032048B">
        <w:rPr>
          <w:sz w:val="24"/>
          <w:szCs w:val="24"/>
          <w:lang w:val="sq-AL"/>
        </w:rPr>
        <w:t>ë</w:t>
      </w:r>
      <w:r w:rsidRPr="0032048B">
        <w:rPr>
          <w:sz w:val="24"/>
          <w:szCs w:val="24"/>
          <w:lang w:val="sq-AL"/>
        </w:rPr>
        <w:t xml:space="preserve"> mbartura nga vitet e kaluara mbeten të pazgjidhura. Për më tepër, janë ngritur 12 raste civile, nga të cilat 11 janë për pretendime lidhur me botimin e mashtrimeve apo informacionit të pasaktë. Gjatë periudhës së raportimit, nuk </w:t>
      </w:r>
      <w:r w:rsidR="005D3CCC" w:rsidRPr="0032048B">
        <w:rPr>
          <w:sz w:val="24"/>
          <w:szCs w:val="24"/>
          <w:lang w:val="sq-AL"/>
        </w:rPr>
        <w:t>ë</w:t>
      </w:r>
      <w:r w:rsidRPr="0032048B">
        <w:rPr>
          <w:sz w:val="24"/>
          <w:szCs w:val="24"/>
          <w:lang w:val="sq-AL"/>
        </w:rPr>
        <w:t>sht</w:t>
      </w:r>
      <w:r w:rsidR="005D3CCC" w:rsidRPr="0032048B">
        <w:rPr>
          <w:sz w:val="24"/>
          <w:szCs w:val="24"/>
          <w:lang w:val="sq-AL"/>
        </w:rPr>
        <w:t>ë</w:t>
      </w:r>
      <w:r w:rsidRPr="0032048B">
        <w:rPr>
          <w:sz w:val="24"/>
          <w:szCs w:val="24"/>
          <w:lang w:val="sq-AL"/>
        </w:rPr>
        <w:t xml:space="preserve"> dh</w:t>
      </w:r>
      <w:r w:rsidR="005D3CCC" w:rsidRPr="0032048B">
        <w:rPr>
          <w:sz w:val="24"/>
          <w:szCs w:val="24"/>
          <w:lang w:val="sq-AL"/>
        </w:rPr>
        <w:t>ë</w:t>
      </w:r>
      <w:r w:rsidRPr="0032048B">
        <w:rPr>
          <w:sz w:val="24"/>
          <w:szCs w:val="24"/>
          <w:lang w:val="sq-AL"/>
        </w:rPr>
        <w:t>n</w:t>
      </w:r>
      <w:r w:rsidR="005D3CCC" w:rsidRPr="0032048B">
        <w:rPr>
          <w:sz w:val="24"/>
          <w:szCs w:val="24"/>
          <w:lang w:val="sq-AL"/>
        </w:rPr>
        <w:t>ë</w:t>
      </w:r>
      <w:r w:rsidRPr="0032048B">
        <w:rPr>
          <w:sz w:val="24"/>
          <w:szCs w:val="24"/>
          <w:lang w:val="sq-AL"/>
        </w:rPr>
        <w:t xml:space="preserve"> asnjë d</w:t>
      </w:r>
      <w:r w:rsidR="005D3CCC" w:rsidRPr="0032048B">
        <w:rPr>
          <w:sz w:val="24"/>
          <w:szCs w:val="24"/>
          <w:lang w:val="sq-AL"/>
        </w:rPr>
        <w:t>ë</w:t>
      </w:r>
      <w:r w:rsidRPr="0032048B">
        <w:rPr>
          <w:sz w:val="24"/>
          <w:szCs w:val="24"/>
          <w:lang w:val="sq-AL"/>
        </w:rPr>
        <w:t>nim me burg për gazetarët. Nuk ka t</w:t>
      </w:r>
      <w:r w:rsidR="005D3CCC" w:rsidRPr="0032048B">
        <w:rPr>
          <w:sz w:val="24"/>
          <w:szCs w:val="24"/>
          <w:lang w:val="sq-AL"/>
        </w:rPr>
        <w:t>ë</w:t>
      </w:r>
      <w:r w:rsidRPr="0032048B">
        <w:rPr>
          <w:sz w:val="24"/>
          <w:szCs w:val="24"/>
          <w:lang w:val="sq-AL"/>
        </w:rPr>
        <w:t xml:space="preserve"> dh</w:t>
      </w:r>
      <w:r w:rsidR="005D3CCC" w:rsidRPr="0032048B">
        <w:rPr>
          <w:sz w:val="24"/>
          <w:szCs w:val="24"/>
          <w:lang w:val="sq-AL"/>
        </w:rPr>
        <w:t>ë</w:t>
      </w:r>
      <w:r w:rsidRPr="0032048B">
        <w:rPr>
          <w:sz w:val="24"/>
          <w:szCs w:val="24"/>
          <w:lang w:val="sq-AL"/>
        </w:rPr>
        <w:t>na për vendosjen</w:t>
      </w:r>
      <w:r w:rsidR="004D53EC">
        <w:rPr>
          <w:sz w:val="24"/>
          <w:szCs w:val="24"/>
          <w:lang w:val="sq-AL"/>
        </w:rPr>
        <w:t xml:space="preserve"> </w:t>
      </w:r>
      <w:r w:rsidRPr="0032048B">
        <w:rPr>
          <w:sz w:val="24"/>
          <w:szCs w:val="24"/>
          <w:lang w:val="sq-AL"/>
        </w:rPr>
        <w:t>e gjobave financiare. Duhet të forcohet monitorimi sistematik dhe raportimi transparent i çështjeve gjyqësore që përfshijnë gazetarët dhe profesionistët e mediave. Përdorimi i forcës nga autoritetet e zbatimit të ligjit, veçanërisht nga fundi i demonstratave, vazhdon të jetë një burim shqetësimi.</w:t>
      </w:r>
    </w:p>
    <w:p w14:paraId="5D561CF5" w14:textId="77777777" w:rsidR="00380775" w:rsidRPr="0032048B" w:rsidRDefault="00380775" w:rsidP="00361D5A">
      <w:pPr>
        <w:tabs>
          <w:tab w:val="left" w:pos="1134"/>
        </w:tabs>
        <w:spacing w:before="120"/>
        <w:ind w:left="993" w:right="1067"/>
        <w:jc w:val="both"/>
        <w:rPr>
          <w:sz w:val="24"/>
          <w:szCs w:val="24"/>
          <w:u w:val="single"/>
          <w:lang w:val="sq-AL"/>
        </w:rPr>
      </w:pPr>
      <w:r w:rsidRPr="0032048B">
        <w:rPr>
          <w:sz w:val="24"/>
          <w:szCs w:val="24"/>
          <w:u w:val="single"/>
          <w:lang w:val="sq-AL"/>
        </w:rPr>
        <w:t>Mjedisi legjislativ</w:t>
      </w:r>
    </w:p>
    <w:p w14:paraId="4BA1DD83" w14:textId="1AC9867B" w:rsidR="00380775" w:rsidRPr="0032048B" w:rsidRDefault="00380775" w:rsidP="00361D5A">
      <w:pPr>
        <w:tabs>
          <w:tab w:val="left" w:pos="1134"/>
          <w:tab w:val="left" w:pos="9360"/>
        </w:tabs>
        <w:spacing w:before="120"/>
        <w:ind w:left="993" w:right="1067"/>
        <w:jc w:val="both"/>
        <w:rPr>
          <w:sz w:val="24"/>
          <w:szCs w:val="24"/>
          <w:lang w:val="sq-AL"/>
        </w:rPr>
      </w:pPr>
      <w:r w:rsidRPr="0032048B">
        <w:rPr>
          <w:sz w:val="24"/>
          <w:szCs w:val="24"/>
          <w:lang w:val="sq-AL"/>
        </w:rPr>
        <w:t>E drejta kushtetuese e lirisë s</w:t>
      </w:r>
      <w:r w:rsidR="005D3CCC" w:rsidRPr="0032048B">
        <w:rPr>
          <w:sz w:val="24"/>
          <w:szCs w:val="24"/>
          <w:lang w:val="sq-AL"/>
        </w:rPr>
        <w:t>ë</w:t>
      </w:r>
      <w:r w:rsidRPr="0032048B">
        <w:rPr>
          <w:sz w:val="24"/>
          <w:szCs w:val="24"/>
          <w:lang w:val="sq-AL"/>
        </w:rPr>
        <w:t xml:space="preserve"> shprehjes përgjithësisht vazhdoi të respektohet. Megjithat</w:t>
      </w:r>
      <w:r w:rsidR="005D3CCC" w:rsidRPr="0032048B">
        <w:rPr>
          <w:sz w:val="24"/>
          <w:szCs w:val="24"/>
          <w:lang w:val="sq-AL"/>
        </w:rPr>
        <w:t>ë</w:t>
      </w:r>
      <w:r w:rsidRPr="0032048B">
        <w:rPr>
          <w:sz w:val="24"/>
          <w:szCs w:val="24"/>
          <w:lang w:val="sq-AL"/>
        </w:rPr>
        <w:t>, shpifja mbetet një mbetet vep</w:t>
      </w:r>
      <w:r w:rsidR="005D3CCC" w:rsidRPr="0032048B">
        <w:rPr>
          <w:sz w:val="24"/>
          <w:szCs w:val="24"/>
          <w:lang w:val="sq-AL"/>
        </w:rPr>
        <w:t>ë</w:t>
      </w:r>
      <w:r w:rsidRPr="0032048B">
        <w:rPr>
          <w:sz w:val="24"/>
          <w:szCs w:val="24"/>
          <w:lang w:val="sq-AL"/>
        </w:rPr>
        <w:t>r penale q</w:t>
      </w:r>
      <w:r w:rsidR="005D3CCC" w:rsidRPr="0032048B">
        <w:rPr>
          <w:sz w:val="24"/>
          <w:szCs w:val="24"/>
          <w:lang w:val="sq-AL"/>
        </w:rPr>
        <w:t>ë</w:t>
      </w:r>
      <w:r w:rsidRPr="0032048B">
        <w:rPr>
          <w:sz w:val="24"/>
          <w:szCs w:val="24"/>
          <w:lang w:val="sq-AL"/>
        </w:rPr>
        <w:t xml:space="preserve"> d</w:t>
      </w:r>
      <w:r w:rsidR="005D3CCC" w:rsidRPr="0032048B">
        <w:rPr>
          <w:sz w:val="24"/>
          <w:szCs w:val="24"/>
          <w:lang w:val="sq-AL"/>
        </w:rPr>
        <w:t>ë</w:t>
      </w:r>
      <w:r w:rsidRPr="0032048B">
        <w:rPr>
          <w:sz w:val="24"/>
          <w:szCs w:val="24"/>
          <w:lang w:val="sq-AL"/>
        </w:rPr>
        <w:t>nohet me gjoba n</w:t>
      </w:r>
      <w:r w:rsidR="005D3CCC" w:rsidRPr="0032048B">
        <w:rPr>
          <w:sz w:val="24"/>
          <w:szCs w:val="24"/>
          <w:lang w:val="sq-AL"/>
        </w:rPr>
        <w:t>ë</w:t>
      </w:r>
      <w:r w:rsidRPr="0032048B">
        <w:rPr>
          <w:sz w:val="24"/>
          <w:szCs w:val="24"/>
          <w:lang w:val="sq-AL"/>
        </w:rPr>
        <w:t xml:space="preserve"> shuma </w:t>
      </w:r>
      <w:r w:rsidR="00E247EA" w:rsidRPr="0032048B">
        <w:rPr>
          <w:sz w:val="24"/>
          <w:szCs w:val="24"/>
          <w:lang w:val="sq-AL"/>
        </w:rPr>
        <w:t>veçanërisht</w:t>
      </w:r>
      <w:r w:rsidRPr="0032048B">
        <w:rPr>
          <w:sz w:val="24"/>
          <w:szCs w:val="24"/>
          <w:lang w:val="sq-AL"/>
        </w:rPr>
        <w:t xml:space="preserve"> t</w:t>
      </w:r>
      <w:r w:rsidR="005D3CCC" w:rsidRPr="0032048B">
        <w:rPr>
          <w:sz w:val="24"/>
          <w:szCs w:val="24"/>
          <w:lang w:val="sq-AL"/>
        </w:rPr>
        <w:t>ë</w:t>
      </w:r>
      <w:r w:rsidRPr="0032048B">
        <w:rPr>
          <w:sz w:val="24"/>
          <w:szCs w:val="24"/>
          <w:lang w:val="sq-AL"/>
        </w:rPr>
        <w:t xml:space="preserve"> larta. Dispozitat e Kodit Penal për Fyerjen dhe Shpifjen duhet të shfuqizohen ose të përputhen plotësisht me standardet evropiane. Dispozitat e së drejtës civile për botimin e mashtrimeve dhe informacionit të pasaktë duhet të përputhen me standardet evropiane mbi lirinë e shprehjes dhe lirinë e mediave.</w:t>
      </w:r>
    </w:p>
    <w:p w14:paraId="1BBBC3C2" w14:textId="16BABE37" w:rsidR="00380775" w:rsidRPr="0032048B" w:rsidRDefault="00380775" w:rsidP="00361D5A">
      <w:pPr>
        <w:tabs>
          <w:tab w:val="left" w:pos="1134"/>
          <w:tab w:val="left" w:pos="9360"/>
        </w:tabs>
        <w:spacing w:before="120"/>
        <w:ind w:left="993" w:right="1067"/>
        <w:jc w:val="both"/>
        <w:rPr>
          <w:sz w:val="24"/>
          <w:szCs w:val="24"/>
          <w:lang w:val="sq-AL"/>
        </w:rPr>
      </w:pPr>
      <w:r w:rsidRPr="0032048B">
        <w:rPr>
          <w:sz w:val="24"/>
          <w:szCs w:val="24"/>
          <w:lang w:val="sq-AL"/>
        </w:rPr>
        <w:t xml:space="preserve">Gjatë periudhës së raportimit, Autoriteti i Medias </w:t>
      </w:r>
      <w:proofErr w:type="spellStart"/>
      <w:r w:rsidRPr="0032048B">
        <w:rPr>
          <w:sz w:val="24"/>
          <w:szCs w:val="24"/>
          <w:lang w:val="sq-AL"/>
        </w:rPr>
        <w:t>Audiovizuale</w:t>
      </w:r>
      <w:proofErr w:type="spellEnd"/>
      <w:r w:rsidRPr="0032048B">
        <w:rPr>
          <w:sz w:val="24"/>
          <w:szCs w:val="24"/>
          <w:lang w:val="sq-AL"/>
        </w:rPr>
        <w:t xml:space="preserve"> miratoi Kodin e rishikuar të Transmetimit </w:t>
      </w:r>
      <w:proofErr w:type="spellStart"/>
      <w:r w:rsidRPr="0032048B">
        <w:rPr>
          <w:sz w:val="24"/>
          <w:szCs w:val="24"/>
          <w:lang w:val="sq-AL"/>
        </w:rPr>
        <w:t>Audiovizual</w:t>
      </w:r>
      <w:proofErr w:type="spellEnd"/>
      <w:r w:rsidRPr="0032048B">
        <w:rPr>
          <w:sz w:val="24"/>
          <w:szCs w:val="24"/>
          <w:lang w:val="sq-AL"/>
        </w:rPr>
        <w:t xml:space="preserve">, i cili përcakton parimet, rregullat, kërkesat dhe praktikat e transmetimit audio dhe </w:t>
      </w:r>
      <w:proofErr w:type="spellStart"/>
      <w:r w:rsidRPr="0032048B">
        <w:rPr>
          <w:sz w:val="24"/>
          <w:szCs w:val="24"/>
          <w:lang w:val="sq-AL"/>
        </w:rPr>
        <w:t>audioviziv</w:t>
      </w:r>
      <w:proofErr w:type="spellEnd"/>
      <w:r w:rsidRPr="0032048B">
        <w:rPr>
          <w:sz w:val="24"/>
          <w:szCs w:val="24"/>
          <w:lang w:val="sq-AL"/>
        </w:rPr>
        <w:t>, pas konsultimit me shoqërinë civile dhe organizatat e mediave. Kodi synon të përmirësojë zbatimin e së drejtës për barazinë gjinore, t</w:t>
      </w:r>
      <w:r w:rsidR="005D3CCC" w:rsidRPr="0032048B">
        <w:rPr>
          <w:sz w:val="24"/>
          <w:szCs w:val="24"/>
          <w:lang w:val="sq-AL"/>
        </w:rPr>
        <w:t>ë</w:t>
      </w:r>
      <w:r w:rsidRPr="0032048B">
        <w:rPr>
          <w:sz w:val="24"/>
          <w:szCs w:val="24"/>
          <w:lang w:val="sq-AL"/>
        </w:rPr>
        <w:t xml:space="preserve"> kontrolloj</w:t>
      </w:r>
      <w:r w:rsidR="005D3CCC" w:rsidRPr="0032048B">
        <w:rPr>
          <w:sz w:val="24"/>
          <w:szCs w:val="24"/>
          <w:lang w:val="sq-AL"/>
        </w:rPr>
        <w:t>ë</w:t>
      </w:r>
      <w:r w:rsidRPr="0032048B">
        <w:rPr>
          <w:sz w:val="24"/>
          <w:szCs w:val="24"/>
          <w:lang w:val="sq-AL"/>
        </w:rPr>
        <w:t xml:space="preserve"> gjuh</w:t>
      </w:r>
      <w:r w:rsidR="005D3CCC" w:rsidRPr="0032048B">
        <w:rPr>
          <w:sz w:val="24"/>
          <w:szCs w:val="24"/>
          <w:lang w:val="sq-AL"/>
        </w:rPr>
        <w:t>ë</w:t>
      </w:r>
      <w:r w:rsidRPr="0032048B">
        <w:rPr>
          <w:sz w:val="24"/>
          <w:szCs w:val="24"/>
          <w:lang w:val="sq-AL"/>
        </w:rPr>
        <w:t xml:space="preserve">n e </w:t>
      </w:r>
      <w:r w:rsidR="005D3CCC" w:rsidRPr="0032048B">
        <w:rPr>
          <w:sz w:val="24"/>
          <w:szCs w:val="24"/>
          <w:lang w:val="sq-AL"/>
        </w:rPr>
        <w:t>urrejtjes</w:t>
      </w:r>
      <w:r w:rsidRPr="0032048B">
        <w:rPr>
          <w:sz w:val="24"/>
          <w:szCs w:val="24"/>
          <w:lang w:val="sq-AL"/>
        </w:rPr>
        <w:t xml:space="preserve"> dhe t</w:t>
      </w:r>
      <w:r w:rsidR="005D3CCC" w:rsidRPr="0032048B">
        <w:rPr>
          <w:sz w:val="24"/>
          <w:szCs w:val="24"/>
          <w:lang w:val="sq-AL"/>
        </w:rPr>
        <w:t>ë</w:t>
      </w:r>
      <w:r w:rsidRPr="0032048B">
        <w:rPr>
          <w:sz w:val="24"/>
          <w:szCs w:val="24"/>
          <w:lang w:val="sq-AL"/>
        </w:rPr>
        <w:t xml:space="preserve"> trajtoj</w:t>
      </w:r>
      <w:r w:rsidR="005D3CCC" w:rsidRPr="0032048B">
        <w:rPr>
          <w:sz w:val="24"/>
          <w:szCs w:val="24"/>
          <w:lang w:val="sq-AL"/>
        </w:rPr>
        <w:t>ë</w:t>
      </w:r>
      <w:r w:rsidRPr="0032048B">
        <w:rPr>
          <w:sz w:val="24"/>
          <w:szCs w:val="24"/>
          <w:lang w:val="sq-AL"/>
        </w:rPr>
        <w:t xml:space="preserve"> </w:t>
      </w:r>
      <w:r w:rsidR="005D3CCC" w:rsidRPr="0032048B">
        <w:rPr>
          <w:sz w:val="24"/>
          <w:szCs w:val="24"/>
          <w:lang w:val="sq-AL"/>
        </w:rPr>
        <w:t>çështjen</w:t>
      </w:r>
      <w:r w:rsidRPr="0032048B">
        <w:rPr>
          <w:sz w:val="24"/>
          <w:szCs w:val="24"/>
          <w:lang w:val="sq-AL"/>
        </w:rPr>
        <w:t xml:space="preserve"> e </w:t>
      </w:r>
      <w:proofErr w:type="spellStart"/>
      <w:r w:rsidRPr="0032048B">
        <w:rPr>
          <w:sz w:val="24"/>
          <w:szCs w:val="24"/>
          <w:lang w:val="sq-AL"/>
        </w:rPr>
        <w:t>dezinformimit</w:t>
      </w:r>
      <w:proofErr w:type="spellEnd"/>
      <w:r w:rsidRPr="0032048B">
        <w:rPr>
          <w:sz w:val="24"/>
          <w:szCs w:val="24"/>
          <w:lang w:val="sq-AL"/>
        </w:rPr>
        <w:t>.</w:t>
      </w:r>
    </w:p>
    <w:p w14:paraId="0D51A2CD" w14:textId="6056CAD8" w:rsidR="00380775" w:rsidRPr="0032048B" w:rsidRDefault="00380775" w:rsidP="00361D5A">
      <w:pPr>
        <w:tabs>
          <w:tab w:val="left" w:pos="1134"/>
          <w:tab w:val="left" w:pos="9360"/>
        </w:tabs>
        <w:spacing w:before="120"/>
        <w:ind w:left="993" w:right="1067"/>
        <w:jc w:val="both"/>
        <w:rPr>
          <w:i/>
          <w:iCs/>
          <w:sz w:val="24"/>
          <w:szCs w:val="24"/>
          <w:lang w:val="sq-AL"/>
        </w:rPr>
      </w:pPr>
      <w:r w:rsidRPr="0032048B">
        <w:rPr>
          <w:sz w:val="24"/>
          <w:szCs w:val="24"/>
          <w:lang w:val="sq-AL"/>
        </w:rPr>
        <w:t xml:space="preserve">Në prill 2023, pas konsultimit publik me aktorët e mediave, Parlamenti miratoi ndryshime të kufizuara në ligjin e mediave </w:t>
      </w:r>
      <w:proofErr w:type="spellStart"/>
      <w:r w:rsidRPr="0032048B">
        <w:rPr>
          <w:sz w:val="24"/>
          <w:szCs w:val="24"/>
          <w:lang w:val="sq-AL"/>
        </w:rPr>
        <w:t>audiovizuale</w:t>
      </w:r>
      <w:proofErr w:type="spellEnd"/>
      <w:r w:rsidRPr="0032048B">
        <w:rPr>
          <w:sz w:val="24"/>
          <w:szCs w:val="24"/>
          <w:lang w:val="sq-AL"/>
        </w:rPr>
        <w:t xml:space="preserve"> të vitit 2013, me q</w:t>
      </w:r>
      <w:r w:rsidR="005D3CCC" w:rsidRPr="0032048B">
        <w:rPr>
          <w:sz w:val="24"/>
          <w:szCs w:val="24"/>
          <w:lang w:val="sq-AL"/>
        </w:rPr>
        <w:t>ë</w:t>
      </w:r>
      <w:r w:rsidRPr="0032048B">
        <w:rPr>
          <w:sz w:val="24"/>
          <w:szCs w:val="24"/>
          <w:lang w:val="sq-AL"/>
        </w:rPr>
        <w:t xml:space="preserve">llim </w:t>
      </w:r>
      <w:proofErr w:type="spellStart"/>
      <w:r w:rsidRPr="0032048B">
        <w:rPr>
          <w:sz w:val="24"/>
          <w:szCs w:val="24"/>
          <w:lang w:val="sq-AL"/>
        </w:rPr>
        <w:t>transpozimin</w:t>
      </w:r>
      <w:proofErr w:type="spellEnd"/>
      <w:r w:rsidRPr="0032048B">
        <w:rPr>
          <w:sz w:val="24"/>
          <w:szCs w:val="24"/>
          <w:lang w:val="sq-AL"/>
        </w:rPr>
        <w:t xml:space="preserve"> e aspekteve kryesore të Direktivës së Shërbimeve të Mediave </w:t>
      </w:r>
      <w:proofErr w:type="spellStart"/>
      <w:r w:rsidRPr="0032048B">
        <w:rPr>
          <w:sz w:val="24"/>
          <w:szCs w:val="24"/>
          <w:lang w:val="sq-AL"/>
        </w:rPr>
        <w:t>Audiovizuale</w:t>
      </w:r>
      <w:proofErr w:type="spellEnd"/>
      <w:r w:rsidRPr="0032048B">
        <w:rPr>
          <w:sz w:val="24"/>
          <w:szCs w:val="24"/>
          <w:lang w:val="sq-AL"/>
        </w:rPr>
        <w:t xml:space="preserve"> 2018 </w:t>
      </w:r>
      <w:r w:rsidRPr="0032048B">
        <w:rPr>
          <w:i/>
          <w:iCs/>
          <w:sz w:val="24"/>
          <w:szCs w:val="24"/>
          <w:lang w:val="sq-AL"/>
        </w:rPr>
        <w:t>(shiko gjithashtu Kapitullin 10 - Transformimi Digjital dhe Media).</w:t>
      </w:r>
    </w:p>
    <w:p w14:paraId="0FDF443A" w14:textId="77777777" w:rsidR="00380775" w:rsidRPr="0032048B" w:rsidRDefault="00380775" w:rsidP="00361D5A">
      <w:pPr>
        <w:tabs>
          <w:tab w:val="left" w:pos="1134"/>
          <w:tab w:val="left" w:pos="9360"/>
        </w:tabs>
        <w:spacing w:before="120"/>
        <w:ind w:left="993" w:right="1067"/>
        <w:jc w:val="both"/>
        <w:rPr>
          <w:sz w:val="24"/>
          <w:szCs w:val="24"/>
          <w:lang w:val="sq-AL"/>
        </w:rPr>
      </w:pPr>
      <w:r w:rsidRPr="0032048B">
        <w:rPr>
          <w:sz w:val="24"/>
          <w:szCs w:val="24"/>
          <w:lang w:val="sq-AL"/>
        </w:rPr>
        <w:t xml:space="preserve">Në nëntor 2022, paketa ligjore </w:t>
      </w:r>
      <w:proofErr w:type="spellStart"/>
      <w:r w:rsidRPr="0032048B">
        <w:rPr>
          <w:sz w:val="24"/>
          <w:szCs w:val="24"/>
          <w:lang w:val="sq-AL"/>
        </w:rPr>
        <w:t>anti</w:t>
      </w:r>
      <w:proofErr w:type="spellEnd"/>
      <w:r w:rsidRPr="0032048B">
        <w:rPr>
          <w:sz w:val="24"/>
          <w:szCs w:val="24"/>
          <w:lang w:val="sq-AL"/>
        </w:rPr>
        <w:t>-shpifje u hoq nga agjenda e Parlamentit.</w:t>
      </w:r>
    </w:p>
    <w:p w14:paraId="03492FED" w14:textId="5983F1CB" w:rsidR="00380775" w:rsidRPr="0032048B" w:rsidRDefault="00380775" w:rsidP="00361D5A">
      <w:pPr>
        <w:tabs>
          <w:tab w:val="left" w:pos="1134"/>
          <w:tab w:val="left" w:pos="9360"/>
        </w:tabs>
        <w:spacing w:before="120"/>
        <w:ind w:left="993" w:right="1067"/>
        <w:jc w:val="both"/>
        <w:rPr>
          <w:sz w:val="24"/>
          <w:szCs w:val="24"/>
          <w:lang w:val="sq-AL"/>
        </w:rPr>
      </w:pPr>
      <w:r w:rsidRPr="0032048B">
        <w:rPr>
          <w:sz w:val="24"/>
          <w:szCs w:val="24"/>
          <w:lang w:val="sq-AL"/>
        </w:rPr>
        <w:t>Ekziston nevoja për një vlerësim t</w:t>
      </w:r>
      <w:r w:rsidR="005D3CCC" w:rsidRPr="0032048B">
        <w:rPr>
          <w:sz w:val="24"/>
          <w:szCs w:val="24"/>
          <w:lang w:val="sq-AL"/>
        </w:rPr>
        <w:t>ë</w:t>
      </w:r>
      <w:r w:rsidRPr="0032048B">
        <w:rPr>
          <w:sz w:val="24"/>
          <w:szCs w:val="24"/>
          <w:lang w:val="sq-AL"/>
        </w:rPr>
        <w:t xml:space="preserve"> plot</w:t>
      </w:r>
      <w:r w:rsidR="005D3CCC" w:rsidRPr="0032048B">
        <w:rPr>
          <w:sz w:val="24"/>
          <w:szCs w:val="24"/>
          <w:lang w:val="sq-AL"/>
        </w:rPr>
        <w:t>ë</w:t>
      </w:r>
      <w:r w:rsidRPr="0032048B">
        <w:rPr>
          <w:sz w:val="24"/>
          <w:szCs w:val="24"/>
          <w:lang w:val="sq-AL"/>
        </w:rPr>
        <w:t xml:space="preserve"> të kuadrit ligjor dhe rregullator n</w:t>
      </w:r>
      <w:r w:rsidR="005D3CCC" w:rsidRPr="0032048B">
        <w:rPr>
          <w:sz w:val="24"/>
          <w:szCs w:val="24"/>
          <w:lang w:val="sq-AL"/>
        </w:rPr>
        <w:t>ë</w:t>
      </w:r>
      <w:r w:rsidRPr="0032048B">
        <w:rPr>
          <w:sz w:val="24"/>
          <w:szCs w:val="24"/>
          <w:lang w:val="sq-AL"/>
        </w:rPr>
        <w:t xml:space="preserve"> lidhje me sfidat kryesore që pengojnë pavarësinë e mediave, në veçanti përqendrimin e pronësisë së mediave dhe transparencën e burimeve të financimit dhe interesave ekonomike, përfshirë fondet publike. </w:t>
      </w:r>
      <w:r w:rsidR="005D3CCC" w:rsidRPr="0032048B">
        <w:rPr>
          <w:sz w:val="24"/>
          <w:szCs w:val="24"/>
          <w:lang w:val="sq-AL"/>
        </w:rPr>
        <w:t>Ë</w:t>
      </w:r>
      <w:r w:rsidRPr="0032048B">
        <w:rPr>
          <w:sz w:val="24"/>
          <w:szCs w:val="24"/>
          <w:lang w:val="sq-AL"/>
        </w:rPr>
        <w:t>shtë thelbësore që çdo ndryshim në kuadrin ligjor të jetë në përputhje me standardet evropiane, përfshirë mendimet e Komisionit të Venecias, dhe t’i nënshtrohet konsultimeve të gjera me organizatat e mediave dhe shoqërinë civile.</w:t>
      </w:r>
    </w:p>
    <w:p w14:paraId="29C05C2F" w14:textId="77777777" w:rsidR="00380775" w:rsidRPr="0032048B" w:rsidRDefault="00380775" w:rsidP="00361D5A">
      <w:pPr>
        <w:tabs>
          <w:tab w:val="left" w:pos="1134"/>
          <w:tab w:val="left" w:pos="9360"/>
        </w:tabs>
        <w:spacing w:before="120"/>
        <w:ind w:left="993" w:right="1067"/>
        <w:jc w:val="both"/>
        <w:rPr>
          <w:sz w:val="24"/>
          <w:szCs w:val="24"/>
          <w:lang w:val="sq-AL"/>
        </w:rPr>
      </w:pPr>
      <w:r w:rsidRPr="0032048B">
        <w:rPr>
          <w:sz w:val="24"/>
          <w:szCs w:val="24"/>
          <w:u w:val="single"/>
          <w:lang w:val="sq-AL"/>
        </w:rPr>
        <w:t>Zbatimi i</w:t>
      </w:r>
      <w:r w:rsidRPr="0032048B">
        <w:rPr>
          <w:spacing w:val="-2"/>
          <w:sz w:val="24"/>
          <w:szCs w:val="24"/>
          <w:u w:val="single"/>
          <w:lang w:val="sq-AL"/>
        </w:rPr>
        <w:t xml:space="preserve"> legjislacionit/institucionet</w:t>
      </w:r>
    </w:p>
    <w:p w14:paraId="539D3CAF" w14:textId="491CA981" w:rsidR="00380775" w:rsidRPr="0032048B" w:rsidRDefault="00380775" w:rsidP="00361D5A">
      <w:pPr>
        <w:tabs>
          <w:tab w:val="left" w:pos="1134"/>
          <w:tab w:val="left" w:pos="9360"/>
        </w:tabs>
        <w:spacing w:before="119"/>
        <w:ind w:left="993" w:right="1067"/>
        <w:jc w:val="both"/>
        <w:rPr>
          <w:sz w:val="24"/>
          <w:szCs w:val="24"/>
          <w:lang w:val="sq-AL"/>
        </w:rPr>
      </w:pPr>
      <w:r w:rsidRPr="0032048B">
        <w:rPr>
          <w:sz w:val="24"/>
          <w:szCs w:val="24"/>
          <w:lang w:val="sq-AL"/>
        </w:rPr>
        <w:t>Garantimi i qasjes së drejtpërdrejtë dhe transparente të mediave në institucionet qeveritare dhe aktivitetet e tyre si dhe n</w:t>
      </w:r>
      <w:r w:rsidR="005D3CCC" w:rsidRPr="0032048B">
        <w:rPr>
          <w:sz w:val="24"/>
          <w:szCs w:val="24"/>
          <w:lang w:val="sq-AL"/>
        </w:rPr>
        <w:t>ë</w:t>
      </w:r>
      <w:r w:rsidRPr="0032048B">
        <w:rPr>
          <w:sz w:val="24"/>
          <w:szCs w:val="24"/>
          <w:lang w:val="sq-AL"/>
        </w:rPr>
        <w:t xml:space="preserve"> informacione faktike dhe objektive mbet</w:t>
      </w:r>
      <w:r w:rsidR="005D3CCC" w:rsidRPr="0032048B">
        <w:rPr>
          <w:sz w:val="24"/>
          <w:szCs w:val="24"/>
          <w:lang w:val="sq-AL"/>
        </w:rPr>
        <w:t>ë</w:t>
      </w:r>
      <w:r w:rsidRPr="0032048B">
        <w:rPr>
          <w:sz w:val="24"/>
          <w:szCs w:val="24"/>
          <w:lang w:val="sq-AL"/>
        </w:rPr>
        <w:t>t nj</w:t>
      </w:r>
      <w:r w:rsidR="005D3CCC" w:rsidRPr="0032048B">
        <w:rPr>
          <w:sz w:val="24"/>
          <w:szCs w:val="24"/>
          <w:lang w:val="sq-AL"/>
        </w:rPr>
        <w:t>ë</w:t>
      </w:r>
      <w:r w:rsidRPr="0032048B">
        <w:rPr>
          <w:sz w:val="24"/>
          <w:szCs w:val="24"/>
          <w:lang w:val="sq-AL"/>
        </w:rPr>
        <w:t xml:space="preserve"> </w:t>
      </w:r>
      <w:proofErr w:type="spellStart"/>
      <w:r w:rsidRPr="0032048B">
        <w:rPr>
          <w:sz w:val="24"/>
          <w:szCs w:val="24"/>
          <w:lang w:val="sq-AL"/>
        </w:rPr>
        <w:t>c</w:t>
      </w:r>
      <w:r w:rsidR="005D3CCC" w:rsidRPr="0032048B">
        <w:rPr>
          <w:sz w:val="24"/>
          <w:szCs w:val="24"/>
          <w:lang w:val="sq-AL"/>
        </w:rPr>
        <w:t>ë</w:t>
      </w:r>
      <w:r w:rsidRPr="0032048B">
        <w:rPr>
          <w:sz w:val="24"/>
          <w:szCs w:val="24"/>
          <w:lang w:val="sq-AL"/>
        </w:rPr>
        <w:t>shtje</w:t>
      </w:r>
      <w:proofErr w:type="spellEnd"/>
      <w:r w:rsidRPr="0032048B">
        <w:rPr>
          <w:sz w:val="24"/>
          <w:szCs w:val="24"/>
          <w:lang w:val="sq-AL"/>
        </w:rPr>
        <w:t xml:space="preserve"> e r</w:t>
      </w:r>
      <w:r w:rsidR="005D3CCC" w:rsidRPr="0032048B">
        <w:rPr>
          <w:sz w:val="24"/>
          <w:szCs w:val="24"/>
          <w:lang w:val="sq-AL"/>
        </w:rPr>
        <w:t>ë</w:t>
      </w:r>
      <w:r w:rsidRPr="0032048B">
        <w:rPr>
          <w:sz w:val="24"/>
          <w:szCs w:val="24"/>
          <w:lang w:val="sq-AL"/>
        </w:rPr>
        <w:t>nd</w:t>
      </w:r>
      <w:r w:rsidR="005D3CCC" w:rsidRPr="0032048B">
        <w:rPr>
          <w:sz w:val="24"/>
          <w:szCs w:val="24"/>
          <w:lang w:val="sq-AL"/>
        </w:rPr>
        <w:t>ë</w:t>
      </w:r>
      <w:r w:rsidRPr="0032048B">
        <w:rPr>
          <w:sz w:val="24"/>
          <w:szCs w:val="24"/>
          <w:lang w:val="sq-AL"/>
        </w:rPr>
        <w:t>sishme. Praktika e institucioneve, zyrtarëve publik dhe partive politike p</w:t>
      </w:r>
      <w:r w:rsidR="005D3CCC" w:rsidRPr="0032048B">
        <w:rPr>
          <w:sz w:val="24"/>
          <w:szCs w:val="24"/>
          <w:lang w:val="sq-AL"/>
        </w:rPr>
        <w:t>ë</w:t>
      </w:r>
      <w:r w:rsidRPr="0032048B">
        <w:rPr>
          <w:sz w:val="24"/>
          <w:szCs w:val="24"/>
          <w:lang w:val="sq-AL"/>
        </w:rPr>
        <w:t>r t</w:t>
      </w:r>
      <w:r w:rsidR="005D3CCC" w:rsidRPr="0032048B">
        <w:rPr>
          <w:sz w:val="24"/>
          <w:szCs w:val="24"/>
          <w:lang w:val="sq-AL"/>
        </w:rPr>
        <w:t>ë</w:t>
      </w:r>
      <w:r w:rsidRPr="0032048B">
        <w:rPr>
          <w:sz w:val="24"/>
          <w:szCs w:val="24"/>
          <w:lang w:val="sq-AL"/>
        </w:rPr>
        <w:t xml:space="preserve"> shp</w:t>
      </w:r>
      <w:r w:rsidR="005D3CCC" w:rsidRPr="0032048B">
        <w:rPr>
          <w:sz w:val="24"/>
          <w:szCs w:val="24"/>
          <w:lang w:val="sq-AL"/>
        </w:rPr>
        <w:t>ë</w:t>
      </w:r>
      <w:r w:rsidRPr="0032048B">
        <w:rPr>
          <w:sz w:val="24"/>
          <w:szCs w:val="24"/>
          <w:lang w:val="sq-AL"/>
        </w:rPr>
        <w:t>rndat</w:t>
      </w:r>
      <w:r w:rsidR="005D3CCC" w:rsidRPr="0032048B">
        <w:rPr>
          <w:sz w:val="24"/>
          <w:szCs w:val="24"/>
          <w:lang w:val="sq-AL"/>
        </w:rPr>
        <w:t>ë</w:t>
      </w:r>
      <w:r w:rsidRPr="0032048B">
        <w:rPr>
          <w:sz w:val="24"/>
          <w:szCs w:val="24"/>
          <w:lang w:val="sq-AL"/>
        </w:rPr>
        <w:t xml:space="preserve"> materiale t</w:t>
      </w:r>
      <w:r w:rsidR="005D3CCC" w:rsidRPr="0032048B">
        <w:rPr>
          <w:sz w:val="24"/>
          <w:szCs w:val="24"/>
          <w:lang w:val="sq-AL"/>
        </w:rPr>
        <w:t>ë</w:t>
      </w:r>
      <w:r w:rsidRPr="0032048B">
        <w:rPr>
          <w:sz w:val="24"/>
          <w:szCs w:val="24"/>
          <w:lang w:val="sq-AL"/>
        </w:rPr>
        <w:t xml:space="preserve"> gatshme audio, video dhe tekst në media, veçanërisht në kontekstin e zgjedhjeve, </w:t>
      </w:r>
      <w:r w:rsidRPr="0032048B">
        <w:rPr>
          <w:sz w:val="24"/>
          <w:szCs w:val="24"/>
          <w:lang w:val="sq-AL"/>
        </w:rPr>
        <w:lastRenderedPageBreak/>
        <w:t>mbetet një fushë shqetësimi që duhet të trajtohet.</w:t>
      </w:r>
    </w:p>
    <w:p w14:paraId="522DEC9A" w14:textId="6BF1E577" w:rsidR="00380775" w:rsidRPr="0032048B" w:rsidRDefault="00380775" w:rsidP="00361D5A">
      <w:pPr>
        <w:tabs>
          <w:tab w:val="left" w:pos="1134"/>
          <w:tab w:val="left" w:pos="9360"/>
        </w:tabs>
        <w:spacing w:before="119"/>
        <w:ind w:left="993" w:right="1067"/>
        <w:jc w:val="both"/>
        <w:rPr>
          <w:sz w:val="24"/>
          <w:szCs w:val="24"/>
          <w:lang w:val="sq-AL"/>
        </w:rPr>
      </w:pPr>
      <w:r w:rsidRPr="0032048B">
        <w:rPr>
          <w:sz w:val="24"/>
          <w:szCs w:val="24"/>
          <w:lang w:val="sq-AL"/>
        </w:rPr>
        <w:t>Organizatat ndërkombëtare t</w:t>
      </w:r>
      <w:r w:rsidR="005D3CCC" w:rsidRPr="0032048B">
        <w:rPr>
          <w:sz w:val="24"/>
          <w:szCs w:val="24"/>
          <w:lang w:val="sq-AL"/>
        </w:rPr>
        <w:t>ë</w:t>
      </w:r>
      <w:r w:rsidRPr="0032048B">
        <w:rPr>
          <w:sz w:val="24"/>
          <w:szCs w:val="24"/>
          <w:lang w:val="sq-AL"/>
        </w:rPr>
        <w:t xml:space="preserve"> lirisë së mediave dënuan vendimin e prokurorisë për të imponuar ndalimin </w:t>
      </w:r>
      <w:proofErr w:type="spellStart"/>
      <w:r w:rsidRPr="0032048B">
        <w:rPr>
          <w:i/>
          <w:iCs/>
          <w:sz w:val="24"/>
          <w:szCs w:val="24"/>
          <w:lang w:val="sq-AL"/>
        </w:rPr>
        <w:t>en</w:t>
      </w:r>
      <w:proofErr w:type="spellEnd"/>
      <w:r w:rsidRPr="0032048B">
        <w:rPr>
          <w:i/>
          <w:iCs/>
          <w:sz w:val="24"/>
          <w:szCs w:val="24"/>
          <w:lang w:val="sq-AL"/>
        </w:rPr>
        <w:t xml:space="preserve"> </w:t>
      </w:r>
      <w:proofErr w:type="spellStart"/>
      <w:r w:rsidRPr="0032048B">
        <w:rPr>
          <w:i/>
          <w:iCs/>
          <w:sz w:val="24"/>
          <w:szCs w:val="24"/>
          <w:lang w:val="sq-AL"/>
        </w:rPr>
        <w:t>bloc</w:t>
      </w:r>
      <w:proofErr w:type="spellEnd"/>
      <w:r w:rsidR="004D53EC">
        <w:rPr>
          <w:sz w:val="24"/>
          <w:szCs w:val="24"/>
          <w:lang w:val="sq-AL"/>
        </w:rPr>
        <w:t xml:space="preserve"> </w:t>
      </w:r>
      <w:r w:rsidRPr="0032048B">
        <w:rPr>
          <w:sz w:val="24"/>
          <w:szCs w:val="24"/>
          <w:lang w:val="sq-AL"/>
        </w:rPr>
        <w:t>t</w:t>
      </w:r>
      <w:r w:rsidR="005D3CCC" w:rsidRPr="0032048B">
        <w:rPr>
          <w:sz w:val="24"/>
          <w:szCs w:val="24"/>
          <w:lang w:val="sq-AL"/>
        </w:rPr>
        <w:t>ë</w:t>
      </w:r>
      <w:r w:rsidRPr="0032048B">
        <w:rPr>
          <w:sz w:val="24"/>
          <w:szCs w:val="24"/>
          <w:lang w:val="sq-AL"/>
        </w:rPr>
        <w:t xml:space="preserve"> informacionit në media p</w:t>
      </w:r>
      <w:r w:rsidR="005D3CCC" w:rsidRPr="0032048B">
        <w:rPr>
          <w:sz w:val="24"/>
          <w:szCs w:val="24"/>
          <w:lang w:val="sq-AL"/>
        </w:rPr>
        <w:t>ë</w:t>
      </w:r>
      <w:r w:rsidRPr="0032048B">
        <w:rPr>
          <w:sz w:val="24"/>
          <w:szCs w:val="24"/>
          <w:lang w:val="sq-AL"/>
        </w:rPr>
        <w:t>r sulmet kibernetike mbi sistemin elektronik të qeverisjes n</w:t>
      </w:r>
      <w:r w:rsidR="005D3CCC" w:rsidRPr="0032048B">
        <w:rPr>
          <w:sz w:val="24"/>
          <w:szCs w:val="24"/>
          <w:lang w:val="sq-AL"/>
        </w:rPr>
        <w:t>ë</w:t>
      </w:r>
      <w:r w:rsidRPr="0032048B">
        <w:rPr>
          <w:sz w:val="24"/>
          <w:szCs w:val="24"/>
          <w:lang w:val="sq-AL"/>
        </w:rPr>
        <w:t xml:space="preserve"> Shqipërisë, si nj</w:t>
      </w:r>
      <w:r w:rsidR="005D3CCC" w:rsidRPr="0032048B">
        <w:rPr>
          <w:sz w:val="24"/>
          <w:szCs w:val="24"/>
          <w:lang w:val="sq-AL"/>
        </w:rPr>
        <w:t>ë</w:t>
      </w:r>
      <w:r w:rsidRPr="0032048B">
        <w:rPr>
          <w:sz w:val="24"/>
          <w:szCs w:val="24"/>
          <w:lang w:val="sq-AL"/>
        </w:rPr>
        <w:t xml:space="preserve"> shkelje e mundshme e lirisë së mediave për të botuar materiale me interes publik. Shqipëria miratoi ndryshime në ligjin për të drejtën e informimit, duke përfshirë forcimin e përgjegjësisë për shkeljet e ligjit. Zbatimi i së drejtës p</w:t>
      </w:r>
      <w:r w:rsidR="005D3CCC" w:rsidRPr="0032048B">
        <w:rPr>
          <w:sz w:val="24"/>
          <w:szCs w:val="24"/>
          <w:lang w:val="sq-AL"/>
        </w:rPr>
        <w:t>ë</w:t>
      </w:r>
      <w:r w:rsidRPr="0032048B">
        <w:rPr>
          <w:sz w:val="24"/>
          <w:szCs w:val="24"/>
          <w:lang w:val="sq-AL"/>
        </w:rPr>
        <w:t>r informacion publik duhet të forcohet më tej.</w:t>
      </w:r>
    </w:p>
    <w:p w14:paraId="46DAA06B" w14:textId="296A01FB" w:rsidR="00380775" w:rsidRPr="0032048B" w:rsidRDefault="00380775" w:rsidP="00361D5A">
      <w:pPr>
        <w:tabs>
          <w:tab w:val="left" w:pos="1134"/>
          <w:tab w:val="left" w:pos="9360"/>
        </w:tabs>
        <w:spacing w:before="119"/>
        <w:ind w:left="993" w:right="1067"/>
        <w:jc w:val="both"/>
        <w:rPr>
          <w:sz w:val="24"/>
          <w:szCs w:val="24"/>
          <w:lang w:val="sq-AL"/>
        </w:rPr>
      </w:pPr>
      <w:r w:rsidRPr="0032048B">
        <w:rPr>
          <w:sz w:val="24"/>
          <w:szCs w:val="24"/>
          <w:lang w:val="sq-AL"/>
        </w:rPr>
        <w:t>Në dhjetor 2022, një agjenci qeveritare shembi hotelin e një biznesmeni dhe pronari të shquar të mediave, me pretendimin e shkeljes së legjislacionit p</w:t>
      </w:r>
      <w:r w:rsidR="005D3CCC" w:rsidRPr="0032048B">
        <w:rPr>
          <w:sz w:val="24"/>
          <w:szCs w:val="24"/>
          <w:lang w:val="sq-AL"/>
        </w:rPr>
        <w:t>ë</w:t>
      </w:r>
      <w:r w:rsidRPr="0032048B">
        <w:rPr>
          <w:sz w:val="24"/>
          <w:szCs w:val="24"/>
          <w:lang w:val="sq-AL"/>
        </w:rPr>
        <w:t>r ndërtimin, dhe pa pritur vendimin e gjykat</w:t>
      </w:r>
      <w:r w:rsidR="005D3CCC" w:rsidRPr="0032048B">
        <w:rPr>
          <w:sz w:val="24"/>
          <w:szCs w:val="24"/>
          <w:lang w:val="sq-AL"/>
        </w:rPr>
        <w:t>ë</w:t>
      </w:r>
      <w:r w:rsidRPr="0032048B">
        <w:rPr>
          <w:sz w:val="24"/>
          <w:szCs w:val="24"/>
          <w:lang w:val="sq-AL"/>
        </w:rPr>
        <w:t>s, gj</w:t>
      </w:r>
      <w:r w:rsidR="005D3CCC" w:rsidRPr="0032048B">
        <w:rPr>
          <w:sz w:val="24"/>
          <w:szCs w:val="24"/>
          <w:lang w:val="sq-AL"/>
        </w:rPr>
        <w:t>ë</w:t>
      </w:r>
      <w:r w:rsidRPr="0032048B">
        <w:rPr>
          <w:sz w:val="24"/>
          <w:szCs w:val="24"/>
          <w:lang w:val="sq-AL"/>
        </w:rPr>
        <w:t xml:space="preserve"> q</w:t>
      </w:r>
      <w:r w:rsidR="005D3CCC" w:rsidRPr="0032048B">
        <w:rPr>
          <w:sz w:val="24"/>
          <w:szCs w:val="24"/>
          <w:lang w:val="sq-AL"/>
        </w:rPr>
        <w:t>ë</w:t>
      </w:r>
      <w:r w:rsidRPr="0032048B">
        <w:rPr>
          <w:sz w:val="24"/>
          <w:szCs w:val="24"/>
          <w:lang w:val="sq-AL"/>
        </w:rPr>
        <w:t xml:space="preserve"> u b</w:t>
      </w:r>
      <w:r w:rsidR="005D3CCC" w:rsidRPr="0032048B">
        <w:rPr>
          <w:sz w:val="24"/>
          <w:szCs w:val="24"/>
          <w:lang w:val="sq-AL"/>
        </w:rPr>
        <w:t>ë</w:t>
      </w:r>
      <w:r w:rsidRPr="0032048B">
        <w:rPr>
          <w:sz w:val="24"/>
          <w:szCs w:val="24"/>
          <w:lang w:val="sq-AL"/>
        </w:rPr>
        <w:t xml:space="preserve"> objekt kund</w:t>
      </w:r>
      <w:r w:rsidR="005D3CCC" w:rsidRPr="0032048B">
        <w:rPr>
          <w:sz w:val="24"/>
          <w:szCs w:val="24"/>
          <w:lang w:val="sq-AL"/>
        </w:rPr>
        <w:t>ë</w:t>
      </w:r>
      <w:r w:rsidRPr="0032048B">
        <w:rPr>
          <w:sz w:val="24"/>
          <w:szCs w:val="24"/>
          <w:lang w:val="sq-AL"/>
        </w:rPr>
        <w:t xml:space="preserve">rshtish. </w:t>
      </w:r>
    </w:p>
    <w:p w14:paraId="4C4905DB" w14:textId="77777777" w:rsidR="00380775" w:rsidRPr="0032048B" w:rsidRDefault="00380775" w:rsidP="00361D5A">
      <w:pPr>
        <w:tabs>
          <w:tab w:val="left" w:pos="1134"/>
          <w:tab w:val="left" w:pos="9360"/>
        </w:tabs>
        <w:spacing w:before="119"/>
        <w:ind w:left="993" w:right="1067"/>
        <w:jc w:val="both"/>
        <w:rPr>
          <w:sz w:val="24"/>
          <w:szCs w:val="24"/>
          <w:u w:val="single"/>
          <w:lang w:val="sq-AL"/>
        </w:rPr>
      </w:pPr>
      <w:r w:rsidRPr="0032048B">
        <w:rPr>
          <w:sz w:val="24"/>
          <w:szCs w:val="24"/>
          <w:u w:val="single"/>
          <w:lang w:val="sq-AL"/>
        </w:rPr>
        <w:t>Transmetuesi i Shërbimit Publik</w:t>
      </w:r>
    </w:p>
    <w:p w14:paraId="28728C5C" w14:textId="67C95DB4" w:rsidR="00380775" w:rsidRPr="0032048B" w:rsidRDefault="00380775" w:rsidP="00361D5A">
      <w:pPr>
        <w:tabs>
          <w:tab w:val="left" w:pos="1134"/>
          <w:tab w:val="left" w:pos="9360"/>
        </w:tabs>
        <w:spacing w:before="119"/>
        <w:ind w:left="993" w:right="1067"/>
        <w:jc w:val="both"/>
        <w:rPr>
          <w:sz w:val="24"/>
          <w:szCs w:val="24"/>
          <w:lang w:val="sq-AL"/>
        </w:rPr>
      </w:pPr>
      <w:r w:rsidRPr="0032048B">
        <w:rPr>
          <w:sz w:val="24"/>
          <w:szCs w:val="24"/>
          <w:lang w:val="sq-AL"/>
        </w:rPr>
        <w:t>Në mars 2022, Parlamenti filloi zyrtarisht procesin për të plot</w:t>
      </w:r>
      <w:r w:rsidR="005D3CCC" w:rsidRPr="0032048B">
        <w:rPr>
          <w:sz w:val="24"/>
          <w:szCs w:val="24"/>
          <w:lang w:val="sq-AL"/>
        </w:rPr>
        <w:t>ë</w:t>
      </w:r>
      <w:r w:rsidRPr="0032048B">
        <w:rPr>
          <w:sz w:val="24"/>
          <w:szCs w:val="24"/>
          <w:lang w:val="sq-AL"/>
        </w:rPr>
        <w:t xml:space="preserve">suar dy vende të lira në bordin drejtues të transmetuesit publik, i cili përbëhet nga 11 anëtarë. Një vend i lirë ende nuk </w:t>
      </w:r>
      <w:r w:rsidR="005D3CCC" w:rsidRPr="0032048B">
        <w:rPr>
          <w:sz w:val="24"/>
          <w:szCs w:val="24"/>
          <w:lang w:val="sq-AL"/>
        </w:rPr>
        <w:t>ë</w:t>
      </w:r>
      <w:r w:rsidRPr="0032048B">
        <w:rPr>
          <w:sz w:val="24"/>
          <w:szCs w:val="24"/>
          <w:lang w:val="sq-AL"/>
        </w:rPr>
        <w:t>sht</w:t>
      </w:r>
      <w:r w:rsidR="005D3CCC" w:rsidRPr="0032048B">
        <w:rPr>
          <w:sz w:val="24"/>
          <w:szCs w:val="24"/>
          <w:lang w:val="sq-AL"/>
        </w:rPr>
        <w:t>ë</w:t>
      </w:r>
      <w:r w:rsidRPr="0032048B">
        <w:rPr>
          <w:sz w:val="24"/>
          <w:szCs w:val="24"/>
          <w:lang w:val="sq-AL"/>
        </w:rPr>
        <w:t xml:space="preserve"> plot</w:t>
      </w:r>
      <w:r w:rsidR="005D3CCC" w:rsidRPr="0032048B">
        <w:rPr>
          <w:sz w:val="24"/>
          <w:szCs w:val="24"/>
          <w:lang w:val="sq-AL"/>
        </w:rPr>
        <w:t>ë</w:t>
      </w:r>
      <w:r w:rsidRPr="0032048B">
        <w:rPr>
          <w:sz w:val="24"/>
          <w:szCs w:val="24"/>
          <w:lang w:val="sq-AL"/>
        </w:rPr>
        <w:t>suar. Parlamenti duhet të shmangë bllokimet dhe vonesat në procedurën e emërimit t</w:t>
      </w:r>
      <w:r w:rsidR="005D3CCC" w:rsidRPr="0032048B">
        <w:rPr>
          <w:sz w:val="24"/>
          <w:szCs w:val="24"/>
          <w:lang w:val="sq-AL"/>
        </w:rPr>
        <w:t>ë</w:t>
      </w:r>
      <w:r w:rsidRPr="0032048B">
        <w:rPr>
          <w:sz w:val="24"/>
          <w:szCs w:val="24"/>
          <w:lang w:val="sq-AL"/>
        </w:rPr>
        <w:t xml:space="preserve"> anëtarëve t</w:t>
      </w:r>
      <w:r w:rsidR="005D3CCC" w:rsidRPr="0032048B">
        <w:rPr>
          <w:sz w:val="24"/>
          <w:szCs w:val="24"/>
          <w:lang w:val="sq-AL"/>
        </w:rPr>
        <w:t>ë</w:t>
      </w:r>
      <w:r w:rsidRPr="0032048B">
        <w:rPr>
          <w:sz w:val="24"/>
          <w:szCs w:val="24"/>
          <w:lang w:val="sq-AL"/>
        </w:rPr>
        <w:t xml:space="preserve"> bordit të transmetuesit publik. Emërimet duhet të kryhen në përputhje me procedurat që sigurojnë nivelin më të madh të pavarësisë, paanshmërisë dhe legjitimitetit të institucionit.</w:t>
      </w:r>
    </w:p>
    <w:p w14:paraId="4D7F6B2E" w14:textId="3A48C985" w:rsidR="00380775" w:rsidRPr="0032048B" w:rsidRDefault="00380775" w:rsidP="00361D5A">
      <w:pPr>
        <w:tabs>
          <w:tab w:val="left" w:pos="1134"/>
          <w:tab w:val="left" w:pos="9360"/>
        </w:tabs>
        <w:spacing w:before="119"/>
        <w:ind w:left="993" w:right="1067"/>
        <w:jc w:val="both"/>
        <w:rPr>
          <w:sz w:val="24"/>
          <w:szCs w:val="24"/>
          <w:lang w:val="sq-AL"/>
        </w:rPr>
      </w:pPr>
      <w:r w:rsidRPr="0032048B">
        <w:rPr>
          <w:sz w:val="24"/>
          <w:szCs w:val="24"/>
          <w:lang w:val="sq-AL"/>
        </w:rPr>
        <w:t xml:space="preserve">Në qershor, Këshilli Drejtues i Transmetuesit publik zgjodhi me </w:t>
      </w:r>
      <w:proofErr w:type="spellStart"/>
      <w:r w:rsidRPr="0032048B">
        <w:rPr>
          <w:sz w:val="24"/>
          <w:szCs w:val="24"/>
          <w:lang w:val="sq-AL"/>
        </w:rPr>
        <w:t>unanimitet</w:t>
      </w:r>
      <w:proofErr w:type="spellEnd"/>
      <w:r w:rsidRPr="0032048B">
        <w:rPr>
          <w:sz w:val="24"/>
          <w:szCs w:val="24"/>
          <w:lang w:val="sq-AL"/>
        </w:rPr>
        <w:t xml:space="preserve"> një drejtor t</w:t>
      </w:r>
      <w:r w:rsidR="005D3CCC" w:rsidRPr="0032048B">
        <w:rPr>
          <w:sz w:val="24"/>
          <w:szCs w:val="24"/>
          <w:lang w:val="sq-AL"/>
        </w:rPr>
        <w:t>ë</w:t>
      </w:r>
      <w:r w:rsidRPr="0032048B">
        <w:rPr>
          <w:sz w:val="24"/>
          <w:szCs w:val="24"/>
          <w:lang w:val="sq-AL"/>
        </w:rPr>
        <w:t xml:space="preserve"> ri t</w:t>
      </w:r>
      <w:r w:rsidR="005D3CCC" w:rsidRPr="0032048B">
        <w:rPr>
          <w:sz w:val="24"/>
          <w:szCs w:val="24"/>
          <w:lang w:val="sq-AL"/>
        </w:rPr>
        <w:t>ë</w:t>
      </w:r>
      <w:r w:rsidRPr="0032048B">
        <w:rPr>
          <w:sz w:val="24"/>
          <w:szCs w:val="24"/>
          <w:lang w:val="sq-AL"/>
        </w:rPr>
        <w:t xml:space="preserve"> përgjithshëm. Fakti që, deri në shtator 2021, drejtori i ri mbante pozicionin e Sekretarit për Marrëdhëniet me Mediat dhe Shoqërinë Civile n</w:t>
      </w:r>
      <w:r w:rsidR="005D3CCC" w:rsidRPr="0032048B">
        <w:rPr>
          <w:sz w:val="24"/>
          <w:szCs w:val="24"/>
          <w:lang w:val="sq-AL"/>
        </w:rPr>
        <w:t>ë</w:t>
      </w:r>
      <w:r w:rsidRPr="0032048B">
        <w:rPr>
          <w:sz w:val="24"/>
          <w:szCs w:val="24"/>
          <w:lang w:val="sq-AL"/>
        </w:rPr>
        <w:t xml:space="preserve"> Partinë Socialiste q</w:t>
      </w:r>
      <w:r w:rsidR="005D3CCC" w:rsidRPr="0032048B">
        <w:rPr>
          <w:sz w:val="24"/>
          <w:szCs w:val="24"/>
          <w:lang w:val="sq-AL"/>
        </w:rPr>
        <w:t>ë</w:t>
      </w:r>
      <w:r w:rsidRPr="0032048B">
        <w:rPr>
          <w:sz w:val="24"/>
          <w:szCs w:val="24"/>
          <w:lang w:val="sq-AL"/>
        </w:rPr>
        <w:t xml:space="preserve"> qeveris</w:t>
      </w:r>
      <w:r w:rsidR="004D53EC">
        <w:rPr>
          <w:sz w:val="24"/>
          <w:szCs w:val="24"/>
          <w:lang w:val="sq-AL"/>
        </w:rPr>
        <w:t xml:space="preserve"> </w:t>
      </w:r>
      <w:r w:rsidRPr="0032048B">
        <w:rPr>
          <w:sz w:val="24"/>
          <w:szCs w:val="24"/>
          <w:lang w:val="sq-AL"/>
        </w:rPr>
        <w:t>vendin, ka ngritur disa shqetësime lidhur me pavarësinë e transmetuesit publik n</w:t>
      </w:r>
      <w:r w:rsidR="005D3CCC" w:rsidRPr="0032048B">
        <w:rPr>
          <w:sz w:val="24"/>
          <w:szCs w:val="24"/>
          <w:lang w:val="sq-AL"/>
        </w:rPr>
        <w:t>ë</w:t>
      </w:r>
      <w:r w:rsidRPr="0032048B">
        <w:rPr>
          <w:sz w:val="24"/>
          <w:szCs w:val="24"/>
          <w:lang w:val="sq-AL"/>
        </w:rPr>
        <w:t xml:space="preserve"> të ardhmen. Deri në korrik 2023, dhjetëra punonjës të medias ishin pushuar nga drejtuesit e rinj.</w:t>
      </w:r>
    </w:p>
    <w:p w14:paraId="2C3FA1AC" w14:textId="62CC7611" w:rsidR="00380775" w:rsidRPr="0032048B" w:rsidRDefault="00E247EA" w:rsidP="00361D5A">
      <w:pPr>
        <w:tabs>
          <w:tab w:val="left" w:pos="1134"/>
          <w:tab w:val="left" w:pos="9360"/>
        </w:tabs>
        <w:spacing w:before="119"/>
        <w:ind w:left="993" w:right="1067"/>
        <w:jc w:val="both"/>
        <w:rPr>
          <w:sz w:val="24"/>
          <w:szCs w:val="24"/>
          <w:u w:val="single"/>
          <w:lang w:val="sq-AL"/>
        </w:rPr>
      </w:pPr>
      <w:r w:rsidRPr="0032048B">
        <w:rPr>
          <w:sz w:val="24"/>
          <w:szCs w:val="24"/>
          <w:u w:val="single"/>
          <w:lang w:val="sq-AL"/>
        </w:rPr>
        <w:t xml:space="preserve">Faktorët </w:t>
      </w:r>
      <w:r w:rsidR="00380775" w:rsidRPr="0032048B">
        <w:rPr>
          <w:sz w:val="24"/>
          <w:szCs w:val="24"/>
          <w:u w:val="single"/>
          <w:lang w:val="sq-AL"/>
        </w:rPr>
        <w:t>ekonomikë</w:t>
      </w:r>
    </w:p>
    <w:p w14:paraId="202A14C9" w14:textId="4EE7C456" w:rsidR="00380775" w:rsidRPr="0032048B" w:rsidRDefault="00380775" w:rsidP="00361D5A">
      <w:pPr>
        <w:tabs>
          <w:tab w:val="left" w:pos="1134"/>
          <w:tab w:val="left" w:pos="9360"/>
        </w:tabs>
        <w:spacing w:before="119"/>
        <w:ind w:left="993" w:right="1067"/>
        <w:jc w:val="both"/>
        <w:rPr>
          <w:sz w:val="24"/>
          <w:szCs w:val="24"/>
          <w:lang w:val="sq-AL"/>
        </w:rPr>
      </w:pPr>
      <w:r w:rsidRPr="0032048B">
        <w:rPr>
          <w:sz w:val="24"/>
          <w:szCs w:val="24"/>
          <w:lang w:val="sq-AL"/>
        </w:rPr>
        <w:t>Grupet e biznesit me profil të lartë rritën më tej depërtimin e tyre ekonomik në tregun e mediave gjatë periudhës së raportimit. Organizatat e mediave dhe aktivistët kanë vazhduar të ngren</w:t>
      </w:r>
      <w:r w:rsidR="005D3CCC" w:rsidRPr="0032048B">
        <w:rPr>
          <w:sz w:val="24"/>
          <w:szCs w:val="24"/>
          <w:lang w:val="sq-AL"/>
        </w:rPr>
        <w:t>ë</w:t>
      </w:r>
      <w:r w:rsidRPr="0032048B">
        <w:rPr>
          <w:sz w:val="24"/>
          <w:szCs w:val="24"/>
          <w:lang w:val="sq-AL"/>
        </w:rPr>
        <w:t xml:space="preserve"> shqetësime në lidhje me përdorimin e kanaleve </w:t>
      </w:r>
      <w:proofErr w:type="spellStart"/>
      <w:r w:rsidRPr="0032048B">
        <w:rPr>
          <w:sz w:val="24"/>
          <w:szCs w:val="24"/>
          <w:lang w:val="sq-AL"/>
        </w:rPr>
        <w:t>mediatike</w:t>
      </w:r>
      <w:proofErr w:type="spellEnd"/>
      <w:r w:rsidRPr="0032048B">
        <w:rPr>
          <w:sz w:val="24"/>
          <w:szCs w:val="24"/>
          <w:lang w:val="sq-AL"/>
        </w:rPr>
        <w:t xml:space="preserve"> për të promovuar interesat ekonomike dhe agjendat politike të pronarëve dhe p</w:t>
      </w:r>
      <w:r w:rsidR="005D3CCC" w:rsidRPr="0032048B">
        <w:rPr>
          <w:sz w:val="24"/>
          <w:szCs w:val="24"/>
          <w:lang w:val="sq-AL"/>
        </w:rPr>
        <w:t>ë</w:t>
      </w:r>
      <w:r w:rsidRPr="0032048B">
        <w:rPr>
          <w:sz w:val="24"/>
          <w:szCs w:val="24"/>
          <w:lang w:val="sq-AL"/>
        </w:rPr>
        <w:t>r të siguruar mbulim të favorshëm për sponsorët e tyre n</w:t>
      </w:r>
      <w:r w:rsidR="005D3CCC" w:rsidRPr="0032048B">
        <w:rPr>
          <w:sz w:val="24"/>
          <w:szCs w:val="24"/>
          <w:lang w:val="sq-AL"/>
        </w:rPr>
        <w:t>ë</w:t>
      </w:r>
      <w:r w:rsidRPr="0032048B">
        <w:rPr>
          <w:sz w:val="24"/>
          <w:szCs w:val="24"/>
          <w:lang w:val="sq-AL"/>
        </w:rPr>
        <w:t xml:space="preserve"> politikë dhe biznes. Janë ngritur shqetësime se individët e akuzuar për korrupsion dhe pastrimin e parave po financojnë mediat si pjesë e strategjive të tyre për t’i shpëtuar drejtësisë. Përqendrimi i tregut dhe audiencës dhe mungesa e transparencës së fondeve të mediave vazhdojnë të mbeten çështje shqetësuese në lidhje me lirinë e mediave në vend. Praktikat e pronarëve të mediave për të shmangur taksat janë denoncuar nga organizatat e lirisë së medias.</w:t>
      </w:r>
    </w:p>
    <w:p w14:paraId="096C1992" w14:textId="77777777" w:rsidR="00380775" w:rsidRPr="0032048B" w:rsidRDefault="00380775" w:rsidP="00361D5A">
      <w:pPr>
        <w:tabs>
          <w:tab w:val="left" w:pos="1134"/>
          <w:tab w:val="left" w:pos="9360"/>
        </w:tabs>
        <w:spacing w:before="119"/>
        <w:ind w:left="993" w:right="1067"/>
        <w:jc w:val="both"/>
        <w:rPr>
          <w:sz w:val="24"/>
          <w:szCs w:val="24"/>
          <w:lang w:val="sq-AL"/>
        </w:rPr>
      </w:pPr>
      <w:r w:rsidRPr="0032048B">
        <w:rPr>
          <w:sz w:val="24"/>
          <w:szCs w:val="24"/>
          <w:lang w:val="sq-AL"/>
        </w:rPr>
        <w:t xml:space="preserve">Në kontekstin e interesave të ndërthurura ekonomike dhe </w:t>
      </w:r>
      <w:proofErr w:type="spellStart"/>
      <w:r w:rsidRPr="0032048B">
        <w:rPr>
          <w:sz w:val="24"/>
          <w:szCs w:val="24"/>
          <w:lang w:val="sq-AL"/>
        </w:rPr>
        <w:t>mediatike</w:t>
      </w:r>
      <w:proofErr w:type="spellEnd"/>
      <w:r w:rsidRPr="0032048B">
        <w:rPr>
          <w:sz w:val="24"/>
          <w:szCs w:val="24"/>
          <w:lang w:val="sq-AL"/>
        </w:rPr>
        <w:t>, ka edhe raporte për media që ushtrojnë presion në këmbim të mbulimit pozitiv.</w:t>
      </w:r>
    </w:p>
    <w:p w14:paraId="131DB282" w14:textId="77777777" w:rsidR="00380775" w:rsidRPr="0032048B" w:rsidRDefault="00380775" w:rsidP="00361D5A">
      <w:pPr>
        <w:tabs>
          <w:tab w:val="left" w:pos="1134"/>
          <w:tab w:val="left" w:pos="9360"/>
        </w:tabs>
        <w:spacing w:before="119"/>
        <w:ind w:left="993" w:right="1067"/>
        <w:jc w:val="both"/>
        <w:rPr>
          <w:sz w:val="24"/>
          <w:szCs w:val="24"/>
          <w:lang w:val="sq-AL"/>
        </w:rPr>
      </w:pPr>
      <w:r w:rsidRPr="0032048B">
        <w:rPr>
          <w:sz w:val="24"/>
          <w:szCs w:val="24"/>
          <w:lang w:val="sq-AL"/>
        </w:rPr>
        <w:t>Interneti</w:t>
      </w:r>
    </w:p>
    <w:p w14:paraId="7555EF1A" w14:textId="77777777" w:rsidR="00380775" w:rsidRPr="0032048B" w:rsidRDefault="00380775" w:rsidP="00361D5A">
      <w:pPr>
        <w:tabs>
          <w:tab w:val="left" w:pos="1134"/>
          <w:tab w:val="left" w:pos="9360"/>
        </w:tabs>
        <w:spacing w:before="119"/>
        <w:ind w:left="993" w:right="1067"/>
        <w:jc w:val="both"/>
        <w:rPr>
          <w:sz w:val="24"/>
          <w:szCs w:val="24"/>
          <w:lang w:val="sq-AL"/>
        </w:rPr>
      </w:pPr>
      <w:r w:rsidRPr="0032048B">
        <w:rPr>
          <w:sz w:val="24"/>
          <w:szCs w:val="24"/>
          <w:lang w:val="sq-AL"/>
        </w:rPr>
        <w:t xml:space="preserve">Vlerësohet se ka rreth 800 kanale </w:t>
      </w:r>
      <w:proofErr w:type="spellStart"/>
      <w:r w:rsidRPr="0032048B">
        <w:rPr>
          <w:sz w:val="24"/>
          <w:szCs w:val="24"/>
          <w:lang w:val="sq-AL"/>
        </w:rPr>
        <w:t>mediatike</w:t>
      </w:r>
      <w:proofErr w:type="spellEnd"/>
      <w:r w:rsidRPr="0032048B">
        <w:rPr>
          <w:sz w:val="24"/>
          <w:szCs w:val="24"/>
          <w:lang w:val="sq-AL"/>
        </w:rPr>
        <w:t xml:space="preserve"> në internet që veprojnë në të gjithë Shqipërinë, shumica prej tyre të regjistruar jashtë vendit dhe një numër më i kufizuar të regjistruar në autoritetin e komunikimit elektronik dhe postar nën domenin .</w:t>
      </w:r>
      <w:proofErr w:type="spellStart"/>
      <w:r w:rsidRPr="0032048B">
        <w:rPr>
          <w:sz w:val="24"/>
          <w:szCs w:val="24"/>
          <w:lang w:val="sq-AL"/>
        </w:rPr>
        <w:t>al</w:t>
      </w:r>
      <w:proofErr w:type="spellEnd"/>
      <w:r w:rsidRPr="0032048B">
        <w:rPr>
          <w:sz w:val="24"/>
          <w:szCs w:val="24"/>
          <w:lang w:val="sq-AL"/>
        </w:rPr>
        <w:t>.</w:t>
      </w:r>
    </w:p>
    <w:p w14:paraId="7CC2BC64" w14:textId="12CDF12A" w:rsidR="00380775" w:rsidRPr="0032048B" w:rsidRDefault="00380775" w:rsidP="00361D5A">
      <w:pPr>
        <w:tabs>
          <w:tab w:val="left" w:pos="1134"/>
          <w:tab w:val="left" w:pos="9360"/>
        </w:tabs>
        <w:spacing w:before="119"/>
        <w:ind w:left="993" w:right="1067"/>
        <w:jc w:val="both"/>
        <w:rPr>
          <w:sz w:val="24"/>
          <w:szCs w:val="24"/>
          <w:lang w:val="sq-AL"/>
        </w:rPr>
      </w:pPr>
      <w:r w:rsidRPr="0032048B">
        <w:rPr>
          <w:sz w:val="24"/>
          <w:szCs w:val="24"/>
          <w:lang w:val="sq-AL"/>
        </w:rPr>
        <w:t>Shteti, në përgjithësi, përmbahet nga filtrimi dhe bllokimi i përmbajtjes në internet. Sidoqoftë, organizatat e lirisë së mediave pretendojnë se nuk ka dispozita specifike ligjore për të zbatuar dhe mbrojtur neutralitetin neto. Shqipëria ka n</w:t>
      </w:r>
      <w:r w:rsidR="005D3CCC" w:rsidRPr="0032048B">
        <w:rPr>
          <w:sz w:val="24"/>
          <w:szCs w:val="24"/>
          <w:lang w:val="sq-AL"/>
        </w:rPr>
        <w:t>ë</w:t>
      </w:r>
      <w:r w:rsidRPr="0032048B">
        <w:rPr>
          <w:sz w:val="24"/>
          <w:szCs w:val="24"/>
          <w:lang w:val="sq-AL"/>
        </w:rPr>
        <w:t>nshkruar Deklaratën për të Ardhmen e Internetit të prillit 2022.</w:t>
      </w:r>
    </w:p>
    <w:p w14:paraId="55C24396" w14:textId="77777777" w:rsidR="00380775" w:rsidRPr="0032048B" w:rsidRDefault="00380775" w:rsidP="00361D5A">
      <w:pPr>
        <w:tabs>
          <w:tab w:val="left" w:pos="1134"/>
          <w:tab w:val="left" w:pos="9360"/>
        </w:tabs>
        <w:spacing w:before="119"/>
        <w:ind w:left="993" w:right="1067"/>
        <w:jc w:val="both"/>
        <w:rPr>
          <w:sz w:val="24"/>
          <w:szCs w:val="24"/>
          <w:lang w:val="sq-AL"/>
        </w:rPr>
      </w:pPr>
      <w:r w:rsidRPr="0032048B">
        <w:rPr>
          <w:sz w:val="24"/>
          <w:szCs w:val="24"/>
          <w:lang w:val="sq-AL"/>
        </w:rPr>
        <w:t>Mediat digjitale vazhdojnë të ndikohen fuqimisht nga aktorët politikë, bizneset dhe nga palët e treta për sa i përket financimit dhe përmbajtjes.</w:t>
      </w:r>
    </w:p>
    <w:p w14:paraId="18A7A3B1" w14:textId="0A2DB106" w:rsidR="00380775" w:rsidRPr="0032048B" w:rsidRDefault="00380775" w:rsidP="00361D5A">
      <w:pPr>
        <w:tabs>
          <w:tab w:val="left" w:pos="1134"/>
          <w:tab w:val="left" w:pos="9360"/>
        </w:tabs>
        <w:spacing w:before="119"/>
        <w:ind w:left="993" w:right="1067"/>
        <w:jc w:val="both"/>
        <w:rPr>
          <w:sz w:val="24"/>
          <w:szCs w:val="24"/>
          <w:lang w:val="sq-AL"/>
        </w:rPr>
      </w:pPr>
      <w:r w:rsidRPr="0032048B">
        <w:rPr>
          <w:sz w:val="24"/>
          <w:szCs w:val="24"/>
          <w:lang w:val="sq-AL"/>
        </w:rPr>
        <w:lastRenderedPageBreak/>
        <w:t>Platformat e mëdha të teknologjisë së informacionit mbeten të parregulluara dhe të paregjistruara në Shqipëri, megjithëse ato përbëjnë një pjesë të madhe të tregut të reklamave në internet dhe janë platformat kryesore të shpërndarjes s</w:t>
      </w:r>
      <w:r w:rsidR="005D3CCC" w:rsidRPr="0032048B">
        <w:rPr>
          <w:sz w:val="24"/>
          <w:szCs w:val="24"/>
          <w:lang w:val="sq-AL"/>
        </w:rPr>
        <w:t>ë</w:t>
      </w:r>
      <w:r w:rsidRPr="0032048B">
        <w:rPr>
          <w:sz w:val="24"/>
          <w:szCs w:val="24"/>
          <w:lang w:val="sq-AL"/>
        </w:rPr>
        <w:t xml:space="preserve"> lajmeve dhe përmbajtjeve video. Reklamimi në mediat </w:t>
      </w:r>
      <w:proofErr w:type="spellStart"/>
      <w:r w:rsidRPr="0032048B">
        <w:rPr>
          <w:sz w:val="24"/>
          <w:szCs w:val="24"/>
          <w:lang w:val="sq-AL"/>
        </w:rPr>
        <w:t>online</w:t>
      </w:r>
      <w:proofErr w:type="spellEnd"/>
      <w:r w:rsidRPr="0032048B">
        <w:rPr>
          <w:sz w:val="24"/>
          <w:szCs w:val="24"/>
          <w:lang w:val="sq-AL"/>
        </w:rPr>
        <w:t xml:space="preserve"> dhe ato sociale gjatë zgjedhjeve është ende e parregulluar. Organizatat e lirisë së mediave kanë nxjerrë në pah mungesën e rregullimit n</w:t>
      </w:r>
      <w:r w:rsidR="005D3CCC" w:rsidRPr="0032048B">
        <w:rPr>
          <w:sz w:val="24"/>
          <w:szCs w:val="24"/>
          <w:lang w:val="sq-AL"/>
        </w:rPr>
        <w:t>ë</w:t>
      </w:r>
      <w:r w:rsidRPr="0032048B">
        <w:rPr>
          <w:sz w:val="24"/>
          <w:szCs w:val="24"/>
          <w:lang w:val="sq-AL"/>
        </w:rPr>
        <w:t xml:space="preserve"> funksion t</w:t>
      </w:r>
      <w:r w:rsidR="005D3CCC" w:rsidRPr="0032048B">
        <w:rPr>
          <w:sz w:val="24"/>
          <w:szCs w:val="24"/>
          <w:lang w:val="sq-AL"/>
        </w:rPr>
        <w:t>ë</w:t>
      </w:r>
      <w:r w:rsidRPr="0032048B">
        <w:rPr>
          <w:sz w:val="24"/>
          <w:szCs w:val="24"/>
          <w:lang w:val="sq-AL"/>
        </w:rPr>
        <w:t xml:space="preserve"> transparencës në reklamat </w:t>
      </w:r>
      <w:proofErr w:type="spellStart"/>
      <w:r w:rsidRPr="0032048B">
        <w:rPr>
          <w:sz w:val="24"/>
          <w:szCs w:val="24"/>
          <w:lang w:val="sq-AL"/>
        </w:rPr>
        <w:t>online</w:t>
      </w:r>
      <w:proofErr w:type="spellEnd"/>
      <w:r w:rsidRPr="0032048B">
        <w:rPr>
          <w:sz w:val="24"/>
          <w:szCs w:val="24"/>
          <w:lang w:val="sq-AL"/>
        </w:rPr>
        <w:t xml:space="preserve"> gjatë fushatave zgjedhore.</w:t>
      </w:r>
    </w:p>
    <w:p w14:paraId="723F7ABD" w14:textId="647A8E2A" w:rsidR="00380775" w:rsidRPr="0032048B" w:rsidRDefault="00380775" w:rsidP="00361D5A">
      <w:pPr>
        <w:tabs>
          <w:tab w:val="left" w:pos="1134"/>
          <w:tab w:val="left" w:pos="9360"/>
        </w:tabs>
        <w:spacing w:before="119"/>
        <w:ind w:left="993" w:right="1067"/>
        <w:jc w:val="both"/>
        <w:rPr>
          <w:sz w:val="24"/>
          <w:szCs w:val="24"/>
          <w:lang w:val="sq-AL"/>
        </w:rPr>
      </w:pPr>
      <w:r w:rsidRPr="0032048B">
        <w:rPr>
          <w:sz w:val="24"/>
          <w:szCs w:val="24"/>
          <w:lang w:val="sq-AL"/>
        </w:rPr>
        <w:t>Vendi ka miratuar Strategjin</w:t>
      </w:r>
      <w:r w:rsidR="005D3CCC" w:rsidRPr="0032048B">
        <w:rPr>
          <w:sz w:val="24"/>
          <w:szCs w:val="24"/>
          <w:lang w:val="sq-AL"/>
        </w:rPr>
        <w:t>ë</w:t>
      </w:r>
      <w:r w:rsidRPr="0032048B">
        <w:rPr>
          <w:sz w:val="24"/>
          <w:szCs w:val="24"/>
          <w:lang w:val="sq-AL"/>
        </w:rPr>
        <w:t xml:space="preserve"> Kombëtare për Sigurinë në Internet dhe Planin e Veprimit 2020-2025. Strategjia përfshin një kapitull mbi mbrojtjen e fëmijëve në internet si përparësi për vendin. Pesë shtylla kryesore në këtë kapitull trajtojn</w:t>
      </w:r>
      <w:r w:rsidR="005D3CCC" w:rsidRPr="0032048B">
        <w:rPr>
          <w:sz w:val="24"/>
          <w:szCs w:val="24"/>
          <w:lang w:val="sq-AL"/>
        </w:rPr>
        <w:t>ë</w:t>
      </w:r>
      <w:r w:rsidRPr="0032048B">
        <w:rPr>
          <w:sz w:val="24"/>
          <w:szCs w:val="24"/>
          <w:lang w:val="sq-AL"/>
        </w:rPr>
        <w:t xml:space="preserve"> fushat specifike të mbrojtjes së f</w:t>
      </w:r>
      <w:r w:rsidR="005D3CCC" w:rsidRPr="0032048B">
        <w:rPr>
          <w:sz w:val="24"/>
          <w:szCs w:val="24"/>
          <w:lang w:val="sq-AL"/>
        </w:rPr>
        <w:t>ë</w:t>
      </w:r>
      <w:r w:rsidRPr="0032048B">
        <w:rPr>
          <w:sz w:val="24"/>
          <w:szCs w:val="24"/>
          <w:lang w:val="sq-AL"/>
        </w:rPr>
        <w:t>mij</w:t>
      </w:r>
      <w:r w:rsidR="005D3CCC" w:rsidRPr="0032048B">
        <w:rPr>
          <w:sz w:val="24"/>
          <w:szCs w:val="24"/>
          <w:lang w:val="sq-AL"/>
        </w:rPr>
        <w:t>ë</w:t>
      </w:r>
      <w:r w:rsidRPr="0032048B">
        <w:rPr>
          <w:sz w:val="24"/>
          <w:szCs w:val="24"/>
          <w:lang w:val="sq-AL"/>
        </w:rPr>
        <w:t>ve në internet, përfshirë kapacitetet për hetimin dhe ndjekjen penale të krimeve kundër fëmijëve n</w:t>
      </w:r>
      <w:r w:rsidR="005D3CCC" w:rsidRPr="0032048B">
        <w:rPr>
          <w:sz w:val="24"/>
          <w:szCs w:val="24"/>
          <w:lang w:val="sq-AL"/>
        </w:rPr>
        <w:t>ë</w:t>
      </w:r>
      <w:r w:rsidRPr="0032048B">
        <w:rPr>
          <w:sz w:val="24"/>
          <w:szCs w:val="24"/>
          <w:lang w:val="sq-AL"/>
        </w:rPr>
        <w:t xml:space="preserve"> internet, të cilat mbeten një problem i madh.</w:t>
      </w:r>
    </w:p>
    <w:p w14:paraId="0854A2C5" w14:textId="77777777" w:rsidR="00380775" w:rsidRPr="0032048B" w:rsidRDefault="00380775" w:rsidP="00361D5A">
      <w:pPr>
        <w:tabs>
          <w:tab w:val="left" w:pos="1134"/>
          <w:tab w:val="left" w:pos="9360"/>
        </w:tabs>
        <w:spacing w:before="119"/>
        <w:ind w:left="993" w:right="1067"/>
        <w:jc w:val="both"/>
        <w:rPr>
          <w:sz w:val="24"/>
          <w:szCs w:val="24"/>
          <w:u w:val="single"/>
          <w:lang w:val="sq-AL"/>
        </w:rPr>
      </w:pPr>
      <w:r w:rsidRPr="0032048B">
        <w:rPr>
          <w:sz w:val="24"/>
          <w:szCs w:val="24"/>
          <w:u w:val="single"/>
          <w:lang w:val="sq-AL"/>
        </w:rPr>
        <w:t>Liria e shprehjes artistike</w:t>
      </w:r>
    </w:p>
    <w:p w14:paraId="31F507A7" w14:textId="77777777" w:rsidR="00380775" w:rsidRPr="0032048B" w:rsidRDefault="00380775" w:rsidP="00361D5A">
      <w:pPr>
        <w:tabs>
          <w:tab w:val="left" w:pos="1134"/>
          <w:tab w:val="left" w:pos="9360"/>
        </w:tabs>
        <w:spacing w:before="119"/>
        <w:ind w:left="993" w:right="1067"/>
        <w:jc w:val="both"/>
        <w:rPr>
          <w:sz w:val="24"/>
          <w:szCs w:val="24"/>
          <w:lang w:val="sq-AL"/>
        </w:rPr>
      </w:pPr>
      <w:r w:rsidRPr="0032048B">
        <w:rPr>
          <w:sz w:val="24"/>
          <w:szCs w:val="24"/>
          <w:lang w:val="sq-AL"/>
        </w:rPr>
        <w:t xml:space="preserve">Liria e shprehjes artistike është e garantuar gjerësisht. </w:t>
      </w:r>
    </w:p>
    <w:p w14:paraId="20337254" w14:textId="77777777" w:rsidR="00380775" w:rsidRPr="0032048B" w:rsidRDefault="00380775" w:rsidP="00361D5A">
      <w:pPr>
        <w:tabs>
          <w:tab w:val="left" w:pos="1134"/>
          <w:tab w:val="left" w:pos="9360"/>
        </w:tabs>
        <w:spacing w:before="119"/>
        <w:ind w:left="993" w:right="1067"/>
        <w:jc w:val="both"/>
        <w:rPr>
          <w:sz w:val="24"/>
          <w:szCs w:val="24"/>
          <w:u w:val="single"/>
          <w:lang w:val="sq-AL"/>
        </w:rPr>
      </w:pPr>
      <w:r w:rsidRPr="0032048B">
        <w:rPr>
          <w:sz w:val="24"/>
          <w:szCs w:val="24"/>
          <w:u w:val="single"/>
          <w:lang w:val="sq-AL"/>
        </w:rPr>
        <w:t>Organizatat profesionale dhe kushtet e punës</w:t>
      </w:r>
    </w:p>
    <w:p w14:paraId="70B5C021" w14:textId="77777777" w:rsidR="00380775" w:rsidRPr="0032048B" w:rsidRDefault="00380775" w:rsidP="00361D5A">
      <w:pPr>
        <w:tabs>
          <w:tab w:val="left" w:pos="1134"/>
          <w:tab w:val="left" w:pos="9360"/>
        </w:tabs>
        <w:spacing w:before="119"/>
        <w:ind w:left="993" w:right="1067"/>
        <w:jc w:val="both"/>
        <w:rPr>
          <w:sz w:val="24"/>
          <w:szCs w:val="24"/>
          <w:lang w:val="sq-AL"/>
        </w:rPr>
      </w:pPr>
      <w:r w:rsidRPr="0032048B">
        <w:rPr>
          <w:sz w:val="24"/>
          <w:szCs w:val="24"/>
          <w:lang w:val="sq-AL"/>
        </w:rPr>
        <w:t>Shoqatat profesionale të gazetarëve përballen me vështirësi serioze për sa i përket burimeve të kufizuara financiare dhe njerëzore, dhe të mundësisë së kufizuar për të krijuar një bashkëpunim efektiv me qeverinë për të promovuar interesat e mediave të pavarura.</w:t>
      </w:r>
    </w:p>
    <w:p w14:paraId="07989400" w14:textId="3EB655C3" w:rsidR="00380775" w:rsidRPr="0032048B" w:rsidRDefault="00380775" w:rsidP="00361D5A">
      <w:pPr>
        <w:tabs>
          <w:tab w:val="left" w:pos="1134"/>
          <w:tab w:val="left" w:pos="9360"/>
        </w:tabs>
        <w:spacing w:before="119"/>
        <w:ind w:left="993" w:right="1067"/>
        <w:jc w:val="both"/>
        <w:rPr>
          <w:sz w:val="24"/>
          <w:szCs w:val="24"/>
          <w:lang w:val="sq-AL"/>
        </w:rPr>
      </w:pPr>
      <w:r w:rsidRPr="0032048B">
        <w:rPr>
          <w:sz w:val="24"/>
          <w:szCs w:val="24"/>
          <w:lang w:val="sq-AL"/>
        </w:rPr>
        <w:t>Siguria e pak</w:t>
      </w:r>
      <w:r w:rsidR="005D3CCC" w:rsidRPr="0032048B">
        <w:rPr>
          <w:sz w:val="24"/>
          <w:szCs w:val="24"/>
          <w:lang w:val="sq-AL"/>
        </w:rPr>
        <w:t>ë</w:t>
      </w:r>
      <w:r w:rsidRPr="0032048B">
        <w:rPr>
          <w:sz w:val="24"/>
          <w:szCs w:val="24"/>
          <w:lang w:val="sq-AL"/>
        </w:rPr>
        <w:t>t n</w:t>
      </w:r>
      <w:r w:rsidR="005D3CCC" w:rsidRPr="0032048B">
        <w:rPr>
          <w:sz w:val="24"/>
          <w:szCs w:val="24"/>
          <w:lang w:val="sq-AL"/>
        </w:rPr>
        <w:t>ë</w:t>
      </w:r>
      <w:r w:rsidRPr="0032048B">
        <w:rPr>
          <w:sz w:val="24"/>
          <w:szCs w:val="24"/>
          <w:lang w:val="sq-AL"/>
        </w:rPr>
        <w:t xml:space="preserve"> punë dhe kushtet e k</w:t>
      </w:r>
      <w:r w:rsidR="005D3CCC" w:rsidRPr="0032048B">
        <w:rPr>
          <w:sz w:val="24"/>
          <w:szCs w:val="24"/>
          <w:lang w:val="sq-AL"/>
        </w:rPr>
        <w:t>ë</w:t>
      </w:r>
      <w:r w:rsidRPr="0032048B">
        <w:rPr>
          <w:sz w:val="24"/>
          <w:szCs w:val="24"/>
          <w:lang w:val="sq-AL"/>
        </w:rPr>
        <w:t>qija të punës paraqesin rreziqe serioze p</w:t>
      </w:r>
      <w:r w:rsidR="005D3CCC" w:rsidRPr="0032048B">
        <w:rPr>
          <w:sz w:val="24"/>
          <w:szCs w:val="24"/>
          <w:lang w:val="sq-AL"/>
        </w:rPr>
        <w:t>ë</w:t>
      </w:r>
      <w:r w:rsidRPr="0032048B">
        <w:rPr>
          <w:sz w:val="24"/>
          <w:szCs w:val="24"/>
          <w:lang w:val="sq-AL"/>
        </w:rPr>
        <w:t xml:space="preserve">r vetë-censurimin dhe uljen e rezistencës ndaj </w:t>
      </w:r>
      <w:proofErr w:type="spellStart"/>
      <w:r w:rsidRPr="0032048B">
        <w:rPr>
          <w:sz w:val="24"/>
          <w:szCs w:val="24"/>
          <w:lang w:val="sq-AL"/>
        </w:rPr>
        <w:t>dezinformimit</w:t>
      </w:r>
      <w:proofErr w:type="spellEnd"/>
      <w:r w:rsidRPr="0032048B">
        <w:rPr>
          <w:sz w:val="24"/>
          <w:szCs w:val="24"/>
          <w:lang w:val="sq-AL"/>
        </w:rPr>
        <w:t>.</w:t>
      </w:r>
    </w:p>
    <w:p w14:paraId="03726798" w14:textId="2FE3E876" w:rsidR="00380775" w:rsidRPr="0032048B" w:rsidRDefault="00380775" w:rsidP="00361D5A">
      <w:pPr>
        <w:tabs>
          <w:tab w:val="left" w:pos="1134"/>
          <w:tab w:val="left" w:pos="9360"/>
        </w:tabs>
        <w:spacing w:before="119"/>
        <w:ind w:left="993" w:right="1067"/>
        <w:jc w:val="both"/>
        <w:rPr>
          <w:sz w:val="24"/>
          <w:szCs w:val="24"/>
          <w:lang w:val="sq-AL"/>
        </w:rPr>
      </w:pPr>
      <w:r w:rsidRPr="0032048B">
        <w:rPr>
          <w:sz w:val="24"/>
          <w:szCs w:val="24"/>
          <w:lang w:val="sq-AL"/>
        </w:rPr>
        <w:t>Respektimi n</w:t>
      </w:r>
      <w:r w:rsidR="005D3CCC" w:rsidRPr="0032048B">
        <w:rPr>
          <w:sz w:val="24"/>
          <w:szCs w:val="24"/>
          <w:lang w:val="sq-AL"/>
        </w:rPr>
        <w:t>ë</w:t>
      </w:r>
      <w:r w:rsidRPr="0032048B">
        <w:rPr>
          <w:sz w:val="24"/>
          <w:szCs w:val="24"/>
          <w:lang w:val="sq-AL"/>
        </w:rPr>
        <w:t xml:space="preserve"> nivele t</w:t>
      </w:r>
      <w:r w:rsidR="005D3CCC" w:rsidRPr="0032048B">
        <w:rPr>
          <w:sz w:val="24"/>
          <w:szCs w:val="24"/>
          <w:lang w:val="sq-AL"/>
        </w:rPr>
        <w:t>ë</w:t>
      </w:r>
      <w:r w:rsidRPr="0032048B">
        <w:rPr>
          <w:sz w:val="24"/>
          <w:szCs w:val="24"/>
          <w:lang w:val="sq-AL"/>
        </w:rPr>
        <w:t xml:space="preserve"> ul</w:t>
      </w:r>
      <w:r w:rsidR="005D3CCC" w:rsidRPr="0032048B">
        <w:rPr>
          <w:sz w:val="24"/>
          <w:szCs w:val="24"/>
          <w:lang w:val="sq-AL"/>
        </w:rPr>
        <w:t>ë</w:t>
      </w:r>
      <w:r w:rsidRPr="0032048B">
        <w:rPr>
          <w:sz w:val="24"/>
          <w:szCs w:val="24"/>
          <w:lang w:val="sq-AL"/>
        </w:rPr>
        <w:t>ta t</w:t>
      </w:r>
      <w:r w:rsidR="005D3CCC" w:rsidRPr="0032048B">
        <w:rPr>
          <w:sz w:val="24"/>
          <w:szCs w:val="24"/>
          <w:lang w:val="sq-AL"/>
        </w:rPr>
        <w:t>ë</w:t>
      </w:r>
      <w:r w:rsidRPr="0032048B">
        <w:rPr>
          <w:sz w:val="24"/>
          <w:szCs w:val="24"/>
          <w:lang w:val="sq-AL"/>
        </w:rPr>
        <w:t xml:space="preserve"> </w:t>
      </w:r>
      <w:proofErr w:type="spellStart"/>
      <w:r w:rsidRPr="0032048B">
        <w:rPr>
          <w:sz w:val="24"/>
          <w:szCs w:val="24"/>
          <w:lang w:val="sq-AL"/>
        </w:rPr>
        <w:t>të</w:t>
      </w:r>
      <w:proofErr w:type="spellEnd"/>
      <w:r w:rsidRPr="0032048B">
        <w:rPr>
          <w:sz w:val="24"/>
          <w:szCs w:val="24"/>
          <w:lang w:val="sq-AL"/>
        </w:rPr>
        <w:t xml:space="preserve"> drejtave të punës mbetet një çështje shqetësuese, veçanërisht në median lokale dhe në internet. Shumë punonjës të mediave nuk kanë kontrata pune, ndërsa shumë gazetarë nuk marrin pagat e tyre në kohë, ose pushohen nga puna në kundërshtim me dispozitat e Kodit të Punës. Disa media që janë gjobitur nga autoritetet tatimore për raportimin m</w:t>
      </w:r>
      <w:r w:rsidR="005D3CCC" w:rsidRPr="0032048B">
        <w:rPr>
          <w:sz w:val="24"/>
          <w:szCs w:val="24"/>
          <w:lang w:val="sq-AL"/>
        </w:rPr>
        <w:t>ë</w:t>
      </w:r>
      <w:r w:rsidRPr="0032048B">
        <w:rPr>
          <w:sz w:val="24"/>
          <w:szCs w:val="24"/>
          <w:lang w:val="sq-AL"/>
        </w:rPr>
        <w:t xml:space="preserve"> t</w:t>
      </w:r>
      <w:r w:rsidR="005D3CCC" w:rsidRPr="0032048B">
        <w:rPr>
          <w:sz w:val="24"/>
          <w:szCs w:val="24"/>
          <w:lang w:val="sq-AL"/>
        </w:rPr>
        <w:t>ë</w:t>
      </w:r>
      <w:r w:rsidRPr="0032048B">
        <w:rPr>
          <w:sz w:val="24"/>
          <w:szCs w:val="24"/>
          <w:lang w:val="sq-AL"/>
        </w:rPr>
        <w:t xml:space="preserve"> ul</w:t>
      </w:r>
      <w:r w:rsidR="005D3CCC" w:rsidRPr="0032048B">
        <w:rPr>
          <w:sz w:val="24"/>
          <w:szCs w:val="24"/>
          <w:lang w:val="sq-AL"/>
        </w:rPr>
        <w:t>ë</w:t>
      </w:r>
      <w:r w:rsidRPr="0032048B">
        <w:rPr>
          <w:sz w:val="24"/>
          <w:szCs w:val="24"/>
          <w:lang w:val="sq-AL"/>
        </w:rPr>
        <w:t>t t</w:t>
      </w:r>
      <w:r w:rsidR="005D3CCC" w:rsidRPr="0032048B">
        <w:rPr>
          <w:sz w:val="24"/>
          <w:szCs w:val="24"/>
          <w:lang w:val="sq-AL"/>
        </w:rPr>
        <w:t>ë</w:t>
      </w:r>
      <w:r w:rsidRPr="0032048B">
        <w:rPr>
          <w:sz w:val="24"/>
          <w:szCs w:val="24"/>
          <w:lang w:val="sq-AL"/>
        </w:rPr>
        <w:t xml:space="preserve"> pagave të punonjësve kanë pretenduar se kjo </w:t>
      </w:r>
      <w:r w:rsidR="005D3CCC" w:rsidRPr="0032048B">
        <w:rPr>
          <w:sz w:val="24"/>
          <w:szCs w:val="24"/>
          <w:lang w:val="sq-AL"/>
        </w:rPr>
        <w:t>ë</w:t>
      </w:r>
      <w:r w:rsidRPr="0032048B">
        <w:rPr>
          <w:sz w:val="24"/>
          <w:szCs w:val="24"/>
          <w:lang w:val="sq-AL"/>
        </w:rPr>
        <w:t>sht</w:t>
      </w:r>
      <w:r w:rsidR="005D3CCC" w:rsidRPr="0032048B">
        <w:rPr>
          <w:sz w:val="24"/>
          <w:szCs w:val="24"/>
          <w:lang w:val="sq-AL"/>
        </w:rPr>
        <w:t>ë</w:t>
      </w:r>
      <w:r w:rsidRPr="0032048B">
        <w:rPr>
          <w:sz w:val="24"/>
          <w:szCs w:val="24"/>
          <w:lang w:val="sq-AL"/>
        </w:rPr>
        <w:t xml:space="preserve"> pjes</w:t>
      </w:r>
      <w:r w:rsidR="005D3CCC" w:rsidRPr="0032048B">
        <w:rPr>
          <w:sz w:val="24"/>
          <w:szCs w:val="24"/>
          <w:lang w:val="sq-AL"/>
        </w:rPr>
        <w:t>ë</w:t>
      </w:r>
      <w:r w:rsidRPr="0032048B">
        <w:rPr>
          <w:sz w:val="24"/>
          <w:szCs w:val="24"/>
          <w:lang w:val="sq-AL"/>
        </w:rPr>
        <w:t xml:space="preserve"> e </w:t>
      </w:r>
      <w:r w:rsidR="00026FA9" w:rsidRPr="0032048B">
        <w:rPr>
          <w:sz w:val="24"/>
          <w:szCs w:val="24"/>
          <w:lang w:val="sq-AL"/>
        </w:rPr>
        <w:t>presionit</w:t>
      </w:r>
      <w:r w:rsidRPr="0032048B">
        <w:rPr>
          <w:sz w:val="24"/>
          <w:szCs w:val="24"/>
          <w:lang w:val="sq-AL"/>
        </w:rPr>
        <w:t xml:space="preserve"> politik. </w:t>
      </w:r>
      <w:r w:rsidR="005D3CCC" w:rsidRPr="0032048B">
        <w:rPr>
          <w:sz w:val="24"/>
          <w:szCs w:val="24"/>
          <w:lang w:val="sq-AL"/>
        </w:rPr>
        <w:t>Ë</w:t>
      </w:r>
      <w:r w:rsidRPr="0032048B">
        <w:rPr>
          <w:sz w:val="24"/>
          <w:szCs w:val="24"/>
          <w:lang w:val="sq-AL"/>
        </w:rPr>
        <w:t>shtë e rëndësishme që puna, taksat dhe detyrimet e tjera ligjore të respektohen në mënyrë sistematike dhe pa diskriminim</w:t>
      </w:r>
      <w:r w:rsidRPr="0032048B">
        <w:rPr>
          <w:spacing w:val="-2"/>
          <w:sz w:val="24"/>
          <w:szCs w:val="24"/>
          <w:lang w:val="sq-AL"/>
        </w:rPr>
        <w:t>.</w:t>
      </w:r>
    </w:p>
    <w:p w14:paraId="56FCF068" w14:textId="7E16E753" w:rsidR="00380775" w:rsidRPr="0032048B" w:rsidRDefault="00380775" w:rsidP="00361D5A">
      <w:pPr>
        <w:tabs>
          <w:tab w:val="left" w:pos="1134"/>
          <w:tab w:val="left" w:pos="9360"/>
        </w:tabs>
        <w:spacing w:before="120"/>
        <w:ind w:left="993" w:right="1067"/>
        <w:jc w:val="both"/>
        <w:rPr>
          <w:sz w:val="24"/>
          <w:szCs w:val="24"/>
          <w:lang w:val="sq-AL"/>
        </w:rPr>
      </w:pPr>
      <w:r w:rsidRPr="0032048B">
        <w:rPr>
          <w:sz w:val="24"/>
          <w:szCs w:val="24"/>
          <w:lang w:val="sq-AL"/>
        </w:rPr>
        <w:t>Vetë-rregullimi duhet të forcohet dhe t</w:t>
      </w:r>
      <w:r w:rsidR="005D3CCC" w:rsidRPr="0032048B">
        <w:rPr>
          <w:sz w:val="24"/>
          <w:szCs w:val="24"/>
          <w:lang w:val="sq-AL"/>
        </w:rPr>
        <w:t>ë</w:t>
      </w:r>
      <w:r w:rsidRPr="0032048B">
        <w:rPr>
          <w:sz w:val="24"/>
          <w:szCs w:val="24"/>
          <w:lang w:val="sq-AL"/>
        </w:rPr>
        <w:t xml:space="preserve"> mbështetet më tej. Aleanca për Gazetarin</w:t>
      </w:r>
      <w:r w:rsidR="005D3CCC" w:rsidRPr="0032048B">
        <w:rPr>
          <w:sz w:val="24"/>
          <w:szCs w:val="24"/>
          <w:lang w:val="sq-AL"/>
        </w:rPr>
        <w:t>ë</w:t>
      </w:r>
      <w:r w:rsidRPr="0032048B">
        <w:rPr>
          <w:sz w:val="24"/>
          <w:szCs w:val="24"/>
          <w:lang w:val="sq-AL"/>
        </w:rPr>
        <w:t xml:space="preserve"> Etike, një grup që bashkon palët e interesuara (përfshirë ato në internet) të cilët zotohen të respektojnë kodin e etikës, ka filluar të zhvillojë disa aktivitete në këtë fushë.</w:t>
      </w:r>
    </w:p>
    <w:p w14:paraId="409FBCD8" w14:textId="77777777" w:rsidR="00380775" w:rsidRPr="0032048B" w:rsidRDefault="00380775" w:rsidP="00361D5A">
      <w:pPr>
        <w:tabs>
          <w:tab w:val="left" w:pos="1134"/>
          <w:tab w:val="left" w:pos="9360"/>
        </w:tabs>
        <w:spacing w:before="36"/>
        <w:ind w:left="993" w:right="1067"/>
        <w:rPr>
          <w:sz w:val="20"/>
          <w:szCs w:val="24"/>
          <w:lang w:val="sq-AL"/>
        </w:rPr>
      </w:pPr>
      <w:r w:rsidRPr="0032048B">
        <w:rPr>
          <w:sz w:val="24"/>
          <w:szCs w:val="24"/>
          <w:lang w:val="sq-AL" w:eastAsia="sq-AL"/>
        </w:rPr>
        <mc:AlternateContent>
          <mc:Choice Requires="wps">
            <w:drawing>
              <wp:anchor distT="0" distB="0" distL="0" distR="0" simplePos="0" relativeHeight="251658240" behindDoc="1" locked="0" layoutInCell="1" allowOverlap="1" wp14:anchorId="62F8A02C" wp14:editId="772598DD">
                <wp:simplePos x="0" y="0"/>
                <wp:positionH relativeFrom="page">
                  <wp:posOffset>914400</wp:posOffset>
                </wp:positionH>
                <wp:positionV relativeFrom="paragraph">
                  <wp:posOffset>184479</wp:posOffset>
                </wp:positionV>
                <wp:extent cx="568452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4520" cy="1270"/>
                        </a:xfrm>
                        <a:custGeom>
                          <a:avLst/>
                          <a:gdLst/>
                          <a:ahLst/>
                          <a:cxnLst/>
                          <a:rect l="l" t="t" r="r" b="b"/>
                          <a:pathLst>
                            <a:path w="5684520">
                              <a:moveTo>
                                <a:pt x="0" y="0"/>
                              </a:moveTo>
                              <a:lnTo>
                                <a:pt x="5684216"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9056141" id="Graphic 5" o:spid="_x0000_s1026" style="position:absolute;margin-left:1in;margin-top:14.55pt;width:447.6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5684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" path="m,l5684216,e" filled="f" strokeweight=".31239mm">
                <v:stroke dashstyle="dash"/>
                <v:path arrowok="t"/>
                <w10:wrap type="topAndBottom" anchorx="page"/>
              </v:shape>
            </w:pict>
          </mc:Fallback>
        </mc:AlternateContent>
      </w:r>
    </w:p>
    <w:p w14:paraId="4B1C75FF" w14:textId="77777777" w:rsidR="00380775" w:rsidRPr="0032048B" w:rsidRDefault="00380775" w:rsidP="00361D5A">
      <w:pPr>
        <w:tabs>
          <w:tab w:val="left" w:pos="1134"/>
          <w:tab w:val="left" w:pos="9360"/>
        </w:tabs>
        <w:spacing w:before="120"/>
        <w:ind w:left="993" w:right="1067"/>
        <w:jc w:val="both"/>
        <w:rPr>
          <w:bCs/>
          <w:sz w:val="24"/>
          <w:lang w:val="sq-AL"/>
        </w:rPr>
      </w:pPr>
      <w:r w:rsidRPr="0032048B">
        <w:rPr>
          <w:b/>
          <w:sz w:val="24"/>
          <w:lang w:val="sq-AL"/>
        </w:rPr>
        <w:t xml:space="preserve">Liria e tubimit dhe organizmit </w:t>
      </w:r>
      <w:r w:rsidRPr="0032048B">
        <w:rPr>
          <w:bCs/>
          <w:sz w:val="24"/>
          <w:lang w:val="sq-AL"/>
        </w:rPr>
        <w:t>garantohet me kushtetutë dhe vazhdon të respektohet përgjithësisht.</w:t>
      </w:r>
    </w:p>
    <w:p w14:paraId="1DE79513" w14:textId="77777777" w:rsidR="00380775" w:rsidRPr="0032048B" w:rsidRDefault="00380775" w:rsidP="00361D5A">
      <w:pPr>
        <w:tabs>
          <w:tab w:val="left" w:pos="1134"/>
          <w:tab w:val="left" w:pos="9360"/>
        </w:tabs>
        <w:spacing w:before="120"/>
        <w:ind w:left="993" w:right="1067"/>
        <w:jc w:val="both"/>
        <w:rPr>
          <w:bCs/>
          <w:sz w:val="24"/>
          <w:lang w:val="sq-AL"/>
        </w:rPr>
      </w:pPr>
      <w:r w:rsidRPr="0032048B">
        <w:rPr>
          <w:b/>
          <w:sz w:val="24"/>
          <w:lang w:val="sq-AL"/>
        </w:rPr>
        <w:t xml:space="preserve">Të drejtat e punës dhe sindikatave </w:t>
      </w:r>
      <w:r w:rsidRPr="0032048B">
        <w:rPr>
          <w:bCs/>
          <w:sz w:val="24"/>
          <w:lang w:val="sq-AL"/>
        </w:rPr>
        <w:t xml:space="preserve">trajtohen në </w:t>
      </w:r>
      <w:r w:rsidRPr="0032048B">
        <w:rPr>
          <w:bCs/>
          <w:i/>
          <w:iCs/>
          <w:sz w:val="24"/>
          <w:lang w:val="sq-AL"/>
        </w:rPr>
        <w:t>Kapitullin 19 - Politika Sociale dhe Punësimi</w:t>
      </w:r>
      <w:r w:rsidRPr="0032048B">
        <w:rPr>
          <w:bCs/>
          <w:sz w:val="24"/>
          <w:lang w:val="sq-AL"/>
        </w:rPr>
        <w:t>.</w:t>
      </w:r>
    </w:p>
    <w:p w14:paraId="584EC0C9" w14:textId="2524B1A9" w:rsidR="00380775" w:rsidRPr="0032048B" w:rsidRDefault="00380775" w:rsidP="00361D5A">
      <w:pPr>
        <w:tabs>
          <w:tab w:val="left" w:pos="1134"/>
          <w:tab w:val="left" w:pos="9360"/>
        </w:tabs>
        <w:spacing w:before="120"/>
        <w:ind w:left="993" w:right="1067"/>
        <w:jc w:val="both"/>
        <w:rPr>
          <w:sz w:val="24"/>
          <w:lang w:val="sq-AL"/>
        </w:rPr>
      </w:pPr>
      <w:r w:rsidRPr="0032048B">
        <w:rPr>
          <w:sz w:val="24"/>
          <w:lang w:val="sq-AL"/>
        </w:rPr>
        <w:t xml:space="preserve">Lidhur me të </w:t>
      </w:r>
      <w:r w:rsidRPr="0032048B">
        <w:rPr>
          <w:b/>
          <w:bCs/>
          <w:sz w:val="24"/>
          <w:lang w:val="sq-AL"/>
        </w:rPr>
        <w:t>drejtat e pronës</w:t>
      </w:r>
      <w:r w:rsidRPr="0032048B">
        <w:rPr>
          <w:sz w:val="24"/>
          <w:lang w:val="sq-AL"/>
        </w:rPr>
        <w:t>, u bë progres me miratimin e akteve n</w:t>
      </w:r>
      <w:r w:rsidR="005D3CCC" w:rsidRPr="0032048B">
        <w:rPr>
          <w:sz w:val="24"/>
          <w:lang w:val="sq-AL"/>
        </w:rPr>
        <w:t>ë</w:t>
      </w:r>
      <w:r w:rsidRPr="0032048B">
        <w:rPr>
          <w:sz w:val="24"/>
          <w:lang w:val="sq-AL"/>
        </w:rPr>
        <w:t>nligjore t</w:t>
      </w:r>
      <w:r w:rsidR="005D3CCC" w:rsidRPr="0032048B">
        <w:rPr>
          <w:sz w:val="24"/>
          <w:lang w:val="sq-AL"/>
        </w:rPr>
        <w:t>ë</w:t>
      </w:r>
      <w:r w:rsidRPr="0032048B">
        <w:rPr>
          <w:sz w:val="24"/>
          <w:lang w:val="sq-AL"/>
        </w:rPr>
        <w:t xml:space="preserve"> Ligjit për Kadastrën dhe Ligjin për Përfundimin e Proceseve Kalimtare të Pronësisë, por end ka sfida të rëndësishme. Kadastra shtet</w:t>
      </w:r>
      <w:r w:rsidR="005D3CCC" w:rsidRPr="0032048B">
        <w:rPr>
          <w:sz w:val="24"/>
          <w:lang w:val="sq-AL"/>
        </w:rPr>
        <w:t>ë</w:t>
      </w:r>
      <w:r w:rsidRPr="0032048B">
        <w:rPr>
          <w:sz w:val="24"/>
          <w:lang w:val="sq-AL"/>
        </w:rPr>
        <w:t>rore duhet të marr</w:t>
      </w:r>
      <w:r w:rsidR="005D3CCC" w:rsidRPr="0032048B">
        <w:rPr>
          <w:sz w:val="24"/>
          <w:lang w:val="sq-AL"/>
        </w:rPr>
        <w:t>ë</w:t>
      </w:r>
      <w:r w:rsidRPr="0032048B">
        <w:rPr>
          <w:sz w:val="24"/>
          <w:lang w:val="sq-AL"/>
        </w:rPr>
        <w:t xml:space="preserve"> masa efektive p</w:t>
      </w:r>
      <w:r w:rsidR="005D3CCC" w:rsidRPr="0032048B">
        <w:rPr>
          <w:sz w:val="24"/>
          <w:lang w:val="sq-AL"/>
        </w:rPr>
        <w:t>ë</w:t>
      </w:r>
      <w:r w:rsidRPr="0032048B">
        <w:rPr>
          <w:sz w:val="24"/>
          <w:lang w:val="sq-AL"/>
        </w:rPr>
        <w:t>r parandalimin e korrupsionit dhe, në përputhje me rrethanat, të krijoj</w:t>
      </w:r>
      <w:r w:rsidR="005D3CCC" w:rsidRPr="0032048B">
        <w:rPr>
          <w:sz w:val="24"/>
          <w:lang w:val="sq-AL"/>
        </w:rPr>
        <w:t>ë</w:t>
      </w:r>
      <w:r w:rsidRPr="0032048B">
        <w:rPr>
          <w:sz w:val="24"/>
          <w:lang w:val="sq-AL"/>
        </w:rPr>
        <w:t xml:space="preserve"> standarde të larta të transparencës dhe </w:t>
      </w:r>
      <w:proofErr w:type="spellStart"/>
      <w:r w:rsidRPr="0032048B">
        <w:rPr>
          <w:sz w:val="24"/>
          <w:lang w:val="sq-AL"/>
        </w:rPr>
        <w:t>eficens</w:t>
      </w:r>
      <w:r w:rsidR="005D3CCC" w:rsidRPr="0032048B">
        <w:rPr>
          <w:sz w:val="24"/>
          <w:lang w:val="sq-AL"/>
        </w:rPr>
        <w:t>ë</w:t>
      </w:r>
      <w:r w:rsidRPr="0032048B">
        <w:rPr>
          <w:sz w:val="24"/>
          <w:lang w:val="sq-AL"/>
        </w:rPr>
        <w:t>s</w:t>
      </w:r>
      <w:proofErr w:type="spellEnd"/>
      <w:r w:rsidRPr="0032048B">
        <w:rPr>
          <w:sz w:val="24"/>
          <w:lang w:val="sq-AL"/>
        </w:rPr>
        <w:t xml:space="preserve"> së procedurave, të zhvilloj</w:t>
      </w:r>
      <w:r w:rsidR="005D3CCC" w:rsidRPr="0032048B">
        <w:rPr>
          <w:sz w:val="24"/>
          <w:lang w:val="sq-AL"/>
        </w:rPr>
        <w:t>ë</w:t>
      </w:r>
      <w:r w:rsidRPr="0032048B">
        <w:rPr>
          <w:sz w:val="24"/>
          <w:lang w:val="sq-AL"/>
        </w:rPr>
        <w:t xml:space="preserve"> një sistem </w:t>
      </w:r>
      <w:proofErr w:type="spellStart"/>
      <w:r w:rsidRPr="0032048B">
        <w:rPr>
          <w:sz w:val="24"/>
          <w:lang w:val="sq-AL"/>
        </w:rPr>
        <w:t>eficent</w:t>
      </w:r>
      <w:proofErr w:type="spellEnd"/>
      <w:r w:rsidRPr="0032048B">
        <w:rPr>
          <w:sz w:val="24"/>
          <w:lang w:val="sq-AL"/>
        </w:rPr>
        <w:t xml:space="preserve"> të administrimit të integruar të tokës dhe të vazhdoj</w:t>
      </w:r>
      <w:r w:rsidR="005D3CCC" w:rsidRPr="0032048B">
        <w:rPr>
          <w:sz w:val="24"/>
          <w:lang w:val="sq-AL"/>
        </w:rPr>
        <w:t>ë</w:t>
      </w:r>
      <w:r w:rsidRPr="0032048B">
        <w:rPr>
          <w:sz w:val="24"/>
          <w:lang w:val="sq-AL"/>
        </w:rPr>
        <w:t xml:space="preserve"> fuqishëm me digjitalizimin sistematik dhe p</w:t>
      </w:r>
      <w:r w:rsidR="005D3CCC" w:rsidRPr="0032048B">
        <w:rPr>
          <w:sz w:val="24"/>
          <w:lang w:val="sq-AL"/>
        </w:rPr>
        <w:t>ë</w:t>
      </w:r>
      <w:r w:rsidRPr="0032048B">
        <w:rPr>
          <w:sz w:val="24"/>
          <w:lang w:val="sq-AL"/>
        </w:rPr>
        <w:t>rputhjen e kujdesshme të titujve t</w:t>
      </w:r>
      <w:r w:rsidR="005D3CCC" w:rsidRPr="0032048B">
        <w:rPr>
          <w:sz w:val="24"/>
          <w:lang w:val="sq-AL"/>
        </w:rPr>
        <w:t>ë</w:t>
      </w:r>
      <w:r w:rsidRPr="0032048B">
        <w:rPr>
          <w:sz w:val="24"/>
          <w:lang w:val="sq-AL"/>
        </w:rPr>
        <w:t xml:space="preserve"> pron</w:t>
      </w:r>
      <w:r w:rsidR="005D3CCC" w:rsidRPr="0032048B">
        <w:rPr>
          <w:sz w:val="24"/>
          <w:lang w:val="sq-AL"/>
        </w:rPr>
        <w:t>ë</w:t>
      </w:r>
      <w:r w:rsidRPr="0032048B">
        <w:rPr>
          <w:sz w:val="24"/>
          <w:lang w:val="sq-AL"/>
        </w:rPr>
        <w:t>sis</w:t>
      </w:r>
      <w:r w:rsidR="005D3CCC" w:rsidRPr="0032048B">
        <w:rPr>
          <w:sz w:val="24"/>
          <w:lang w:val="sq-AL"/>
        </w:rPr>
        <w:t>ë</w:t>
      </w:r>
      <w:r w:rsidRPr="0032048B">
        <w:rPr>
          <w:sz w:val="24"/>
          <w:lang w:val="sq-AL"/>
        </w:rPr>
        <w:t xml:space="preserve"> dhe hartave </w:t>
      </w:r>
      <w:proofErr w:type="spellStart"/>
      <w:r w:rsidRPr="0032048B">
        <w:rPr>
          <w:sz w:val="24"/>
          <w:lang w:val="sq-AL"/>
        </w:rPr>
        <w:t>kadastrale</w:t>
      </w:r>
      <w:proofErr w:type="spellEnd"/>
      <w:r w:rsidRPr="0032048B">
        <w:rPr>
          <w:sz w:val="24"/>
          <w:lang w:val="sq-AL"/>
        </w:rPr>
        <w:t xml:space="preserve">. Shqipëria ka miratuar Deklaratën e </w:t>
      </w:r>
      <w:proofErr w:type="spellStart"/>
      <w:r w:rsidRPr="0032048B">
        <w:rPr>
          <w:sz w:val="24"/>
          <w:lang w:val="sq-AL"/>
        </w:rPr>
        <w:t>Terezinit</w:t>
      </w:r>
      <w:proofErr w:type="spellEnd"/>
      <w:r w:rsidRPr="0032048B">
        <w:rPr>
          <w:sz w:val="24"/>
          <w:lang w:val="sq-AL"/>
        </w:rPr>
        <w:t xml:space="preserve"> në 2009, por nuk ka legjislacion p</w:t>
      </w:r>
      <w:r w:rsidR="005D3CCC" w:rsidRPr="0032048B">
        <w:rPr>
          <w:sz w:val="24"/>
          <w:lang w:val="sq-AL"/>
        </w:rPr>
        <w:t>ë</w:t>
      </w:r>
      <w:r w:rsidRPr="0032048B">
        <w:rPr>
          <w:sz w:val="24"/>
          <w:lang w:val="sq-AL"/>
        </w:rPr>
        <w:t>r kthimin ose kompensimin posaçërisht p</w:t>
      </w:r>
      <w:r w:rsidR="005D3CCC" w:rsidRPr="0032048B">
        <w:rPr>
          <w:sz w:val="24"/>
          <w:lang w:val="sq-AL"/>
        </w:rPr>
        <w:t>ë</w:t>
      </w:r>
      <w:r w:rsidRPr="0032048B">
        <w:rPr>
          <w:sz w:val="24"/>
          <w:lang w:val="sq-AL"/>
        </w:rPr>
        <w:t>r pronave private t</w:t>
      </w:r>
      <w:r w:rsidR="005D3CCC" w:rsidRPr="0032048B">
        <w:rPr>
          <w:sz w:val="24"/>
          <w:lang w:val="sq-AL"/>
        </w:rPr>
        <w:t>ë</w:t>
      </w:r>
      <w:r w:rsidRPr="0032048B">
        <w:rPr>
          <w:sz w:val="24"/>
          <w:lang w:val="sq-AL"/>
        </w:rPr>
        <w:t xml:space="preserve"> konfiskuara n</w:t>
      </w:r>
      <w:r w:rsidR="005D3CCC" w:rsidRPr="0032048B">
        <w:rPr>
          <w:sz w:val="24"/>
          <w:lang w:val="sq-AL"/>
        </w:rPr>
        <w:t>ë</w:t>
      </w:r>
      <w:r w:rsidRPr="0032048B">
        <w:rPr>
          <w:sz w:val="24"/>
          <w:lang w:val="sq-AL"/>
        </w:rPr>
        <w:t xml:space="preserve"> koh</w:t>
      </w:r>
      <w:r w:rsidR="005D3CCC" w:rsidRPr="0032048B">
        <w:rPr>
          <w:sz w:val="24"/>
          <w:lang w:val="sq-AL"/>
        </w:rPr>
        <w:t>ë</w:t>
      </w:r>
      <w:r w:rsidRPr="0032048B">
        <w:rPr>
          <w:sz w:val="24"/>
          <w:lang w:val="sq-AL"/>
        </w:rPr>
        <w:t>n e Holokaustit. Më shumë përpjekje janë të nevojshme për të përfunduar proceset kalimtare t</w:t>
      </w:r>
      <w:r w:rsidR="005D3CCC" w:rsidRPr="0032048B">
        <w:rPr>
          <w:sz w:val="24"/>
          <w:lang w:val="sq-AL"/>
        </w:rPr>
        <w:t>ë</w:t>
      </w:r>
      <w:r w:rsidRPr="0032048B">
        <w:rPr>
          <w:sz w:val="24"/>
          <w:lang w:val="sq-AL"/>
        </w:rPr>
        <w:t xml:space="preserve"> pronësisë, regjistrimet fillestare të pronave dhe kompensimin e duhur për pronat e shpronësuara në mënyrë të paligjshme gjatë epokës komuniste. Legalizimi, shpronësimi dhe prishja e ndërtimeve duhet t’i përmbahen </w:t>
      </w:r>
      <w:proofErr w:type="spellStart"/>
      <w:r w:rsidRPr="0032048B">
        <w:rPr>
          <w:sz w:val="24"/>
          <w:lang w:val="sq-AL"/>
        </w:rPr>
        <w:t>rreptësisht</w:t>
      </w:r>
      <w:proofErr w:type="spellEnd"/>
      <w:r w:rsidRPr="0032048B">
        <w:rPr>
          <w:sz w:val="24"/>
          <w:lang w:val="sq-AL"/>
        </w:rPr>
        <w:t xml:space="preserve"> kuadrit ligjor, përfshirë </w:t>
      </w:r>
      <w:r w:rsidRPr="0032048B">
        <w:rPr>
          <w:sz w:val="24"/>
          <w:lang w:val="sq-AL"/>
        </w:rPr>
        <w:lastRenderedPageBreak/>
        <w:t>parimin e transparencës dhe procesit të duhur gjyqësor.</w:t>
      </w:r>
    </w:p>
    <w:p w14:paraId="6046B26A" w14:textId="47310BFE" w:rsidR="00380775" w:rsidRPr="0032048B" w:rsidRDefault="00380775" w:rsidP="00361D5A">
      <w:pPr>
        <w:tabs>
          <w:tab w:val="left" w:pos="1134"/>
          <w:tab w:val="left" w:pos="9360"/>
        </w:tabs>
        <w:spacing w:before="120"/>
        <w:ind w:left="993" w:right="1067"/>
        <w:jc w:val="both"/>
        <w:rPr>
          <w:sz w:val="24"/>
          <w:lang w:val="sq-AL"/>
        </w:rPr>
      </w:pPr>
      <w:r w:rsidRPr="0032048B">
        <w:rPr>
          <w:sz w:val="24"/>
          <w:lang w:val="sq-AL"/>
        </w:rPr>
        <w:t xml:space="preserve">Në 270 zona </w:t>
      </w:r>
      <w:proofErr w:type="spellStart"/>
      <w:r w:rsidRPr="0032048B">
        <w:rPr>
          <w:sz w:val="24"/>
          <w:lang w:val="sq-AL"/>
        </w:rPr>
        <w:t>kadastrale</w:t>
      </w:r>
      <w:proofErr w:type="spellEnd"/>
      <w:r w:rsidRPr="0032048B">
        <w:rPr>
          <w:sz w:val="24"/>
          <w:lang w:val="sq-AL"/>
        </w:rPr>
        <w:t xml:space="preserve">, regjistrimet fillestare nuk kishin përfunduar ende dhe progresi ishte i ngadaltë, me vetëm 20 zona të regjistruara në 2022-2023. Ndërkohë, në zonat e regjistruara </w:t>
      </w:r>
      <w:proofErr w:type="spellStart"/>
      <w:r w:rsidRPr="0032048B">
        <w:rPr>
          <w:sz w:val="24"/>
          <w:lang w:val="sq-AL"/>
        </w:rPr>
        <w:t>kadastrale</w:t>
      </w:r>
      <w:proofErr w:type="spellEnd"/>
      <w:r w:rsidRPr="0032048B">
        <w:rPr>
          <w:sz w:val="24"/>
          <w:lang w:val="sq-AL"/>
        </w:rPr>
        <w:t>, 80% e të dhënave mendohet se</w:t>
      </w:r>
      <w:r w:rsidR="004D53EC">
        <w:rPr>
          <w:sz w:val="24"/>
          <w:lang w:val="sq-AL"/>
        </w:rPr>
        <w:t xml:space="preserve"> </w:t>
      </w:r>
      <w:r w:rsidRPr="0032048B">
        <w:rPr>
          <w:sz w:val="24"/>
          <w:lang w:val="sq-AL"/>
        </w:rPr>
        <w:t xml:space="preserve">janë të pasakta. Pronarët janë të paqartë dhe kufijtë e pronave mbivendosen për shkak të ndërhyrjeve të përsëritura dhe jo </w:t>
      </w:r>
      <w:proofErr w:type="spellStart"/>
      <w:r w:rsidRPr="0032048B">
        <w:rPr>
          <w:sz w:val="24"/>
          <w:lang w:val="sq-AL"/>
        </w:rPr>
        <w:t>konsistente</w:t>
      </w:r>
      <w:proofErr w:type="spellEnd"/>
      <w:r w:rsidRPr="0032048B">
        <w:rPr>
          <w:sz w:val="24"/>
          <w:lang w:val="sq-AL"/>
        </w:rPr>
        <w:t xml:space="preserve"> si dhe matjeve të gabuara gjatë dekadave të fundit.</w:t>
      </w:r>
    </w:p>
    <w:p w14:paraId="13376CB8" w14:textId="282F3491" w:rsidR="00380775" w:rsidRPr="0032048B" w:rsidRDefault="00380775" w:rsidP="00361D5A">
      <w:pPr>
        <w:tabs>
          <w:tab w:val="left" w:pos="1134"/>
          <w:tab w:val="left" w:pos="9360"/>
        </w:tabs>
        <w:spacing w:before="120"/>
        <w:ind w:left="993" w:right="1067"/>
        <w:jc w:val="both"/>
        <w:rPr>
          <w:sz w:val="24"/>
          <w:lang w:val="sq-AL"/>
        </w:rPr>
      </w:pPr>
      <w:r w:rsidRPr="0032048B">
        <w:rPr>
          <w:sz w:val="24"/>
          <w:lang w:val="sq-AL"/>
        </w:rPr>
        <w:t>Shumë tituj pron</w:t>
      </w:r>
      <w:r w:rsidR="005D3CCC" w:rsidRPr="0032048B">
        <w:rPr>
          <w:sz w:val="24"/>
          <w:lang w:val="sq-AL"/>
        </w:rPr>
        <w:t>ë</w:t>
      </w:r>
      <w:r w:rsidRPr="0032048B">
        <w:rPr>
          <w:sz w:val="24"/>
          <w:lang w:val="sq-AL"/>
        </w:rPr>
        <w:t xml:space="preserve">sie dhe harta </w:t>
      </w:r>
      <w:proofErr w:type="spellStart"/>
      <w:r w:rsidRPr="0032048B">
        <w:rPr>
          <w:sz w:val="24"/>
          <w:lang w:val="sq-AL"/>
        </w:rPr>
        <w:t>kadastrale</w:t>
      </w:r>
      <w:proofErr w:type="spellEnd"/>
      <w:r w:rsidRPr="0032048B">
        <w:rPr>
          <w:sz w:val="24"/>
          <w:lang w:val="sq-AL"/>
        </w:rPr>
        <w:t xml:space="preserve"> janë ende në format letre dhe shumë transaksione të pronave vazhdojnë të përpunohen bazuar në titujt dhe hartat në letër t</w:t>
      </w:r>
      <w:r w:rsidR="005D3CCC" w:rsidRPr="0032048B">
        <w:rPr>
          <w:sz w:val="24"/>
          <w:lang w:val="sq-AL"/>
        </w:rPr>
        <w:t>ë</w:t>
      </w:r>
      <w:r w:rsidRPr="0032048B">
        <w:rPr>
          <w:sz w:val="24"/>
          <w:lang w:val="sq-AL"/>
        </w:rPr>
        <w:t xml:space="preserve"> konsumuar me të dhëna të paqarta. Në vitin 2022, kadastra shtetërore filloi të digjitalizojë në mënyrë sistematike titujt e pronave dhe deri në prill 2023, kishte digjitalizuar afërsisht 40% të tyre. Digjitalizimi sistematik i hartave është vendosur të vazhdoj</w:t>
      </w:r>
      <w:r w:rsidR="005D3CCC" w:rsidRPr="0032048B">
        <w:rPr>
          <w:sz w:val="24"/>
          <w:lang w:val="sq-AL"/>
        </w:rPr>
        <w:t>ë</w:t>
      </w:r>
      <w:r w:rsidRPr="0032048B">
        <w:rPr>
          <w:sz w:val="24"/>
          <w:lang w:val="sq-AL"/>
        </w:rPr>
        <w:t xml:space="preserve"> në vitin 2023. Por, korrigjimi sistematik i të dhënave dhe matjeve mund të fillojë vetëm në 2024 ose më vonë, dhe </w:t>
      </w:r>
      <w:r w:rsidR="005D3CCC" w:rsidRPr="0032048B">
        <w:rPr>
          <w:sz w:val="24"/>
          <w:lang w:val="sq-AL"/>
        </w:rPr>
        <w:t>ë</w:t>
      </w:r>
      <w:r w:rsidRPr="0032048B">
        <w:rPr>
          <w:sz w:val="24"/>
          <w:lang w:val="sq-AL"/>
        </w:rPr>
        <w:t>sht</w:t>
      </w:r>
      <w:r w:rsidR="005D3CCC" w:rsidRPr="0032048B">
        <w:rPr>
          <w:sz w:val="24"/>
          <w:lang w:val="sq-AL"/>
        </w:rPr>
        <w:t>ë</w:t>
      </w:r>
      <w:r w:rsidRPr="0032048B">
        <w:rPr>
          <w:sz w:val="24"/>
          <w:lang w:val="sq-AL"/>
        </w:rPr>
        <w:t xml:space="preserve"> një proces që do të kërkojë investime të konsiderueshme dhe disa vjet të përfundojë.</w:t>
      </w:r>
    </w:p>
    <w:p w14:paraId="50528B03" w14:textId="5A4336D6" w:rsidR="00380775" w:rsidRPr="0032048B" w:rsidRDefault="00380775" w:rsidP="00361D5A">
      <w:pPr>
        <w:tabs>
          <w:tab w:val="left" w:pos="1134"/>
          <w:tab w:val="left" w:pos="9360"/>
        </w:tabs>
        <w:spacing w:before="120"/>
        <w:ind w:left="993" w:right="1067"/>
        <w:jc w:val="both"/>
        <w:rPr>
          <w:sz w:val="24"/>
          <w:lang w:val="sq-AL"/>
        </w:rPr>
      </w:pPr>
      <w:r w:rsidRPr="0032048B">
        <w:rPr>
          <w:sz w:val="24"/>
          <w:lang w:val="sq-AL"/>
        </w:rPr>
        <w:t>Procedurat e brendshme për regjistrimet e pasurive dhe transaksioneve vazhduan të mos plot</w:t>
      </w:r>
      <w:r w:rsidR="005D3CCC" w:rsidRPr="0032048B">
        <w:rPr>
          <w:sz w:val="24"/>
          <w:lang w:val="sq-AL"/>
        </w:rPr>
        <w:t>ë</w:t>
      </w:r>
      <w:r w:rsidRPr="0032048B">
        <w:rPr>
          <w:sz w:val="24"/>
          <w:lang w:val="sq-AL"/>
        </w:rPr>
        <w:t>sojn</w:t>
      </w:r>
      <w:r w:rsidR="005D3CCC" w:rsidRPr="0032048B">
        <w:rPr>
          <w:sz w:val="24"/>
          <w:lang w:val="sq-AL"/>
        </w:rPr>
        <w:t>ë</w:t>
      </w:r>
      <w:r w:rsidRPr="0032048B">
        <w:rPr>
          <w:sz w:val="24"/>
          <w:lang w:val="sq-AL"/>
        </w:rPr>
        <w:t xml:space="preserve"> standardet e përcaktuara t</w:t>
      </w:r>
      <w:r w:rsidR="005D3CCC" w:rsidRPr="0032048B">
        <w:rPr>
          <w:sz w:val="24"/>
          <w:lang w:val="sq-AL"/>
        </w:rPr>
        <w:t>ë</w:t>
      </w:r>
      <w:r w:rsidRPr="0032048B">
        <w:rPr>
          <w:sz w:val="24"/>
          <w:lang w:val="sq-AL"/>
        </w:rPr>
        <w:t xml:space="preserve"> qartësis</w:t>
      </w:r>
      <w:r w:rsidR="005D3CCC" w:rsidRPr="0032048B">
        <w:rPr>
          <w:sz w:val="24"/>
          <w:lang w:val="sq-AL"/>
        </w:rPr>
        <w:t>ë</w:t>
      </w:r>
      <w:r w:rsidRPr="0032048B">
        <w:rPr>
          <w:sz w:val="24"/>
          <w:lang w:val="sq-AL"/>
        </w:rPr>
        <w:t xml:space="preserve"> dhe masave </w:t>
      </w:r>
      <w:proofErr w:type="spellStart"/>
      <w:r w:rsidRPr="0032048B">
        <w:rPr>
          <w:sz w:val="24"/>
          <w:lang w:val="sq-AL"/>
        </w:rPr>
        <w:t>anti</w:t>
      </w:r>
      <w:proofErr w:type="spellEnd"/>
      <w:r w:rsidRPr="0032048B">
        <w:rPr>
          <w:sz w:val="24"/>
          <w:lang w:val="sq-AL"/>
        </w:rPr>
        <w:t>-ryshfet. Në punën e Drejtorisë së Përgjithshme Kundër Korrupsionit, 85% e të gjitha pretendimeve t</w:t>
      </w:r>
      <w:r w:rsidR="005D3CCC" w:rsidRPr="0032048B">
        <w:rPr>
          <w:sz w:val="24"/>
          <w:lang w:val="sq-AL"/>
        </w:rPr>
        <w:t>ë</w:t>
      </w:r>
      <w:r w:rsidRPr="0032048B">
        <w:rPr>
          <w:sz w:val="24"/>
          <w:lang w:val="sq-AL"/>
        </w:rPr>
        <w:t xml:space="preserve"> marra nga publiku p</w:t>
      </w:r>
      <w:r w:rsidR="005D3CCC" w:rsidRPr="0032048B">
        <w:rPr>
          <w:sz w:val="24"/>
          <w:lang w:val="sq-AL"/>
        </w:rPr>
        <w:t>ë</w:t>
      </w:r>
      <w:r w:rsidRPr="0032048B">
        <w:rPr>
          <w:sz w:val="24"/>
          <w:lang w:val="sq-AL"/>
        </w:rPr>
        <w:t>r korrupsion, 60% (160) e të gjitha masave administrative</w:t>
      </w:r>
      <w:r w:rsidR="004D53EC">
        <w:rPr>
          <w:sz w:val="24"/>
          <w:lang w:val="sq-AL"/>
        </w:rPr>
        <w:t xml:space="preserve"> </w:t>
      </w:r>
      <w:r w:rsidRPr="0032048B">
        <w:rPr>
          <w:sz w:val="24"/>
          <w:lang w:val="sq-AL"/>
        </w:rPr>
        <w:t>t</w:t>
      </w:r>
      <w:r w:rsidR="005D3CCC" w:rsidRPr="0032048B">
        <w:rPr>
          <w:sz w:val="24"/>
          <w:lang w:val="sq-AL"/>
        </w:rPr>
        <w:t>ë</w:t>
      </w:r>
      <w:r w:rsidRPr="0032048B">
        <w:rPr>
          <w:sz w:val="24"/>
          <w:lang w:val="sq-AL"/>
        </w:rPr>
        <w:t xml:space="preserve"> dh</w:t>
      </w:r>
      <w:r w:rsidR="005D3CCC" w:rsidRPr="0032048B">
        <w:rPr>
          <w:sz w:val="24"/>
          <w:lang w:val="sq-AL"/>
        </w:rPr>
        <w:t>ë</w:t>
      </w:r>
      <w:r w:rsidRPr="0032048B">
        <w:rPr>
          <w:sz w:val="24"/>
          <w:lang w:val="sq-AL"/>
        </w:rPr>
        <w:t>na dhe 70% (50) e të gjithë punonjësve që u kall</w:t>
      </w:r>
      <w:r w:rsidR="005D3CCC" w:rsidRPr="0032048B">
        <w:rPr>
          <w:sz w:val="24"/>
          <w:lang w:val="sq-AL"/>
        </w:rPr>
        <w:t>ë</w:t>
      </w:r>
      <w:r w:rsidRPr="0032048B">
        <w:rPr>
          <w:sz w:val="24"/>
          <w:lang w:val="sq-AL"/>
        </w:rPr>
        <w:t>zuan n</w:t>
      </w:r>
      <w:r w:rsidR="005D3CCC" w:rsidRPr="0032048B">
        <w:rPr>
          <w:sz w:val="24"/>
          <w:lang w:val="sq-AL"/>
        </w:rPr>
        <w:t>ë</w:t>
      </w:r>
      <w:r w:rsidRPr="0032048B">
        <w:rPr>
          <w:sz w:val="24"/>
          <w:lang w:val="sq-AL"/>
        </w:rPr>
        <w:t xml:space="preserve"> prokurori, kishin t</w:t>
      </w:r>
      <w:r w:rsidR="005D3CCC" w:rsidRPr="0032048B">
        <w:rPr>
          <w:sz w:val="24"/>
          <w:lang w:val="sq-AL"/>
        </w:rPr>
        <w:t>ë</w:t>
      </w:r>
      <w:r w:rsidRPr="0032048B">
        <w:rPr>
          <w:sz w:val="24"/>
          <w:lang w:val="sq-AL"/>
        </w:rPr>
        <w:t xml:space="preserve"> b</w:t>
      </w:r>
      <w:r w:rsidR="005D3CCC" w:rsidRPr="0032048B">
        <w:rPr>
          <w:sz w:val="24"/>
          <w:lang w:val="sq-AL"/>
        </w:rPr>
        <w:t>ë</w:t>
      </w:r>
      <w:r w:rsidRPr="0032048B">
        <w:rPr>
          <w:sz w:val="24"/>
          <w:lang w:val="sq-AL"/>
        </w:rPr>
        <w:t>nin me agjencin</w:t>
      </w:r>
      <w:r w:rsidR="005D3CCC" w:rsidRPr="0032048B">
        <w:rPr>
          <w:sz w:val="24"/>
          <w:lang w:val="sq-AL"/>
        </w:rPr>
        <w:t>ë</w:t>
      </w:r>
      <w:r w:rsidRPr="0032048B">
        <w:rPr>
          <w:sz w:val="24"/>
          <w:lang w:val="sq-AL"/>
        </w:rPr>
        <w:t xml:space="preserve"> shtetërore e kadastrës. Në këtë drejtim, kadastra e shtetit duhet të miratojë urgjentisht një plan të fort</w:t>
      </w:r>
      <w:r w:rsidR="005D3CCC" w:rsidRPr="0032048B">
        <w:rPr>
          <w:sz w:val="24"/>
          <w:lang w:val="sq-AL"/>
        </w:rPr>
        <w:t>ë</w:t>
      </w:r>
      <w:r w:rsidRPr="0032048B">
        <w:rPr>
          <w:sz w:val="24"/>
          <w:lang w:val="sq-AL"/>
        </w:rPr>
        <w:t xml:space="preserve"> integriteti dhe një strategji të zhvillimit institucional, si dhe të integrojë në mënyrë efektive standarde të larta të transparencës dhe llogaridh</w:t>
      </w:r>
      <w:r w:rsidR="005D3CCC" w:rsidRPr="0032048B">
        <w:rPr>
          <w:sz w:val="24"/>
          <w:lang w:val="sq-AL"/>
        </w:rPr>
        <w:t>ë</w:t>
      </w:r>
      <w:r w:rsidRPr="0032048B">
        <w:rPr>
          <w:sz w:val="24"/>
          <w:lang w:val="sq-AL"/>
        </w:rPr>
        <w:t>nies në procedurat e brendshme dhe sistemet e TI-s</w:t>
      </w:r>
      <w:r w:rsidR="005D3CCC" w:rsidRPr="0032048B">
        <w:rPr>
          <w:sz w:val="24"/>
          <w:lang w:val="sq-AL"/>
        </w:rPr>
        <w:t>ë</w:t>
      </w:r>
      <w:r w:rsidRPr="0032048B">
        <w:rPr>
          <w:sz w:val="24"/>
          <w:lang w:val="sq-AL"/>
        </w:rPr>
        <w:t>.</w:t>
      </w:r>
    </w:p>
    <w:p w14:paraId="09ABC676" w14:textId="195D2897" w:rsidR="00380775" w:rsidRPr="0032048B" w:rsidRDefault="00380775" w:rsidP="00361D5A">
      <w:pPr>
        <w:tabs>
          <w:tab w:val="left" w:pos="1134"/>
          <w:tab w:val="left" w:pos="9360"/>
        </w:tabs>
        <w:spacing w:before="120"/>
        <w:ind w:left="993" w:right="1067"/>
        <w:jc w:val="both"/>
        <w:rPr>
          <w:sz w:val="24"/>
          <w:lang w:val="sq-AL"/>
        </w:rPr>
      </w:pPr>
      <w:r w:rsidRPr="0032048B">
        <w:rPr>
          <w:sz w:val="24"/>
          <w:lang w:val="sq-AL"/>
        </w:rPr>
        <w:t>Kompensimi për pronat e konfiskuara nga regjimi komunist vazhdoi të ishte i bllokuar gjatë vitit 2022. Deri më tani, vetëm rreth 800 kërkesa janë plot</w:t>
      </w:r>
      <w:r w:rsidR="005D3CCC" w:rsidRPr="0032048B">
        <w:rPr>
          <w:sz w:val="24"/>
          <w:lang w:val="sq-AL"/>
        </w:rPr>
        <w:t>ë</w:t>
      </w:r>
      <w:r w:rsidRPr="0032048B">
        <w:rPr>
          <w:sz w:val="24"/>
          <w:lang w:val="sq-AL"/>
        </w:rPr>
        <w:t>suar, ndërsa Agjencia për Trajtimin e Pronave (ATP) ende duhet të përpunojë rreth 26 000 kërkesa për kompensim. Në vitin 2023, qeveria miratoi vendime për të zgjatur mandatin e ATP-s</w:t>
      </w:r>
      <w:r w:rsidR="005D3CCC" w:rsidRPr="0032048B">
        <w:rPr>
          <w:sz w:val="24"/>
          <w:lang w:val="sq-AL"/>
        </w:rPr>
        <w:t>ë</w:t>
      </w:r>
      <w:r w:rsidRPr="0032048B">
        <w:rPr>
          <w:sz w:val="24"/>
          <w:lang w:val="sq-AL"/>
        </w:rPr>
        <w:t xml:space="preserve"> dhe për të sqaruar llogaritjen e kompensimit për pronat q</w:t>
      </w:r>
      <w:r w:rsidR="005D3CCC" w:rsidRPr="0032048B">
        <w:rPr>
          <w:sz w:val="24"/>
          <w:lang w:val="sq-AL"/>
        </w:rPr>
        <w:t>ë</w:t>
      </w:r>
      <w:r w:rsidRPr="0032048B">
        <w:rPr>
          <w:sz w:val="24"/>
          <w:lang w:val="sq-AL"/>
        </w:rPr>
        <w:t xml:space="preserve"> kishin ndryshuar </w:t>
      </w:r>
      <w:proofErr w:type="spellStart"/>
      <w:r w:rsidRPr="0032048B">
        <w:rPr>
          <w:sz w:val="24"/>
          <w:lang w:val="sq-AL"/>
        </w:rPr>
        <w:t>destinacion</w:t>
      </w:r>
      <w:proofErr w:type="spellEnd"/>
      <w:r w:rsidRPr="0032048B">
        <w:rPr>
          <w:sz w:val="24"/>
          <w:lang w:val="sq-AL"/>
        </w:rPr>
        <w:t>, në veçanti nga toka bujq</w:t>
      </w:r>
      <w:r w:rsidR="005D3CCC" w:rsidRPr="0032048B">
        <w:rPr>
          <w:sz w:val="24"/>
          <w:lang w:val="sq-AL"/>
        </w:rPr>
        <w:t>ë</w:t>
      </w:r>
      <w:r w:rsidRPr="0032048B">
        <w:rPr>
          <w:sz w:val="24"/>
          <w:lang w:val="sq-AL"/>
        </w:rPr>
        <w:t>sore n</w:t>
      </w:r>
      <w:r w:rsidR="005D3CCC" w:rsidRPr="0032048B">
        <w:rPr>
          <w:sz w:val="24"/>
          <w:lang w:val="sq-AL"/>
        </w:rPr>
        <w:t>ë</w:t>
      </w:r>
      <w:r w:rsidRPr="0032048B">
        <w:rPr>
          <w:sz w:val="24"/>
          <w:lang w:val="sq-AL"/>
        </w:rPr>
        <w:t xml:space="preserve"> troje nd</w:t>
      </w:r>
      <w:r w:rsidR="005D3CCC" w:rsidRPr="0032048B">
        <w:rPr>
          <w:sz w:val="24"/>
          <w:lang w:val="sq-AL"/>
        </w:rPr>
        <w:t>ë</w:t>
      </w:r>
      <w:r w:rsidRPr="0032048B">
        <w:rPr>
          <w:sz w:val="24"/>
          <w:lang w:val="sq-AL"/>
        </w:rPr>
        <w:t>rtimi. ATP-ja duhet të përpunojë të gjitha kërkesat e mbetura pa vonesa të mëtejshme.</w:t>
      </w:r>
    </w:p>
    <w:p w14:paraId="1DE96493" w14:textId="723E6C64" w:rsidR="00380775" w:rsidRPr="0032048B" w:rsidRDefault="00380775" w:rsidP="00361D5A">
      <w:pPr>
        <w:tabs>
          <w:tab w:val="left" w:pos="1134"/>
          <w:tab w:val="left" w:pos="9360"/>
        </w:tabs>
        <w:spacing w:before="120"/>
        <w:ind w:left="993" w:right="1067"/>
        <w:jc w:val="both"/>
        <w:rPr>
          <w:b/>
          <w:sz w:val="24"/>
          <w:lang w:val="sq-AL"/>
        </w:rPr>
      </w:pPr>
      <w:r w:rsidRPr="0032048B">
        <w:rPr>
          <w:sz w:val="24"/>
          <w:lang w:val="sq-AL"/>
        </w:rPr>
        <w:t>Ankesa të shumta pati në lidhje me veprimet e agjencive qeveritare përgjegjëse për shpronësimin e pronave në interes t</w:t>
      </w:r>
      <w:r w:rsidR="005D3CCC" w:rsidRPr="0032048B">
        <w:rPr>
          <w:sz w:val="24"/>
          <w:lang w:val="sq-AL"/>
        </w:rPr>
        <w:t>ë</w:t>
      </w:r>
      <w:r w:rsidRPr="0032048B">
        <w:rPr>
          <w:sz w:val="24"/>
          <w:lang w:val="sq-AL"/>
        </w:rPr>
        <w:t xml:space="preserve"> publikut dhe shembjen e ndërtimeve të paligjshme, gjë që p</w:t>
      </w:r>
      <w:r w:rsidR="005D3CCC" w:rsidRPr="0032048B">
        <w:rPr>
          <w:sz w:val="24"/>
          <w:lang w:val="sq-AL"/>
        </w:rPr>
        <w:t>ë</w:t>
      </w:r>
      <w:r w:rsidRPr="0032048B">
        <w:rPr>
          <w:sz w:val="24"/>
          <w:lang w:val="sq-AL"/>
        </w:rPr>
        <w:t>rb</w:t>
      </w:r>
      <w:r w:rsidR="005D3CCC" w:rsidRPr="0032048B">
        <w:rPr>
          <w:sz w:val="24"/>
          <w:lang w:val="sq-AL"/>
        </w:rPr>
        <w:t>ë</w:t>
      </w:r>
      <w:r w:rsidRPr="0032048B">
        <w:rPr>
          <w:sz w:val="24"/>
          <w:lang w:val="sq-AL"/>
        </w:rPr>
        <w:t xml:space="preserve">n shkak për shqetësim. Organizatat e shoqërisë civile dhe palët e tjera të interesuara theksuan se qeveria e zbaton ligjin në mënyrë </w:t>
      </w:r>
      <w:proofErr w:type="spellStart"/>
      <w:r w:rsidRPr="0032048B">
        <w:rPr>
          <w:sz w:val="24"/>
          <w:lang w:val="sq-AL"/>
        </w:rPr>
        <w:t>selektive</w:t>
      </w:r>
      <w:proofErr w:type="spellEnd"/>
      <w:r w:rsidRPr="0032048B">
        <w:rPr>
          <w:sz w:val="24"/>
          <w:lang w:val="sq-AL"/>
        </w:rPr>
        <w:t>. Autoritetet duhet të sigurojnë që parimet e ligjshmërisë dhe transparencës, ndalimi i përdorimit arbitrar të pushtetit ekzekutiv, e drejta për një gjykim të drejtë dhe e drejta për zgjidhje efektive t</w:t>
      </w:r>
      <w:r w:rsidR="005D3CCC" w:rsidRPr="0032048B">
        <w:rPr>
          <w:sz w:val="24"/>
          <w:lang w:val="sq-AL"/>
        </w:rPr>
        <w:t>ë</w:t>
      </w:r>
      <w:r w:rsidRPr="0032048B">
        <w:rPr>
          <w:sz w:val="24"/>
          <w:lang w:val="sq-AL"/>
        </w:rPr>
        <w:t xml:space="preserve"> respektohen siç duhet në rastet e shpronësimit dhe heqjes së pronave.</w:t>
      </w:r>
      <w:r w:rsidRPr="0032048B">
        <w:rPr>
          <w:b/>
          <w:sz w:val="24"/>
          <w:lang w:val="sq-AL"/>
        </w:rPr>
        <w:t xml:space="preserve"> </w:t>
      </w:r>
    </w:p>
    <w:p w14:paraId="1DC42EBA" w14:textId="52C4C2A6" w:rsidR="00380775" w:rsidRPr="0032048B" w:rsidRDefault="00380775" w:rsidP="00361D5A">
      <w:pPr>
        <w:tabs>
          <w:tab w:val="left" w:pos="1134"/>
          <w:tab w:val="left" w:pos="9360"/>
        </w:tabs>
        <w:spacing w:before="120"/>
        <w:ind w:left="993" w:right="1067"/>
        <w:jc w:val="both"/>
        <w:rPr>
          <w:sz w:val="24"/>
          <w:szCs w:val="24"/>
          <w:lang w:val="sq-AL"/>
        </w:rPr>
      </w:pPr>
      <w:r w:rsidRPr="0032048B">
        <w:rPr>
          <w:sz w:val="24"/>
          <w:szCs w:val="24"/>
          <w:lang w:val="sq-AL"/>
        </w:rPr>
        <w:t>Ndryshimet legjislative t</w:t>
      </w:r>
      <w:r w:rsidR="005D3CCC" w:rsidRPr="0032048B">
        <w:rPr>
          <w:sz w:val="24"/>
          <w:szCs w:val="24"/>
          <w:lang w:val="sq-AL"/>
        </w:rPr>
        <w:t>ë</w:t>
      </w:r>
      <w:r w:rsidRPr="0032048B">
        <w:rPr>
          <w:sz w:val="24"/>
          <w:szCs w:val="24"/>
          <w:lang w:val="sq-AL"/>
        </w:rPr>
        <w:t xml:space="preserve"> vitit 2018 parashikuan regjistrimin e përbashkët të pasurive martesore. Por burrat ende zotërojnë zyrtarisht pjesën më të madhe të tokës private në vend. Për të forcuar të drejtat dhe interesat ligjore të grave, nocioni ligjor i "familjes bujqësore" mund të ket</w:t>
      </w:r>
      <w:r w:rsidR="005D3CCC" w:rsidRPr="0032048B">
        <w:rPr>
          <w:sz w:val="24"/>
          <w:szCs w:val="24"/>
          <w:lang w:val="sq-AL"/>
        </w:rPr>
        <w:t>ë</w:t>
      </w:r>
      <w:r w:rsidRPr="0032048B">
        <w:rPr>
          <w:sz w:val="24"/>
          <w:szCs w:val="24"/>
          <w:lang w:val="sq-AL"/>
        </w:rPr>
        <w:t xml:space="preserve"> nevoj</w:t>
      </w:r>
      <w:r w:rsidR="005D3CCC" w:rsidRPr="0032048B">
        <w:rPr>
          <w:sz w:val="24"/>
          <w:szCs w:val="24"/>
          <w:lang w:val="sq-AL"/>
        </w:rPr>
        <w:t>ë</w:t>
      </w:r>
      <w:r w:rsidRPr="0032048B">
        <w:rPr>
          <w:sz w:val="24"/>
          <w:szCs w:val="24"/>
          <w:lang w:val="sq-AL"/>
        </w:rPr>
        <w:t xml:space="preserve"> të rishikohet.</w:t>
      </w:r>
    </w:p>
    <w:p w14:paraId="0A414873" w14:textId="4C7DD070" w:rsidR="00380775" w:rsidRPr="0032048B" w:rsidRDefault="00380775" w:rsidP="00361D5A">
      <w:pPr>
        <w:tabs>
          <w:tab w:val="left" w:pos="1134"/>
          <w:tab w:val="left" w:pos="9360"/>
        </w:tabs>
        <w:spacing w:before="120"/>
        <w:ind w:left="993" w:right="1067"/>
        <w:jc w:val="both"/>
        <w:rPr>
          <w:sz w:val="24"/>
          <w:szCs w:val="24"/>
          <w:lang w:val="sq-AL"/>
        </w:rPr>
      </w:pPr>
      <w:r w:rsidRPr="0032048B">
        <w:rPr>
          <w:sz w:val="24"/>
          <w:szCs w:val="24"/>
          <w:lang w:val="sq-AL"/>
        </w:rPr>
        <w:t xml:space="preserve">Lidhur me </w:t>
      </w:r>
      <w:proofErr w:type="spellStart"/>
      <w:r w:rsidRPr="0032048B">
        <w:rPr>
          <w:b/>
          <w:bCs/>
          <w:sz w:val="24"/>
          <w:szCs w:val="24"/>
          <w:lang w:val="sq-AL"/>
        </w:rPr>
        <w:t>mosdiskriminimin</w:t>
      </w:r>
      <w:proofErr w:type="spellEnd"/>
      <w:r w:rsidRPr="0032048B">
        <w:rPr>
          <w:b/>
          <w:bCs/>
          <w:sz w:val="24"/>
          <w:szCs w:val="24"/>
          <w:lang w:val="sq-AL"/>
        </w:rPr>
        <w:t>,</w:t>
      </w:r>
      <w:r w:rsidRPr="0032048B">
        <w:rPr>
          <w:sz w:val="24"/>
          <w:szCs w:val="24"/>
          <w:lang w:val="sq-AL"/>
        </w:rPr>
        <w:t xml:space="preserve"> zbatimi i kuadrit ligjor dhe të politikave duhet të forcohet më tej, duke përfshirë sigurimin e trajnimeve të specializuara për gjyqtarët dhe prokurorët. Në vitin 2022, </w:t>
      </w:r>
      <w:proofErr w:type="spellStart"/>
      <w:r w:rsidRPr="0032048B">
        <w:rPr>
          <w:sz w:val="24"/>
          <w:szCs w:val="24"/>
          <w:lang w:val="sq-AL"/>
        </w:rPr>
        <w:t>Komisioneri</w:t>
      </w:r>
      <w:proofErr w:type="spellEnd"/>
      <w:r w:rsidRPr="0032048B">
        <w:rPr>
          <w:sz w:val="24"/>
          <w:szCs w:val="24"/>
          <w:lang w:val="sq-AL"/>
        </w:rPr>
        <w:t xml:space="preserve"> për Mbrojtjen nga Diskriminimi (KMD) vazhdoi të trajtojë një numër të pandryshuar të rasteve, kryesisht në fushat e punësimit dhe shërbimeve. Ligjet për gjuh</w:t>
      </w:r>
      <w:r w:rsidR="005D3CCC" w:rsidRPr="0032048B">
        <w:rPr>
          <w:sz w:val="24"/>
          <w:szCs w:val="24"/>
          <w:lang w:val="sq-AL"/>
        </w:rPr>
        <w:t>ë</w:t>
      </w:r>
      <w:r w:rsidRPr="0032048B">
        <w:rPr>
          <w:sz w:val="24"/>
          <w:szCs w:val="24"/>
          <w:lang w:val="sq-AL"/>
        </w:rPr>
        <w:t>n e urrejtjes janë në përputhje me standardet ndërkombëtare. Duhen nd</w:t>
      </w:r>
      <w:r w:rsidR="005D3CCC" w:rsidRPr="0032048B">
        <w:rPr>
          <w:sz w:val="24"/>
          <w:szCs w:val="24"/>
          <w:lang w:val="sq-AL"/>
        </w:rPr>
        <w:t>ë</w:t>
      </w:r>
      <w:r w:rsidRPr="0032048B">
        <w:rPr>
          <w:sz w:val="24"/>
          <w:szCs w:val="24"/>
          <w:lang w:val="sq-AL"/>
        </w:rPr>
        <w:t>rmarr</w:t>
      </w:r>
      <w:r w:rsidR="005D3CCC" w:rsidRPr="0032048B">
        <w:rPr>
          <w:sz w:val="24"/>
          <w:szCs w:val="24"/>
          <w:lang w:val="sq-AL"/>
        </w:rPr>
        <w:t>ë</w:t>
      </w:r>
      <w:r w:rsidRPr="0032048B">
        <w:rPr>
          <w:sz w:val="24"/>
          <w:szCs w:val="24"/>
          <w:lang w:val="sq-AL"/>
        </w:rPr>
        <w:t xml:space="preserve"> politika kombëtare q</w:t>
      </w:r>
      <w:r w:rsidR="005D3CCC" w:rsidRPr="0032048B">
        <w:rPr>
          <w:sz w:val="24"/>
          <w:szCs w:val="24"/>
          <w:lang w:val="sq-AL"/>
        </w:rPr>
        <w:t>ë</w:t>
      </w:r>
      <w:r w:rsidRPr="0032048B">
        <w:rPr>
          <w:sz w:val="24"/>
          <w:szCs w:val="24"/>
          <w:lang w:val="sq-AL"/>
        </w:rPr>
        <w:t xml:space="preserve"> parashikojn</w:t>
      </w:r>
      <w:r w:rsidR="005D3CCC" w:rsidRPr="0032048B">
        <w:rPr>
          <w:sz w:val="24"/>
          <w:szCs w:val="24"/>
          <w:lang w:val="sq-AL"/>
        </w:rPr>
        <w:t>ë</w:t>
      </w:r>
      <w:r w:rsidRPr="0032048B">
        <w:rPr>
          <w:sz w:val="24"/>
          <w:szCs w:val="24"/>
          <w:lang w:val="sq-AL"/>
        </w:rPr>
        <w:t xml:space="preserve"> udh</w:t>
      </w:r>
      <w:r w:rsidR="005D3CCC" w:rsidRPr="0032048B">
        <w:rPr>
          <w:sz w:val="24"/>
          <w:szCs w:val="24"/>
          <w:lang w:val="sq-AL"/>
        </w:rPr>
        <w:t>ë</w:t>
      </w:r>
      <w:r w:rsidRPr="0032048B">
        <w:rPr>
          <w:sz w:val="24"/>
          <w:szCs w:val="24"/>
          <w:lang w:val="sq-AL"/>
        </w:rPr>
        <w:t>zime p</w:t>
      </w:r>
      <w:r w:rsidR="005D3CCC" w:rsidRPr="0032048B">
        <w:rPr>
          <w:sz w:val="24"/>
          <w:szCs w:val="24"/>
          <w:lang w:val="sq-AL"/>
        </w:rPr>
        <w:t>ë</w:t>
      </w:r>
      <w:r w:rsidRPr="0032048B">
        <w:rPr>
          <w:sz w:val="24"/>
          <w:szCs w:val="24"/>
          <w:lang w:val="sq-AL"/>
        </w:rPr>
        <w:t>r luftën kundër formave të ndryshme të urrejtjes dhe diskriminimit. Zbatimi më i mirë i ligjeve dhe rritja e vetëdijes janë të nevojshme për të eliminuar gjuh</w:t>
      </w:r>
      <w:r w:rsidR="005D3CCC" w:rsidRPr="0032048B">
        <w:rPr>
          <w:sz w:val="24"/>
          <w:szCs w:val="24"/>
          <w:lang w:val="sq-AL"/>
        </w:rPr>
        <w:t>ë</w:t>
      </w:r>
      <w:r w:rsidRPr="0032048B">
        <w:rPr>
          <w:sz w:val="24"/>
          <w:szCs w:val="24"/>
          <w:lang w:val="sq-AL"/>
        </w:rPr>
        <w:t>n e urrejtjes, veçanërisht në zonat rurale dhe të largëta. Në vitin 2022, KMD-ja trajtoi gjashtë raste të gjuh</w:t>
      </w:r>
      <w:r w:rsidR="005D3CCC" w:rsidRPr="0032048B">
        <w:rPr>
          <w:sz w:val="24"/>
          <w:szCs w:val="24"/>
          <w:lang w:val="sq-AL"/>
        </w:rPr>
        <w:t>ë</w:t>
      </w:r>
      <w:r w:rsidRPr="0032048B">
        <w:rPr>
          <w:sz w:val="24"/>
          <w:szCs w:val="24"/>
          <w:lang w:val="sq-AL"/>
        </w:rPr>
        <w:t xml:space="preserve">s së urrejtjes, përfshirë mbi bazën e racës, gjinisë ose orientimit seksual, dhe konstatoi se gjuha e urrejtjes ishte përdorur në dy raste. Në vitin 2023, KMD-ja </w:t>
      </w:r>
      <w:r w:rsidRPr="0032048B">
        <w:rPr>
          <w:sz w:val="24"/>
          <w:szCs w:val="24"/>
          <w:lang w:val="sq-AL"/>
        </w:rPr>
        <w:lastRenderedPageBreak/>
        <w:t>trajtoi 3 raste të reja, nga të cilat dy janë në proces shqyrtimi.</w:t>
      </w:r>
      <w:r w:rsidR="00B31C99" w:rsidRPr="0032048B">
        <w:rPr>
          <w:sz w:val="24"/>
          <w:szCs w:val="24"/>
          <w:lang w:val="sq-AL"/>
        </w:rPr>
        <w:t xml:space="preserve"> Për krimin e urrejtjes, u bë progres i </w:t>
      </w:r>
      <w:r w:rsidR="00E247EA" w:rsidRPr="0032048B">
        <w:rPr>
          <w:sz w:val="24"/>
          <w:szCs w:val="24"/>
          <w:lang w:val="sq-AL"/>
        </w:rPr>
        <w:t>mirë</w:t>
      </w:r>
      <w:r w:rsidRPr="0032048B">
        <w:rPr>
          <w:sz w:val="24"/>
          <w:szCs w:val="24"/>
          <w:lang w:val="sq-AL"/>
        </w:rPr>
        <w:t xml:space="preserve"> në rritjen e kapaciteteve të agjencive të zbatimit të ligjit për t’iu përgjigjur këtij fenomeni. Sidoqoftë, rritja e mëtejshme e ndërgjegjësimit dhe krijimi i kapaciteteve t</w:t>
      </w:r>
      <w:r w:rsidR="005D3CCC" w:rsidRPr="0032048B">
        <w:rPr>
          <w:sz w:val="24"/>
          <w:szCs w:val="24"/>
          <w:lang w:val="sq-AL"/>
        </w:rPr>
        <w:t>ë</w:t>
      </w:r>
      <w:r w:rsidRPr="0032048B">
        <w:rPr>
          <w:sz w:val="24"/>
          <w:szCs w:val="24"/>
          <w:lang w:val="sq-AL"/>
        </w:rPr>
        <w:t xml:space="preserve"> zyrtarëve të drejtësisë penale për krimet e urrejtjes mbeten nevoj</w:t>
      </w:r>
      <w:r w:rsidR="005D3CCC" w:rsidRPr="0032048B">
        <w:rPr>
          <w:sz w:val="24"/>
          <w:szCs w:val="24"/>
          <w:lang w:val="sq-AL"/>
        </w:rPr>
        <w:t>ë</w:t>
      </w:r>
      <w:r w:rsidRPr="0032048B">
        <w:rPr>
          <w:sz w:val="24"/>
          <w:szCs w:val="24"/>
          <w:lang w:val="sq-AL"/>
        </w:rPr>
        <w:t>. Për më tepër, rekomandimet e ODIHR-it për mbledhjen e të dhënave dhe statistikave mbi krimet e urrejtjes ende nuk janë zbatuar plotësisht. Policia mori gjat</w:t>
      </w:r>
      <w:r w:rsidR="005D3CCC" w:rsidRPr="0032048B">
        <w:rPr>
          <w:sz w:val="24"/>
          <w:szCs w:val="24"/>
          <w:lang w:val="sq-AL"/>
        </w:rPr>
        <w:t>ë</w:t>
      </w:r>
      <w:r w:rsidRPr="0032048B">
        <w:rPr>
          <w:sz w:val="24"/>
          <w:szCs w:val="24"/>
          <w:lang w:val="sq-AL"/>
        </w:rPr>
        <w:t xml:space="preserve"> kall</w:t>
      </w:r>
      <w:r w:rsidR="005D3CCC" w:rsidRPr="0032048B">
        <w:rPr>
          <w:sz w:val="24"/>
          <w:szCs w:val="24"/>
          <w:lang w:val="sq-AL"/>
        </w:rPr>
        <w:t>ë</w:t>
      </w:r>
      <w:r w:rsidRPr="0032048B">
        <w:rPr>
          <w:sz w:val="24"/>
          <w:szCs w:val="24"/>
          <w:lang w:val="sq-AL"/>
        </w:rPr>
        <w:t>zime p</w:t>
      </w:r>
      <w:r w:rsidR="005D3CCC" w:rsidRPr="0032048B">
        <w:rPr>
          <w:sz w:val="24"/>
          <w:szCs w:val="24"/>
          <w:lang w:val="sq-AL"/>
        </w:rPr>
        <w:t>ë</w:t>
      </w:r>
      <w:r w:rsidRPr="0032048B">
        <w:rPr>
          <w:sz w:val="24"/>
          <w:szCs w:val="24"/>
          <w:lang w:val="sq-AL"/>
        </w:rPr>
        <w:t>r krimin e urrejtjes.</w:t>
      </w:r>
    </w:p>
    <w:p w14:paraId="05852412" w14:textId="20C12301" w:rsidR="00380775" w:rsidRPr="0032048B" w:rsidRDefault="00380775" w:rsidP="00361D5A">
      <w:pPr>
        <w:tabs>
          <w:tab w:val="left" w:pos="1134"/>
          <w:tab w:val="left" w:pos="9360"/>
        </w:tabs>
        <w:spacing w:before="120"/>
        <w:ind w:left="993" w:right="1067"/>
        <w:jc w:val="both"/>
        <w:rPr>
          <w:sz w:val="24"/>
          <w:szCs w:val="24"/>
          <w:lang w:val="sq-AL"/>
        </w:rPr>
      </w:pPr>
      <w:r w:rsidRPr="0032048B">
        <w:rPr>
          <w:sz w:val="24"/>
          <w:szCs w:val="24"/>
          <w:lang w:val="sq-AL"/>
        </w:rPr>
        <w:t xml:space="preserve">Strategjia Kombëtare e vitit 2021-2030 mbi </w:t>
      </w:r>
      <w:r w:rsidRPr="0032048B">
        <w:rPr>
          <w:b/>
          <w:bCs/>
          <w:sz w:val="24"/>
          <w:szCs w:val="24"/>
          <w:lang w:val="sq-AL"/>
        </w:rPr>
        <w:t>barazinë gjinore</w:t>
      </w:r>
      <w:r w:rsidRPr="0032048B">
        <w:rPr>
          <w:sz w:val="24"/>
          <w:szCs w:val="24"/>
          <w:lang w:val="sq-AL"/>
        </w:rPr>
        <w:t xml:space="preserve"> dhe plani i veprimit </w:t>
      </w:r>
      <w:r w:rsidR="00DA0377" w:rsidRPr="0032048B">
        <w:rPr>
          <w:sz w:val="24"/>
          <w:szCs w:val="24"/>
          <w:lang w:val="sq-AL"/>
        </w:rPr>
        <w:t>ndjekin nj</w:t>
      </w:r>
      <w:r w:rsidR="00EE18DF" w:rsidRPr="0032048B">
        <w:rPr>
          <w:sz w:val="24"/>
          <w:szCs w:val="24"/>
          <w:lang w:val="sq-AL"/>
        </w:rPr>
        <w:t>ë</w:t>
      </w:r>
      <w:r w:rsidR="00DA0377" w:rsidRPr="0032048B">
        <w:rPr>
          <w:sz w:val="24"/>
          <w:szCs w:val="24"/>
          <w:lang w:val="sq-AL"/>
        </w:rPr>
        <w:t xml:space="preserve"> qasje m</w:t>
      </w:r>
      <w:r w:rsidR="00EE18DF" w:rsidRPr="0032048B">
        <w:rPr>
          <w:sz w:val="24"/>
          <w:szCs w:val="24"/>
          <w:lang w:val="sq-AL"/>
        </w:rPr>
        <w:t>ë</w:t>
      </w:r>
      <w:r w:rsidR="00DA0377" w:rsidRPr="0032048B">
        <w:rPr>
          <w:sz w:val="24"/>
          <w:szCs w:val="24"/>
          <w:lang w:val="sq-AL"/>
        </w:rPr>
        <w:t xml:space="preserve"> t</w:t>
      </w:r>
      <w:r w:rsidR="00EE18DF" w:rsidRPr="0032048B">
        <w:rPr>
          <w:sz w:val="24"/>
          <w:szCs w:val="24"/>
          <w:lang w:val="sq-AL"/>
        </w:rPr>
        <w:t>ë</w:t>
      </w:r>
      <w:r w:rsidR="00DA0377" w:rsidRPr="0032048B">
        <w:rPr>
          <w:sz w:val="24"/>
          <w:szCs w:val="24"/>
          <w:lang w:val="sq-AL"/>
        </w:rPr>
        <w:t xml:space="preserve"> fort</w:t>
      </w:r>
      <w:r w:rsidR="00EE18DF" w:rsidRPr="0032048B">
        <w:rPr>
          <w:sz w:val="24"/>
          <w:szCs w:val="24"/>
          <w:lang w:val="sq-AL"/>
        </w:rPr>
        <w:t>ë</w:t>
      </w:r>
      <w:r w:rsidR="00DA0377" w:rsidRPr="0032048B">
        <w:rPr>
          <w:sz w:val="24"/>
          <w:szCs w:val="24"/>
          <w:lang w:val="sq-AL"/>
        </w:rPr>
        <w:t xml:space="preserve"> </w:t>
      </w:r>
      <w:r w:rsidRPr="0032048B">
        <w:rPr>
          <w:sz w:val="24"/>
          <w:szCs w:val="24"/>
          <w:lang w:val="sq-AL"/>
        </w:rPr>
        <w:t>lidhur me të drejtat e grave dhe burrave. Ajo përqendrohet tek njerëzit që përballen me forma t</w:t>
      </w:r>
      <w:r w:rsidR="005D3CCC" w:rsidRPr="0032048B">
        <w:rPr>
          <w:sz w:val="24"/>
          <w:szCs w:val="24"/>
          <w:lang w:val="sq-AL"/>
        </w:rPr>
        <w:t>ë</w:t>
      </w:r>
      <w:r w:rsidRPr="0032048B">
        <w:rPr>
          <w:sz w:val="24"/>
          <w:szCs w:val="24"/>
          <w:lang w:val="sq-AL"/>
        </w:rPr>
        <w:t xml:space="preserve"> nd</w:t>
      </w:r>
      <w:r w:rsidR="005D3CCC" w:rsidRPr="0032048B">
        <w:rPr>
          <w:sz w:val="24"/>
          <w:szCs w:val="24"/>
          <w:lang w:val="sq-AL"/>
        </w:rPr>
        <w:t>ë</w:t>
      </w:r>
      <w:r w:rsidRPr="0032048B">
        <w:rPr>
          <w:sz w:val="24"/>
          <w:szCs w:val="24"/>
          <w:lang w:val="sq-AL"/>
        </w:rPr>
        <w:t xml:space="preserve">rthurura të diskriminimit dhe </w:t>
      </w:r>
      <w:proofErr w:type="spellStart"/>
      <w:r w:rsidRPr="0032048B">
        <w:rPr>
          <w:sz w:val="24"/>
          <w:szCs w:val="24"/>
          <w:lang w:val="sq-AL"/>
        </w:rPr>
        <w:t>vulnerabilitetit</w:t>
      </w:r>
      <w:proofErr w:type="spellEnd"/>
      <w:r w:rsidRPr="0032048B">
        <w:rPr>
          <w:sz w:val="24"/>
          <w:szCs w:val="24"/>
          <w:lang w:val="sq-AL"/>
        </w:rPr>
        <w:t>, të rinjt</w:t>
      </w:r>
      <w:r w:rsidR="005D3CCC" w:rsidRPr="0032048B">
        <w:rPr>
          <w:sz w:val="24"/>
          <w:szCs w:val="24"/>
          <w:lang w:val="sq-AL"/>
        </w:rPr>
        <w:t>ë</w:t>
      </w:r>
      <w:r w:rsidRPr="0032048B">
        <w:rPr>
          <w:sz w:val="24"/>
          <w:szCs w:val="24"/>
          <w:lang w:val="sq-AL"/>
        </w:rPr>
        <w:t xml:space="preserve"> dhe reformat sociale, si dhe përfshin një seksion mbi urgjencat humanitare. Niveli i zbatimit t</w:t>
      </w:r>
      <w:r w:rsidR="005D3CCC" w:rsidRPr="0032048B">
        <w:rPr>
          <w:sz w:val="24"/>
          <w:szCs w:val="24"/>
          <w:lang w:val="sq-AL"/>
        </w:rPr>
        <w:t>ë</w:t>
      </w:r>
      <w:r w:rsidRPr="0032048B">
        <w:rPr>
          <w:sz w:val="24"/>
          <w:szCs w:val="24"/>
          <w:lang w:val="sq-AL"/>
        </w:rPr>
        <w:t xml:space="preserve"> tyre duhet t</w:t>
      </w:r>
      <w:r w:rsidR="005D3CCC" w:rsidRPr="0032048B">
        <w:rPr>
          <w:sz w:val="24"/>
          <w:szCs w:val="24"/>
          <w:lang w:val="sq-AL"/>
        </w:rPr>
        <w:t>ë</w:t>
      </w:r>
      <w:r w:rsidRPr="0032048B">
        <w:rPr>
          <w:sz w:val="24"/>
          <w:szCs w:val="24"/>
          <w:lang w:val="sq-AL"/>
        </w:rPr>
        <w:t xml:space="preserve"> rritet. Mekanizmit t</w:t>
      </w:r>
      <w:r w:rsidR="005D3CCC" w:rsidRPr="0032048B">
        <w:rPr>
          <w:sz w:val="24"/>
          <w:szCs w:val="24"/>
          <w:lang w:val="sq-AL"/>
        </w:rPr>
        <w:t>ë</w:t>
      </w:r>
      <w:r w:rsidRPr="0032048B">
        <w:rPr>
          <w:sz w:val="24"/>
          <w:szCs w:val="24"/>
          <w:lang w:val="sq-AL"/>
        </w:rPr>
        <w:t xml:space="preserve"> Barazisë Gjinore i mungojn</w:t>
      </w:r>
      <w:r w:rsidR="005D3CCC" w:rsidRPr="0032048B">
        <w:rPr>
          <w:sz w:val="24"/>
          <w:szCs w:val="24"/>
          <w:lang w:val="sq-AL"/>
        </w:rPr>
        <w:t>ë</w:t>
      </w:r>
      <w:r w:rsidRPr="0032048B">
        <w:rPr>
          <w:sz w:val="24"/>
          <w:szCs w:val="24"/>
          <w:lang w:val="sq-AL"/>
        </w:rPr>
        <w:t xml:space="preserve"> burimet e përshtatshme financiare dhe njerëzore, duke penguar kështu zbatimin e strategjisë. Përpjekje të mëtejshme janë të nevojshme për të përfunduar mbledhjen e të dhënave të parashikuara nga strategjia me q</w:t>
      </w:r>
      <w:r w:rsidR="005D3CCC" w:rsidRPr="0032048B">
        <w:rPr>
          <w:sz w:val="24"/>
          <w:szCs w:val="24"/>
          <w:lang w:val="sq-AL"/>
        </w:rPr>
        <w:t>ë</w:t>
      </w:r>
      <w:r w:rsidRPr="0032048B">
        <w:rPr>
          <w:sz w:val="24"/>
          <w:szCs w:val="24"/>
          <w:lang w:val="sq-AL"/>
        </w:rPr>
        <w:t>llim mund</w:t>
      </w:r>
      <w:r w:rsidR="005D3CCC" w:rsidRPr="0032048B">
        <w:rPr>
          <w:sz w:val="24"/>
          <w:szCs w:val="24"/>
          <w:lang w:val="sq-AL"/>
        </w:rPr>
        <w:t>ë</w:t>
      </w:r>
      <w:r w:rsidRPr="0032048B">
        <w:rPr>
          <w:sz w:val="24"/>
          <w:szCs w:val="24"/>
          <w:lang w:val="sq-AL"/>
        </w:rPr>
        <w:t>simin e monitorimit t</w:t>
      </w:r>
      <w:r w:rsidR="005D3CCC" w:rsidRPr="0032048B">
        <w:rPr>
          <w:sz w:val="24"/>
          <w:szCs w:val="24"/>
          <w:lang w:val="sq-AL"/>
        </w:rPr>
        <w:t>ë</w:t>
      </w:r>
      <w:r w:rsidRPr="0032048B">
        <w:rPr>
          <w:sz w:val="24"/>
          <w:szCs w:val="24"/>
          <w:lang w:val="sq-AL"/>
        </w:rPr>
        <w:t xml:space="preserve"> duhur.</w:t>
      </w:r>
    </w:p>
    <w:p w14:paraId="5FC5742B" w14:textId="7D7CC8E0" w:rsidR="00380775" w:rsidRPr="0032048B" w:rsidRDefault="00380775" w:rsidP="00361D5A">
      <w:pPr>
        <w:tabs>
          <w:tab w:val="left" w:pos="1134"/>
          <w:tab w:val="left" w:pos="9360"/>
        </w:tabs>
        <w:spacing w:before="120"/>
        <w:ind w:left="993" w:right="1067"/>
        <w:jc w:val="both"/>
        <w:rPr>
          <w:sz w:val="24"/>
          <w:szCs w:val="24"/>
          <w:lang w:val="sq-AL"/>
        </w:rPr>
      </w:pPr>
      <w:r w:rsidRPr="0032048B">
        <w:rPr>
          <w:sz w:val="24"/>
          <w:szCs w:val="24"/>
          <w:lang w:val="sq-AL"/>
        </w:rPr>
        <w:t xml:space="preserve">Zbatimi i </w:t>
      </w:r>
      <w:proofErr w:type="spellStart"/>
      <w:r w:rsidRPr="0032048B">
        <w:rPr>
          <w:sz w:val="24"/>
          <w:szCs w:val="24"/>
          <w:lang w:val="sq-AL"/>
        </w:rPr>
        <w:t>buxhetimit</w:t>
      </w:r>
      <w:proofErr w:type="spellEnd"/>
      <w:r w:rsidRPr="0032048B">
        <w:rPr>
          <w:sz w:val="24"/>
          <w:szCs w:val="24"/>
          <w:lang w:val="sq-AL"/>
        </w:rPr>
        <w:t xml:space="preserve"> të përgjegjshëm ndaj gjinisë ka vazhduar të përmirësohet. Në vitin 2022, të gjitha udhëzimet standarde të buxhetit përmbajnë </w:t>
      </w:r>
      <w:proofErr w:type="spellStart"/>
      <w:r w:rsidRPr="0032048B">
        <w:rPr>
          <w:sz w:val="24"/>
          <w:szCs w:val="24"/>
          <w:lang w:val="sq-AL"/>
        </w:rPr>
        <w:t>buxhetimin</w:t>
      </w:r>
      <w:proofErr w:type="spellEnd"/>
      <w:r w:rsidRPr="0032048B">
        <w:rPr>
          <w:sz w:val="24"/>
          <w:szCs w:val="24"/>
          <w:lang w:val="sq-AL"/>
        </w:rPr>
        <w:t xml:space="preserve"> e përgjegjshëm ndaj gjinisë, si pjesë t</w:t>
      </w:r>
      <w:r w:rsidR="005D3CCC" w:rsidRPr="0032048B">
        <w:rPr>
          <w:sz w:val="24"/>
          <w:szCs w:val="24"/>
          <w:lang w:val="sq-AL"/>
        </w:rPr>
        <w:t>ë</w:t>
      </w:r>
      <w:r w:rsidRPr="0032048B">
        <w:rPr>
          <w:sz w:val="24"/>
          <w:szCs w:val="24"/>
          <w:lang w:val="sq-AL"/>
        </w:rPr>
        <w:t xml:space="preserve"> kritereve për shpenzime dhe për he</w:t>
      </w:r>
      <w:r w:rsidR="00E247EA" w:rsidRPr="0032048B">
        <w:rPr>
          <w:sz w:val="24"/>
          <w:szCs w:val="24"/>
          <w:lang w:val="sq-AL"/>
        </w:rPr>
        <w:t xml:space="preserve">rë të parë projekt-buxhetit iu </w:t>
      </w:r>
      <w:proofErr w:type="spellStart"/>
      <w:r w:rsidRPr="0032048B">
        <w:rPr>
          <w:sz w:val="24"/>
          <w:szCs w:val="24"/>
          <w:lang w:val="sq-AL"/>
        </w:rPr>
        <w:t>bashkangjit</w:t>
      </w:r>
      <w:proofErr w:type="spellEnd"/>
      <w:r w:rsidRPr="0032048B">
        <w:rPr>
          <w:sz w:val="24"/>
          <w:szCs w:val="24"/>
          <w:lang w:val="sq-AL"/>
        </w:rPr>
        <w:t xml:space="preserve"> zyrtarisht deklarata e buxhetit gjinor. Në përgjithësi, 9% e programit të buxhetit afatmesëm 2023-2025 mbështet </w:t>
      </w:r>
      <w:proofErr w:type="spellStart"/>
      <w:r w:rsidRPr="0032048B">
        <w:rPr>
          <w:sz w:val="24"/>
          <w:szCs w:val="24"/>
          <w:lang w:val="sq-AL"/>
        </w:rPr>
        <w:t>specifikisht</w:t>
      </w:r>
      <w:proofErr w:type="spellEnd"/>
      <w:r w:rsidRPr="0032048B">
        <w:rPr>
          <w:sz w:val="24"/>
          <w:szCs w:val="24"/>
          <w:lang w:val="sq-AL"/>
        </w:rPr>
        <w:t xml:space="preserve"> rezultatet e barazisë gjinore. Gjithsej 47 programe buxhetore të 11 ministrive dhe dy institucioneve shtetërore ishin të përgjegjshëm ndaj gjinisë. Në nivelin lokal, 12% e financave publike janë të përgjegjshme ndaj gjinisë. Parlamenti ka shtuar angazhimin ndaj promovimi t</w:t>
      </w:r>
      <w:r w:rsidR="005D3CCC" w:rsidRPr="0032048B">
        <w:rPr>
          <w:sz w:val="24"/>
          <w:szCs w:val="24"/>
          <w:lang w:val="sq-AL"/>
        </w:rPr>
        <w:t>ë</w:t>
      </w:r>
      <w:r w:rsidRPr="0032048B">
        <w:rPr>
          <w:sz w:val="24"/>
          <w:szCs w:val="24"/>
          <w:lang w:val="sq-AL"/>
        </w:rPr>
        <w:t xml:space="preserve"> </w:t>
      </w:r>
      <w:proofErr w:type="spellStart"/>
      <w:r w:rsidRPr="0032048B">
        <w:rPr>
          <w:sz w:val="24"/>
          <w:szCs w:val="24"/>
          <w:lang w:val="sq-AL"/>
        </w:rPr>
        <w:t>buxhetimit</w:t>
      </w:r>
      <w:proofErr w:type="spellEnd"/>
      <w:r w:rsidRPr="0032048B">
        <w:rPr>
          <w:sz w:val="24"/>
          <w:szCs w:val="24"/>
          <w:lang w:val="sq-AL"/>
        </w:rPr>
        <w:t xml:space="preserve"> të përgjegjshëm ndaj gjinisë dhe promovimit t</w:t>
      </w:r>
      <w:r w:rsidR="005D3CCC" w:rsidRPr="0032048B">
        <w:rPr>
          <w:sz w:val="24"/>
          <w:szCs w:val="24"/>
          <w:lang w:val="sq-AL"/>
        </w:rPr>
        <w:t>ë</w:t>
      </w:r>
      <w:r w:rsidRPr="0032048B">
        <w:rPr>
          <w:sz w:val="24"/>
          <w:szCs w:val="24"/>
          <w:lang w:val="sq-AL"/>
        </w:rPr>
        <w:t xml:space="preserve"> barazisë gjinore më gjerësisht. Sidoqoftë, ai nuk ka një nën-komision funksional p</w:t>
      </w:r>
      <w:r w:rsidR="005D3CCC" w:rsidRPr="0032048B">
        <w:rPr>
          <w:sz w:val="24"/>
          <w:szCs w:val="24"/>
          <w:lang w:val="sq-AL"/>
        </w:rPr>
        <w:t>ë</w:t>
      </w:r>
      <w:r w:rsidRPr="0032048B">
        <w:rPr>
          <w:sz w:val="24"/>
          <w:szCs w:val="24"/>
          <w:lang w:val="sq-AL"/>
        </w:rPr>
        <w:t xml:space="preserve">r barazinë gjinore, dhe vlerësimi ndikimit rregullator nuk kryhet rregullisht, as nuk ka një dispozitë specifike për barazinë gjinore. Mjeti standard i vlerësimit të ndikimit gjinor </w:t>
      </w:r>
      <w:proofErr w:type="spellStart"/>
      <w:r w:rsidRPr="0032048B">
        <w:rPr>
          <w:i/>
          <w:sz w:val="24"/>
          <w:szCs w:val="24"/>
          <w:lang w:val="sq-AL"/>
        </w:rPr>
        <w:t>ex</w:t>
      </w:r>
      <w:proofErr w:type="spellEnd"/>
      <w:r w:rsidRPr="0032048B">
        <w:rPr>
          <w:i/>
          <w:sz w:val="24"/>
          <w:szCs w:val="24"/>
          <w:lang w:val="sq-AL"/>
        </w:rPr>
        <w:t xml:space="preserve"> </w:t>
      </w:r>
      <w:proofErr w:type="spellStart"/>
      <w:r w:rsidRPr="0032048B">
        <w:rPr>
          <w:i/>
          <w:sz w:val="24"/>
          <w:szCs w:val="24"/>
          <w:lang w:val="sq-AL"/>
        </w:rPr>
        <w:t>ante</w:t>
      </w:r>
      <w:proofErr w:type="spellEnd"/>
      <w:r w:rsidRPr="0032048B">
        <w:rPr>
          <w:sz w:val="24"/>
          <w:szCs w:val="24"/>
          <w:lang w:val="sq-AL"/>
        </w:rPr>
        <w:t xml:space="preserve"> q</w:t>
      </w:r>
      <w:r w:rsidR="005D3CCC" w:rsidRPr="0032048B">
        <w:rPr>
          <w:sz w:val="24"/>
          <w:szCs w:val="24"/>
          <w:lang w:val="sq-AL"/>
        </w:rPr>
        <w:t>ë</w:t>
      </w:r>
      <w:r w:rsidRPr="0032048B">
        <w:rPr>
          <w:sz w:val="24"/>
          <w:szCs w:val="24"/>
          <w:lang w:val="sq-AL"/>
        </w:rPr>
        <w:t xml:space="preserve"> p</w:t>
      </w:r>
      <w:r w:rsidR="005D3CCC" w:rsidRPr="0032048B">
        <w:rPr>
          <w:sz w:val="24"/>
          <w:szCs w:val="24"/>
          <w:lang w:val="sq-AL"/>
        </w:rPr>
        <w:t>ë</w:t>
      </w:r>
      <w:r w:rsidRPr="0032048B">
        <w:rPr>
          <w:sz w:val="24"/>
          <w:szCs w:val="24"/>
          <w:lang w:val="sq-AL"/>
        </w:rPr>
        <w:t>rdor BE-ja është përshtatur në kontekstin shqiptar, me një përqendrim specifik në integrimin e qëllimeve të barazisë gjinore me politikat që lidhen me tregun e brendshëm të BE-së.</w:t>
      </w:r>
    </w:p>
    <w:p w14:paraId="35068737" w14:textId="3A3891B7" w:rsidR="00380775" w:rsidRPr="0032048B" w:rsidRDefault="00380775" w:rsidP="00361D5A">
      <w:pPr>
        <w:tabs>
          <w:tab w:val="left" w:pos="1134"/>
          <w:tab w:val="left" w:pos="9360"/>
        </w:tabs>
        <w:spacing w:before="120"/>
        <w:ind w:left="993" w:right="1067"/>
        <w:jc w:val="both"/>
        <w:rPr>
          <w:sz w:val="24"/>
          <w:szCs w:val="24"/>
          <w:lang w:val="sq-AL"/>
        </w:rPr>
      </w:pPr>
      <w:r w:rsidRPr="0032048B">
        <w:rPr>
          <w:sz w:val="24"/>
          <w:szCs w:val="24"/>
          <w:lang w:val="sq-AL"/>
        </w:rPr>
        <w:t>Tetëmbëdhjetë bashki nënshkruan Kartën Evropiane për Barazinë e Grave dhe Burrave në jetën lokale, dhe pesë bashki (Elbasan, Tiran</w:t>
      </w:r>
      <w:r w:rsidR="005D3CCC" w:rsidRPr="0032048B">
        <w:rPr>
          <w:sz w:val="24"/>
          <w:szCs w:val="24"/>
          <w:lang w:val="sq-AL"/>
        </w:rPr>
        <w:t>ë</w:t>
      </w:r>
      <w:r w:rsidRPr="0032048B">
        <w:rPr>
          <w:sz w:val="24"/>
          <w:szCs w:val="24"/>
          <w:lang w:val="sq-AL"/>
        </w:rPr>
        <w:t>, Durr</w:t>
      </w:r>
      <w:r w:rsidR="005D3CCC" w:rsidRPr="0032048B">
        <w:rPr>
          <w:sz w:val="24"/>
          <w:szCs w:val="24"/>
          <w:lang w:val="sq-AL"/>
        </w:rPr>
        <w:t>ë</w:t>
      </w:r>
      <w:r w:rsidRPr="0032048B">
        <w:rPr>
          <w:sz w:val="24"/>
          <w:szCs w:val="24"/>
          <w:lang w:val="sq-AL"/>
        </w:rPr>
        <w:t>s, Gjirokast</w:t>
      </w:r>
      <w:r w:rsidR="005D3CCC" w:rsidRPr="0032048B">
        <w:rPr>
          <w:sz w:val="24"/>
          <w:szCs w:val="24"/>
          <w:lang w:val="sq-AL"/>
        </w:rPr>
        <w:t>ë</w:t>
      </w:r>
      <w:r w:rsidRPr="0032048B">
        <w:rPr>
          <w:sz w:val="24"/>
          <w:szCs w:val="24"/>
          <w:lang w:val="sq-AL"/>
        </w:rPr>
        <w:t>r dhe Gramsh) kanë zhvilluar dhe aprovuar plane lokale të veprimit gjinor. Planet janë të dobishme për zbatimin e Kartës Evropiane, si dhe Strategjisë Kombëtare për Barazinë Gjinore.</w:t>
      </w:r>
    </w:p>
    <w:p w14:paraId="567E0A8B" w14:textId="1382F396" w:rsidR="00380775" w:rsidRPr="0032048B" w:rsidRDefault="00380775" w:rsidP="00361D5A">
      <w:pPr>
        <w:tabs>
          <w:tab w:val="left" w:pos="1134"/>
          <w:tab w:val="left" w:pos="9360"/>
        </w:tabs>
        <w:spacing w:before="120"/>
        <w:ind w:left="993" w:right="1067"/>
        <w:jc w:val="both"/>
        <w:rPr>
          <w:sz w:val="24"/>
          <w:szCs w:val="24"/>
          <w:lang w:val="sq-AL"/>
        </w:rPr>
      </w:pPr>
      <w:r w:rsidRPr="0032048B">
        <w:rPr>
          <w:sz w:val="24"/>
          <w:szCs w:val="24"/>
          <w:lang w:val="sq-AL"/>
        </w:rPr>
        <w:t>Që nga janari i vitit 2022, qeveria shqiptare ka zbatuar një sërë masash që synojnë mbështetjen e familjeve, grave dhe vajzave, si dhe grupeve të cenueshme, n</w:t>
      </w:r>
      <w:r w:rsidR="005D3CCC" w:rsidRPr="0032048B">
        <w:rPr>
          <w:sz w:val="24"/>
          <w:szCs w:val="24"/>
          <w:lang w:val="sq-AL"/>
        </w:rPr>
        <w:t>ë</w:t>
      </w:r>
      <w:r w:rsidRPr="0032048B">
        <w:rPr>
          <w:sz w:val="24"/>
          <w:szCs w:val="24"/>
          <w:lang w:val="sq-AL"/>
        </w:rPr>
        <w:t xml:space="preserve"> përgjigje ndaj krizës globale të shkaktuar nga Pandemia Covid-19 dhe Lufta e Agresionit të Rusis</w:t>
      </w:r>
      <w:r w:rsidR="005D3CCC" w:rsidRPr="0032048B">
        <w:rPr>
          <w:sz w:val="24"/>
          <w:szCs w:val="24"/>
          <w:lang w:val="sq-AL"/>
        </w:rPr>
        <w:t>ë</w:t>
      </w:r>
      <w:r w:rsidRPr="0032048B">
        <w:rPr>
          <w:sz w:val="24"/>
          <w:szCs w:val="24"/>
          <w:lang w:val="sq-AL"/>
        </w:rPr>
        <w:t xml:space="preserve"> kund</w:t>
      </w:r>
      <w:r w:rsidR="005D3CCC" w:rsidRPr="0032048B">
        <w:rPr>
          <w:sz w:val="24"/>
          <w:szCs w:val="24"/>
          <w:lang w:val="sq-AL"/>
        </w:rPr>
        <w:t>ë</w:t>
      </w:r>
      <w:r w:rsidRPr="0032048B">
        <w:rPr>
          <w:sz w:val="24"/>
          <w:szCs w:val="24"/>
          <w:lang w:val="sq-AL"/>
        </w:rPr>
        <w:t>r Ukrainës.</w:t>
      </w:r>
    </w:p>
    <w:p w14:paraId="3C674DDD" w14:textId="30C00090" w:rsidR="00380775" w:rsidRPr="0032048B" w:rsidRDefault="00380775" w:rsidP="00361D5A">
      <w:pPr>
        <w:tabs>
          <w:tab w:val="left" w:pos="1134"/>
          <w:tab w:val="left" w:pos="9360"/>
        </w:tabs>
        <w:spacing w:before="120"/>
        <w:ind w:left="993" w:right="1067"/>
        <w:jc w:val="both"/>
        <w:rPr>
          <w:sz w:val="24"/>
          <w:szCs w:val="24"/>
          <w:lang w:val="sq-AL"/>
        </w:rPr>
      </w:pPr>
      <w:r w:rsidRPr="0032048B">
        <w:rPr>
          <w:sz w:val="24"/>
          <w:szCs w:val="24"/>
          <w:lang w:val="sq-AL"/>
        </w:rPr>
        <w:t>Në janar-qershor 2022, 916 viktima të dhunës në familje të pajisur me urdhër mbrojtjeje përfituan nga ndihma ekonomike, e cila është trefishuar, nga 3 000 lek</w:t>
      </w:r>
      <w:r w:rsidR="005D3CCC" w:rsidRPr="0032048B">
        <w:rPr>
          <w:sz w:val="24"/>
          <w:szCs w:val="24"/>
          <w:lang w:val="sq-AL"/>
        </w:rPr>
        <w:t>ë</w:t>
      </w:r>
      <w:r w:rsidRPr="0032048B">
        <w:rPr>
          <w:sz w:val="24"/>
          <w:szCs w:val="24"/>
          <w:lang w:val="sq-AL"/>
        </w:rPr>
        <w:t xml:space="preserve"> n</w:t>
      </w:r>
      <w:r w:rsidR="005D3CCC" w:rsidRPr="0032048B">
        <w:rPr>
          <w:sz w:val="24"/>
          <w:szCs w:val="24"/>
          <w:lang w:val="sq-AL"/>
        </w:rPr>
        <w:t>ë</w:t>
      </w:r>
      <w:r w:rsidRPr="0032048B">
        <w:rPr>
          <w:sz w:val="24"/>
          <w:szCs w:val="24"/>
          <w:lang w:val="sq-AL"/>
        </w:rPr>
        <w:t xml:space="preserve"> 9 000 lek</w:t>
      </w:r>
      <w:r w:rsidR="005D3CCC" w:rsidRPr="0032048B">
        <w:rPr>
          <w:sz w:val="24"/>
          <w:szCs w:val="24"/>
          <w:lang w:val="sq-AL"/>
        </w:rPr>
        <w:t>ë</w:t>
      </w:r>
      <w:r w:rsidRPr="0032048B">
        <w:rPr>
          <w:sz w:val="24"/>
          <w:szCs w:val="24"/>
          <w:lang w:val="sq-AL"/>
        </w:rPr>
        <w:t>.</w:t>
      </w:r>
    </w:p>
    <w:p w14:paraId="6222E92E" w14:textId="7516F7F4" w:rsidR="00380775" w:rsidRPr="0032048B" w:rsidRDefault="00380775" w:rsidP="00361D5A">
      <w:pPr>
        <w:tabs>
          <w:tab w:val="left" w:pos="1134"/>
          <w:tab w:val="left" w:pos="9360"/>
        </w:tabs>
        <w:spacing w:before="120"/>
        <w:ind w:left="993" w:right="1067"/>
        <w:jc w:val="both"/>
        <w:rPr>
          <w:sz w:val="24"/>
          <w:szCs w:val="24"/>
          <w:lang w:val="sq-AL"/>
        </w:rPr>
      </w:pPr>
      <w:r w:rsidRPr="0032048B">
        <w:rPr>
          <w:sz w:val="24"/>
          <w:szCs w:val="24"/>
          <w:lang w:val="sq-AL"/>
        </w:rPr>
        <w:t xml:space="preserve">Ligji për Shëndetin Riprodhues nuk </w:t>
      </w:r>
      <w:r w:rsidR="00E247EA" w:rsidRPr="0032048B">
        <w:rPr>
          <w:sz w:val="24"/>
          <w:szCs w:val="24"/>
          <w:lang w:val="sq-AL"/>
        </w:rPr>
        <w:t>përmban</w:t>
      </w:r>
      <w:r w:rsidRPr="0032048B">
        <w:rPr>
          <w:sz w:val="24"/>
          <w:szCs w:val="24"/>
          <w:lang w:val="sq-AL"/>
        </w:rPr>
        <w:t xml:space="preserve"> parashikime lidhur me mekanizmat e referimit midis niveleve të ndryshme të kujdesit, trajnimin për ofruesit e kujdesit shëndetësor, shërbimet miqësore p</w:t>
      </w:r>
      <w:r w:rsidR="005D3CCC" w:rsidRPr="0032048B">
        <w:rPr>
          <w:sz w:val="24"/>
          <w:szCs w:val="24"/>
          <w:lang w:val="sq-AL"/>
        </w:rPr>
        <w:t>ë</w:t>
      </w:r>
      <w:r w:rsidRPr="0032048B">
        <w:rPr>
          <w:sz w:val="24"/>
          <w:szCs w:val="24"/>
          <w:lang w:val="sq-AL"/>
        </w:rPr>
        <w:t>r të rinjt</w:t>
      </w:r>
      <w:r w:rsidR="005D3CCC" w:rsidRPr="0032048B">
        <w:rPr>
          <w:sz w:val="24"/>
          <w:szCs w:val="24"/>
          <w:lang w:val="sq-AL"/>
        </w:rPr>
        <w:t>ë</w:t>
      </w:r>
      <w:r w:rsidRPr="0032048B">
        <w:rPr>
          <w:sz w:val="24"/>
          <w:szCs w:val="24"/>
          <w:lang w:val="sq-AL"/>
        </w:rPr>
        <w:t xml:space="preserve"> dhe komunikimin me grupet e cenueshme. Ministria e Shëndetësisë dhe Mbrojtjes Sociale ka bërë përpjekje për të monitoruar dhe siguruar trajnime për personelin shëndetësor për identifikimin dhe trajtimin e çështjes së abortit </w:t>
      </w:r>
      <w:proofErr w:type="spellStart"/>
      <w:r w:rsidRPr="0032048B">
        <w:rPr>
          <w:sz w:val="24"/>
          <w:szCs w:val="24"/>
          <w:lang w:val="sq-AL"/>
        </w:rPr>
        <w:t>selektiv</w:t>
      </w:r>
      <w:proofErr w:type="spellEnd"/>
      <w:r w:rsidRPr="0032048B">
        <w:rPr>
          <w:sz w:val="24"/>
          <w:szCs w:val="24"/>
          <w:lang w:val="sq-AL"/>
        </w:rPr>
        <w:t xml:space="preserve"> të njëanshëm gjinor, por duhen b</w:t>
      </w:r>
      <w:r w:rsidR="005D3CCC" w:rsidRPr="0032048B">
        <w:rPr>
          <w:sz w:val="24"/>
          <w:szCs w:val="24"/>
          <w:lang w:val="sq-AL"/>
        </w:rPr>
        <w:t>ë</w:t>
      </w:r>
      <w:r w:rsidRPr="0032048B">
        <w:rPr>
          <w:sz w:val="24"/>
          <w:szCs w:val="24"/>
          <w:lang w:val="sq-AL"/>
        </w:rPr>
        <w:t>r</w:t>
      </w:r>
      <w:r w:rsidR="005D3CCC" w:rsidRPr="0032048B">
        <w:rPr>
          <w:sz w:val="24"/>
          <w:szCs w:val="24"/>
          <w:lang w:val="sq-AL"/>
        </w:rPr>
        <w:t>ë</w:t>
      </w:r>
      <w:r w:rsidRPr="0032048B">
        <w:rPr>
          <w:sz w:val="24"/>
          <w:szCs w:val="24"/>
          <w:lang w:val="sq-AL"/>
        </w:rPr>
        <w:t xml:space="preserve"> përpjekje p</w:t>
      </w:r>
      <w:r w:rsidR="005D3CCC" w:rsidRPr="0032048B">
        <w:rPr>
          <w:sz w:val="24"/>
          <w:szCs w:val="24"/>
          <w:lang w:val="sq-AL"/>
        </w:rPr>
        <w:t>ë</w:t>
      </w:r>
      <w:r w:rsidRPr="0032048B">
        <w:rPr>
          <w:sz w:val="24"/>
          <w:szCs w:val="24"/>
          <w:lang w:val="sq-AL"/>
        </w:rPr>
        <w:t>r t</w:t>
      </w:r>
      <w:r w:rsidR="005D3CCC" w:rsidRPr="0032048B">
        <w:rPr>
          <w:sz w:val="24"/>
          <w:szCs w:val="24"/>
          <w:lang w:val="sq-AL"/>
        </w:rPr>
        <w:t>ë</w:t>
      </w:r>
      <w:r w:rsidRPr="0032048B">
        <w:rPr>
          <w:sz w:val="24"/>
          <w:szCs w:val="24"/>
          <w:lang w:val="sq-AL"/>
        </w:rPr>
        <w:t xml:space="preserve"> siguruar monitorimin e asaj q</w:t>
      </w:r>
      <w:r w:rsidR="005D3CCC" w:rsidRPr="0032048B">
        <w:rPr>
          <w:sz w:val="24"/>
          <w:szCs w:val="24"/>
          <w:lang w:val="sq-AL"/>
        </w:rPr>
        <w:t>ë</w:t>
      </w:r>
      <w:r w:rsidRPr="0032048B">
        <w:rPr>
          <w:sz w:val="24"/>
          <w:szCs w:val="24"/>
          <w:lang w:val="sq-AL"/>
        </w:rPr>
        <w:t xml:space="preserve"> ndodh n</w:t>
      </w:r>
      <w:r w:rsidR="005D3CCC" w:rsidRPr="0032048B">
        <w:rPr>
          <w:sz w:val="24"/>
          <w:szCs w:val="24"/>
          <w:lang w:val="sq-AL"/>
        </w:rPr>
        <w:t>ë</w:t>
      </w:r>
      <w:r w:rsidRPr="0032048B">
        <w:rPr>
          <w:sz w:val="24"/>
          <w:szCs w:val="24"/>
          <w:lang w:val="sq-AL"/>
        </w:rPr>
        <w:t xml:space="preserve"> praktik</w:t>
      </w:r>
      <w:r w:rsidR="005D3CCC" w:rsidRPr="0032048B">
        <w:rPr>
          <w:sz w:val="24"/>
          <w:szCs w:val="24"/>
          <w:lang w:val="sq-AL"/>
        </w:rPr>
        <w:t>ë</w:t>
      </w:r>
      <w:r w:rsidRPr="0032048B">
        <w:rPr>
          <w:sz w:val="24"/>
          <w:szCs w:val="24"/>
          <w:lang w:val="sq-AL"/>
        </w:rPr>
        <w:t>. Gratë që jetojnë në zona rurale dhe të largëta, gratë rome dhe egjiptiane dhe individët LGBTIQ përballen me qasje të kufizuar në kujdesin parësor shëndetësor dhe në shërbimet e kujdesit shëndetësor seksual dhe riprodhues.</w:t>
      </w:r>
    </w:p>
    <w:p w14:paraId="70587801" w14:textId="35902876" w:rsidR="00380775" w:rsidRPr="0032048B" w:rsidRDefault="00380775" w:rsidP="00361D5A">
      <w:pPr>
        <w:tabs>
          <w:tab w:val="left" w:pos="1134"/>
          <w:tab w:val="left" w:pos="9360"/>
        </w:tabs>
        <w:spacing w:before="120"/>
        <w:ind w:left="993" w:right="1067"/>
        <w:jc w:val="both"/>
        <w:rPr>
          <w:sz w:val="24"/>
          <w:szCs w:val="24"/>
          <w:lang w:val="sq-AL"/>
        </w:rPr>
      </w:pPr>
      <w:r w:rsidRPr="0032048B">
        <w:rPr>
          <w:sz w:val="24"/>
          <w:szCs w:val="24"/>
          <w:lang w:val="sq-AL"/>
        </w:rPr>
        <w:t>Lidhur me dhunën me bazë gjinore, kuadri kombëtar ligjor duhet të harmonizohet më tej me dispozitat e Konventës s</w:t>
      </w:r>
      <w:r w:rsidR="005D3CCC" w:rsidRPr="0032048B">
        <w:rPr>
          <w:sz w:val="24"/>
          <w:szCs w:val="24"/>
          <w:lang w:val="sq-AL"/>
        </w:rPr>
        <w:t>ë</w:t>
      </w:r>
      <w:r w:rsidRPr="0032048B">
        <w:rPr>
          <w:sz w:val="24"/>
          <w:szCs w:val="24"/>
          <w:lang w:val="sq-AL"/>
        </w:rPr>
        <w:t xml:space="preserve"> Organizatës Ndërkombëtare të Punës për Dhunën dhe Ngacmimin në Botën e Punës (Konventa Nr. 190), ratifikuar në shkurt 2022. Kuadri aktual ligjor nuk është </w:t>
      </w:r>
      <w:r w:rsidRPr="0032048B">
        <w:rPr>
          <w:sz w:val="24"/>
          <w:szCs w:val="24"/>
          <w:lang w:val="sq-AL"/>
        </w:rPr>
        <w:lastRenderedPageBreak/>
        <w:t xml:space="preserve">plotësisht në përputhje me standardet ndërkombëtare, përfshirë Konventën e Stambollit, dhe i mungon fokusi në </w:t>
      </w:r>
      <w:proofErr w:type="spellStart"/>
      <w:r w:rsidRPr="0032048B">
        <w:rPr>
          <w:sz w:val="24"/>
          <w:szCs w:val="24"/>
          <w:lang w:val="sq-AL"/>
        </w:rPr>
        <w:t>riintegrimin</w:t>
      </w:r>
      <w:proofErr w:type="spellEnd"/>
      <w:r w:rsidRPr="0032048B">
        <w:rPr>
          <w:sz w:val="24"/>
          <w:szCs w:val="24"/>
          <w:lang w:val="sq-AL"/>
        </w:rPr>
        <w:t xml:space="preserve"> dhe qasjen në shërbime t</w:t>
      </w:r>
      <w:r w:rsidR="005D3CCC" w:rsidRPr="0032048B">
        <w:rPr>
          <w:sz w:val="24"/>
          <w:szCs w:val="24"/>
          <w:lang w:val="sq-AL"/>
        </w:rPr>
        <w:t>ë</w:t>
      </w:r>
      <w:r w:rsidRPr="0032048B">
        <w:rPr>
          <w:sz w:val="24"/>
          <w:szCs w:val="24"/>
          <w:lang w:val="sq-AL"/>
        </w:rPr>
        <w:t xml:space="preserve"> viktimave dhe të mbijetuarit e dhunës.</w:t>
      </w:r>
    </w:p>
    <w:p w14:paraId="0D00A698" w14:textId="02817FC6" w:rsidR="00380775" w:rsidRPr="0032048B" w:rsidRDefault="00380775" w:rsidP="00361D5A">
      <w:pPr>
        <w:tabs>
          <w:tab w:val="left" w:pos="1134"/>
          <w:tab w:val="left" w:pos="9360"/>
        </w:tabs>
        <w:spacing w:before="120"/>
        <w:ind w:left="993" w:right="1067"/>
        <w:jc w:val="both"/>
        <w:rPr>
          <w:sz w:val="24"/>
          <w:szCs w:val="24"/>
          <w:lang w:val="sq-AL"/>
        </w:rPr>
      </w:pPr>
      <w:r w:rsidRPr="0032048B">
        <w:rPr>
          <w:sz w:val="24"/>
          <w:szCs w:val="24"/>
          <w:lang w:val="sq-AL"/>
        </w:rPr>
        <w:t xml:space="preserve">Në vitin 2022, policia identifikoi dhe trajtoi 5 210 raste të dhunës dhe krime të tjera të kryera brenda marrëdhënieve familjare, </w:t>
      </w:r>
      <w:r w:rsidR="00E247EA" w:rsidRPr="0032048B">
        <w:rPr>
          <w:sz w:val="24"/>
          <w:szCs w:val="24"/>
          <w:lang w:val="sq-AL"/>
        </w:rPr>
        <w:t>çka</w:t>
      </w:r>
      <w:r w:rsidRPr="0032048B">
        <w:rPr>
          <w:sz w:val="24"/>
          <w:szCs w:val="24"/>
          <w:lang w:val="sq-AL"/>
        </w:rPr>
        <w:t xml:space="preserve"> p</w:t>
      </w:r>
      <w:r w:rsidR="005D3CCC" w:rsidRPr="0032048B">
        <w:rPr>
          <w:sz w:val="24"/>
          <w:szCs w:val="24"/>
          <w:lang w:val="sq-AL"/>
        </w:rPr>
        <w:t>ë</w:t>
      </w:r>
      <w:r w:rsidRPr="0032048B">
        <w:rPr>
          <w:sz w:val="24"/>
          <w:szCs w:val="24"/>
          <w:lang w:val="sq-AL"/>
        </w:rPr>
        <w:t>rfaq</w:t>
      </w:r>
      <w:r w:rsidR="005D3CCC" w:rsidRPr="0032048B">
        <w:rPr>
          <w:sz w:val="24"/>
          <w:szCs w:val="24"/>
          <w:lang w:val="sq-AL"/>
        </w:rPr>
        <w:t>ë</w:t>
      </w:r>
      <w:r w:rsidRPr="0032048B">
        <w:rPr>
          <w:sz w:val="24"/>
          <w:szCs w:val="24"/>
          <w:lang w:val="sq-AL"/>
        </w:rPr>
        <w:t>son nj</w:t>
      </w:r>
      <w:r w:rsidR="005D3CCC" w:rsidRPr="0032048B">
        <w:rPr>
          <w:sz w:val="24"/>
          <w:szCs w:val="24"/>
          <w:lang w:val="sq-AL"/>
        </w:rPr>
        <w:t>ë</w:t>
      </w:r>
      <w:r w:rsidRPr="0032048B">
        <w:rPr>
          <w:sz w:val="24"/>
          <w:szCs w:val="24"/>
          <w:lang w:val="sq-AL"/>
        </w:rPr>
        <w:t xml:space="preserve"> ulje prej 1.9% nga viti 2021. Në total, 72% (3 767) e të gjitha viktimave ishin gra dhe vajza. 2 940 raste të dhunës në familje u trajtuan me kërkesë për urdhër mbrojtjeje. Sipas nenit 130/a </w:t>
      </w:r>
      <w:r w:rsidRPr="0032048B">
        <w:rPr>
          <w:i/>
          <w:iCs/>
          <w:sz w:val="24"/>
          <w:szCs w:val="24"/>
          <w:lang w:val="sq-AL"/>
        </w:rPr>
        <w:t>Dhuna në familje</w:t>
      </w:r>
      <w:r w:rsidRPr="0032048B">
        <w:rPr>
          <w:sz w:val="24"/>
          <w:szCs w:val="24"/>
          <w:lang w:val="sq-AL"/>
        </w:rPr>
        <w:t xml:space="preserve">, u filluan procedurat penale për 1 887 raste dhe 682 autorë u arrestuan. Në vitin 2022, 36 raste të grave viktima të dhunës seksuale u trajtuan në Qendrën </w:t>
      </w:r>
      <w:proofErr w:type="spellStart"/>
      <w:r w:rsidRPr="0032048B">
        <w:rPr>
          <w:sz w:val="24"/>
          <w:szCs w:val="24"/>
          <w:lang w:val="sq-AL"/>
        </w:rPr>
        <w:t>Lilium</w:t>
      </w:r>
      <w:proofErr w:type="spellEnd"/>
      <w:r w:rsidRPr="0032048B">
        <w:rPr>
          <w:sz w:val="24"/>
          <w:szCs w:val="24"/>
          <w:lang w:val="sq-AL"/>
        </w:rPr>
        <w:t>, e cila financohet plotësisht nga buxheti i shtetit. Aktualisht, ka mekanizma vendor</w:t>
      </w:r>
      <w:r w:rsidR="005D3CCC" w:rsidRPr="0032048B">
        <w:rPr>
          <w:sz w:val="24"/>
          <w:szCs w:val="24"/>
          <w:lang w:val="sq-AL"/>
        </w:rPr>
        <w:t>ë</w:t>
      </w:r>
      <w:r w:rsidRPr="0032048B">
        <w:rPr>
          <w:sz w:val="24"/>
          <w:szCs w:val="24"/>
          <w:lang w:val="sq-AL"/>
        </w:rPr>
        <w:t xml:space="preserve"> referimi për raportimin e dhunës me bazë gjinore në të gjitha 61 bashkitë e vendit. Sidoqoftë, këto mekanizma dhe programet e rehabilitimit dhe </w:t>
      </w:r>
      <w:proofErr w:type="spellStart"/>
      <w:r w:rsidRPr="0032048B">
        <w:rPr>
          <w:sz w:val="24"/>
          <w:szCs w:val="24"/>
          <w:lang w:val="sq-AL"/>
        </w:rPr>
        <w:t>riintegrimit</w:t>
      </w:r>
      <w:proofErr w:type="spellEnd"/>
      <w:r w:rsidRPr="0032048B">
        <w:rPr>
          <w:sz w:val="24"/>
          <w:szCs w:val="24"/>
          <w:lang w:val="sq-AL"/>
        </w:rPr>
        <w:t xml:space="preserve"> për gratë e cenueshme duhet të përforcohen. Shërbimet sociale vazhdojnë të jenë të drejtuara nga donatorët dhe shpesh të ofruara nga organizatat e shoqërisë civile aktive në këtë fushë. Ende mbetet nevoja p</w:t>
      </w:r>
      <w:r w:rsidR="005D3CCC" w:rsidRPr="0032048B">
        <w:rPr>
          <w:sz w:val="24"/>
          <w:szCs w:val="24"/>
          <w:lang w:val="sq-AL"/>
        </w:rPr>
        <w:t>ë</w:t>
      </w:r>
      <w:r w:rsidRPr="0032048B">
        <w:rPr>
          <w:sz w:val="24"/>
          <w:szCs w:val="24"/>
          <w:lang w:val="sq-AL"/>
        </w:rPr>
        <w:t>r nj</w:t>
      </w:r>
      <w:r w:rsidR="005D3CCC" w:rsidRPr="0032048B">
        <w:rPr>
          <w:sz w:val="24"/>
          <w:szCs w:val="24"/>
          <w:lang w:val="sq-AL"/>
        </w:rPr>
        <w:t>ë</w:t>
      </w:r>
      <w:r w:rsidRPr="0032048B">
        <w:rPr>
          <w:sz w:val="24"/>
          <w:szCs w:val="24"/>
          <w:lang w:val="sq-AL"/>
        </w:rPr>
        <w:t xml:space="preserve"> buxhet shtet</w:t>
      </w:r>
      <w:r w:rsidR="005D3CCC" w:rsidRPr="0032048B">
        <w:rPr>
          <w:sz w:val="24"/>
          <w:szCs w:val="24"/>
          <w:lang w:val="sq-AL"/>
        </w:rPr>
        <w:t>ë</w:t>
      </w:r>
      <w:r w:rsidRPr="0032048B">
        <w:rPr>
          <w:sz w:val="24"/>
          <w:szCs w:val="24"/>
          <w:lang w:val="sq-AL"/>
        </w:rPr>
        <w:t>ror t</w:t>
      </w:r>
      <w:r w:rsidR="005D3CCC" w:rsidRPr="0032048B">
        <w:rPr>
          <w:sz w:val="24"/>
          <w:szCs w:val="24"/>
          <w:lang w:val="sq-AL"/>
        </w:rPr>
        <w:t>ë</w:t>
      </w:r>
      <w:r w:rsidRPr="0032048B">
        <w:rPr>
          <w:sz w:val="24"/>
          <w:szCs w:val="24"/>
          <w:lang w:val="sq-AL"/>
        </w:rPr>
        <w:t xml:space="preserve"> dedikuar dhe burime të tjera. </w:t>
      </w:r>
    </w:p>
    <w:p w14:paraId="6D03BBCE" w14:textId="565D540E" w:rsidR="00380775" w:rsidRPr="0032048B" w:rsidRDefault="00380775" w:rsidP="00361D5A">
      <w:pPr>
        <w:tabs>
          <w:tab w:val="left" w:pos="1134"/>
          <w:tab w:val="left" w:pos="9360"/>
        </w:tabs>
        <w:spacing w:before="120"/>
        <w:ind w:left="993" w:right="1067"/>
        <w:jc w:val="both"/>
        <w:rPr>
          <w:sz w:val="24"/>
          <w:szCs w:val="24"/>
          <w:lang w:val="sq-AL"/>
        </w:rPr>
      </w:pPr>
      <w:r w:rsidRPr="0032048B">
        <w:rPr>
          <w:sz w:val="24"/>
          <w:szCs w:val="24"/>
          <w:lang w:val="sq-AL"/>
        </w:rPr>
        <w:t xml:space="preserve">Kuadri ligjor dhe i politikave për të </w:t>
      </w:r>
      <w:r w:rsidRPr="0032048B">
        <w:rPr>
          <w:b/>
          <w:bCs/>
          <w:sz w:val="24"/>
          <w:szCs w:val="24"/>
          <w:lang w:val="sq-AL"/>
        </w:rPr>
        <w:t>drejtat e fëmijës</w:t>
      </w:r>
      <w:r w:rsidRPr="0032048B">
        <w:rPr>
          <w:sz w:val="24"/>
          <w:szCs w:val="24"/>
          <w:lang w:val="sq-AL"/>
        </w:rPr>
        <w:t xml:space="preserve"> pasqyron gjithnjë e më shumë standardet ndërkombëtare dhe kërkesat e BE-së. Mekanizmat e koordinimit duhet të përmirësohen ndjeshëm për të siguruar zbatimin e plotë të kuadrit ligjor në fushat e trafikimit të fëmijëve, krimit në internet, martesës së fëmijëve, abuzimit seksual të fëmijëve dhe të drejtës së kujdesit shëndet</w:t>
      </w:r>
      <w:r w:rsidR="00E247EA" w:rsidRPr="0032048B">
        <w:rPr>
          <w:sz w:val="24"/>
          <w:szCs w:val="24"/>
          <w:lang w:val="sq-AL"/>
        </w:rPr>
        <w:t xml:space="preserve">ësor dhe arsimit. Ratifikimi i Protokollit </w:t>
      </w:r>
      <w:proofErr w:type="spellStart"/>
      <w:r w:rsidR="00E247EA" w:rsidRPr="0032048B">
        <w:rPr>
          <w:sz w:val="24"/>
          <w:szCs w:val="24"/>
          <w:lang w:val="sq-AL"/>
        </w:rPr>
        <w:t>O</w:t>
      </w:r>
      <w:r w:rsidRPr="0032048B">
        <w:rPr>
          <w:sz w:val="24"/>
          <w:szCs w:val="24"/>
          <w:lang w:val="sq-AL"/>
        </w:rPr>
        <w:t>psional</w:t>
      </w:r>
      <w:proofErr w:type="spellEnd"/>
      <w:r w:rsidRPr="0032048B">
        <w:rPr>
          <w:sz w:val="24"/>
          <w:szCs w:val="24"/>
          <w:lang w:val="sq-AL"/>
        </w:rPr>
        <w:t xml:space="preserve"> t</w:t>
      </w:r>
      <w:r w:rsidR="005D3CCC" w:rsidRPr="0032048B">
        <w:rPr>
          <w:sz w:val="24"/>
          <w:szCs w:val="24"/>
          <w:lang w:val="sq-AL"/>
        </w:rPr>
        <w:t>ë</w:t>
      </w:r>
      <w:r w:rsidRPr="0032048B">
        <w:rPr>
          <w:sz w:val="24"/>
          <w:szCs w:val="24"/>
          <w:lang w:val="sq-AL"/>
        </w:rPr>
        <w:t xml:space="preserve"> Konventës për të Drejtat e Personave me Aftësi të Kufizuara do t’i sh</w:t>
      </w:r>
      <w:r w:rsidR="005D3CCC" w:rsidRPr="0032048B">
        <w:rPr>
          <w:sz w:val="24"/>
          <w:szCs w:val="24"/>
          <w:lang w:val="sq-AL"/>
        </w:rPr>
        <w:t>ë</w:t>
      </w:r>
      <w:r w:rsidRPr="0032048B">
        <w:rPr>
          <w:sz w:val="24"/>
          <w:szCs w:val="24"/>
          <w:lang w:val="sq-AL"/>
        </w:rPr>
        <w:t>rbente k</w:t>
      </w:r>
      <w:r w:rsidR="005D3CCC" w:rsidRPr="0032048B">
        <w:rPr>
          <w:sz w:val="24"/>
          <w:szCs w:val="24"/>
          <w:lang w:val="sq-AL"/>
        </w:rPr>
        <w:t>ë</w:t>
      </w:r>
      <w:r w:rsidRPr="0032048B">
        <w:rPr>
          <w:sz w:val="24"/>
          <w:szCs w:val="24"/>
          <w:lang w:val="sq-AL"/>
        </w:rPr>
        <w:t>tij q</w:t>
      </w:r>
      <w:r w:rsidR="005D3CCC" w:rsidRPr="0032048B">
        <w:rPr>
          <w:sz w:val="24"/>
          <w:szCs w:val="24"/>
          <w:lang w:val="sq-AL"/>
        </w:rPr>
        <w:t>ë</w:t>
      </w:r>
      <w:r w:rsidRPr="0032048B">
        <w:rPr>
          <w:sz w:val="24"/>
          <w:szCs w:val="24"/>
          <w:lang w:val="sq-AL"/>
        </w:rPr>
        <w:t xml:space="preserve">llimi. Agjenda Kombëtare 2021-2026 </w:t>
      </w:r>
      <w:r w:rsidR="00104783" w:rsidRPr="0032048B">
        <w:rPr>
          <w:sz w:val="24"/>
          <w:szCs w:val="24"/>
          <w:lang w:val="sq-AL"/>
        </w:rPr>
        <w:t>për</w:t>
      </w:r>
      <w:r w:rsidRPr="0032048B">
        <w:rPr>
          <w:sz w:val="24"/>
          <w:szCs w:val="24"/>
          <w:lang w:val="sq-AL"/>
        </w:rPr>
        <w:t xml:space="preserve"> të Drejtat e Fëmijës (AKDF) përcaktoi kuadrin strategjik, në përputhje me angazhimet kombëtare dhe ndërkombëtare në këtë fushë. Eliminimi i të gjitha formave të dhunës dhe mbrojtjes së fëmijëve, përfshirë në internet, është një nga katër qëllimet strategjike të agjendës kombëtare. Mbledhja sistematike e të dhënave të besueshme dhe të krahasueshme të ndara sipas mosh</w:t>
      </w:r>
      <w:r w:rsidR="005D3CCC" w:rsidRPr="0032048B">
        <w:rPr>
          <w:sz w:val="24"/>
          <w:szCs w:val="24"/>
          <w:lang w:val="sq-AL"/>
        </w:rPr>
        <w:t>ë</w:t>
      </w:r>
      <w:r w:rsidRPr="0032048B">
        <w:rPr>
          <w:sz w:val="24"/>
          <w:szCs w:val="24"/>
          <w:lang w:val="sq-AL"/>
        </w:rPr>
        <w:t>s dhe seksit është thelbësore për hartimin e politikave të bazuara në prova dhe për mbrojtjen efektive të fëmijëve.</w:t>
      </w:r>
    </w:p>
    <w:p w14:paraId="4348BC95" w14:textId="3CD9EC42" w:rsidR="00380775" w:rsidRPr="0032048B" w:rsidRDefault="00380775" w:rsidP="00361D5A">
      <w:pPr>
        <w:tabs>
          <w:tab w:val="left" w:pos="1134"/>
          <w:tab w:val="left" w:pos="9360"/>
        </w:tabs>
        <w:spacing w:before="120"/>
        <w:ind w:left="993" w:right="1067"/>
        <w:jc w:val="both"/>
        <w:rPr>
          <w:sz w:val="24"/>
          <w:szCs w:val="24"/>
          <w:lang w:val="sq-AL"/>
        </w:rPr>
      </w:pPr>
      <w:r w:rsidRPr="0032048B">
        <w:rPr>
          <w:sz w:val="24"/>
          <w:szCs w:val="24"/>
          <w:lang w:val="sq-AL"/>
        </w:rPr>
        <w:t>Mbetet shqet</w:t>
      </w:r>
      <w:r w:rsidR="005D3CCC" w:rsidRPr="0032048B">
        <w:rPr>
          <w:sz w:val="24"/>
          <w:szCs w:val="24"/>
          <w:lang w:val="sq-AL"/>
        </w:rPr>
        <w:t>ë</w:t>
      </w:r>
      <w:r w:rsidRPr="0032048B">
        <w:rPr>
          <w:sz w:val="24"/>
          <w:szCs w:val="24"/>
          <w:lang w:val="sq-AL"/>
        </w:rPr>
        <w:t>sim vazhdim</w:t>
      </w:r>
      <w:r w:rsidR="005D3CCC" w:rsidRPr="0032048B">
        <w:rPr>
          <w:sz w:val="24"/>
          <w:szCs w:val="24"/>
          <w:lang w:val="sq-AL"/>
        </w:rPr>
        <w:t>ë</w:t>
      </w:r>
      <w:r w:rsidRPr="0032048B">
        <w:rPr>
          <w:sz w:val="24"/>
          <w:szCs w:val="24"/>
          <w:lang w:val="sq-AL"/>
        </w:rPr>
        <w:t>sia e martesave të fëmijëve q</w:t>
      </w:r>
      <w:r w:rsidR="005D3CCC" w:rsidRPr="0032048B">
        <w:rPr>
          <w:sz w:val="24"/>
          <w:szCs w:val="24"/>
          <w:lang w:val="sq-AL"/>
        </w:rPr>
        <w:t>ë</w:t>
      </w:r>
      <w:r w:rsidRPr="0032048B">
        <w:rPr>
          <w:sz w:val="24"/>
          <w:szCs w:val="24"/>
          <w:lang w:val="sq-AL"/>
        </w:rPr>
        <w:t xml:space="preserve"> merr shkas nga pabarazia gjinore, varfëria dhe përjashtimi shoqëror. Mungesa e të dhënave zyrtare do të thotë se nuk është e mundur të sigurohet një pamje e saktë e fenomenit, ndërsa ligjet për të mbrojtur të miturit nga martesa e fëmijëve janë përgjithësisht joefektive ose nuk zbatohen me rigorozitet. Sidoqoftë, që nga viti 2021 qeveria i ka dhënë përparësi </w:t>
      </w:r>
      <w:r w:rsidR="00E247EA" w:rsidRPr="0032048B">
        <w:rPr>
          <w:sz w:val="24"/>
          <w:szCs w:val="24"/>
          <w:lang w:val="sq-AL"/>
        </w:rPr>
        <w:t>trajtimit</w:t>
      </w:r>
      <w:r w:rsidRPr="0032048B">
        <w:rPr>
          <w:sz w:val="24"/>
          <w:szCs w:val="24"/>
          <w:lang w:val="sq-AL"/>
        </w:rPr>
        <w:t xml:space="preserve"> t</w:t>
      </w:r>
      <w:r w:rsidR="005D3CCC" w:rsidRPr="0032048B">
        <w:rPr>
          <w:sz w:val="24"/>
          <w:szCs w:val="24"/>
          <w:lang w:val="sq-AL"/>
        </w:rPr>
        <w:t>ë</w:t>
      </w:r>
      <w:r w:rsidRPr="0032048B">
        <w:rPr>
          <w:sz w:val="24"/>
          <w:szCs w:val="24"/>
          <w:lang w:val="sq-AL"/>
        </w:rPr>
        <w:t xml:space="preserve"> martes</w:t>
      </w:r>
      <w:r w:rsidR="005D3CCC" w:rsidRPr="0032048B">
        <w:rPr>
          <w:sz w:val="24"/>
          <w:szCs w:val="24"/>
          <w:lang w:val="sq-AL"/>
        </w:rPr>
        <w:t>ë</w:t>
      </w:r>
      <w:r w:rsidRPr="0032048B">
        <w:rPr>
          <w:sz w:val="24"/>
          <w:szCs w:val="24"/>
          <w:lang w:val="sq-AL"/>
        </w:rPr>
        <w:t xml:space="preserve">s së fëmijëve në kuadrin e politikave kombëtare të </w:t>
      </w:r>
      <w:proofErr w:type="spellStart"/>
      <w:r w:rsidRPr="0032048B">
        <w:rPr>
          <w:sz w:val="24"/>
          <w:szCs w:val="24"/>
          <w:lang w:val="sq-AL"/>
        </w:rPr>
        <w:t>buxhetuara</w:t>
      </w:r>
      <w:proofErr w:type="spellEnd"/>
      <w:r w:rsidRPr="0032048B">
        <w:rPr>
          <w:sz w:val="24"/>
          <w:szCs w:val="24"/>
          <w:lang w:val="sq-AL"/>
        </w:rPr>
        <w:t>, dhe agjenda kombëtare 2021-2026 mbi të drejtat e fëmijës përmban objektiva dhe masa për të luftuar këtë praktikë.</w:t>
      </w:r>
    </w:p>
    <w:p w14:paraId="58776596" w14:textId="3B129DEC" w:rsidR="00380775" w:rsidRPr="0032048B" w:rsidRDefault="00380775" w:rsidP="00361D5A">
      <w:pPr>
        <w:tabs>
          <w:tab w:val="left" w:pos="1134"/>
          <w:tab w:val="left" w:pos="9360"/>
        </w:tabs>
        <w:spacing w:before="120"/>
        <w:ind w:left="993" w:right="1067"/>
        <w:jc w:val="both"/>
        <w:rPr>
          <w:sz w:val="24"/>
          <w:szCs w:val="24"/>
          <w:lang w:val="sq-AL"/>
        </w:rPr>
      </w:pPr>
      <w:r w:rsidRPr="0032048B">
        <w:rPr>
          <w:sz w:val="24"/>
          <w:szCs w:val="24"/>
          <w:lang w:val="sq-AL"/>
        </w:rPr>
        <w:t>Plani kombëtar i de-institucionalizimit 2021-2023 përfshinte programin e reformës ekonomike dhe një paketë financiare për të zhvilluar shërbime alternative të kujdesit për fëmijët dhe për të mbyllur institucionet e kujdesit shoqëror. Sidoqoftë, ligjet e kujdesit familjar dhe atij alternativ shpesh zbatohen në mënyrë jo adekuate dhe nuk imponohen plot</w:t>
      </w:r>
      <w:r w:rsidR="005D3CCC" w:rsidRPr="0032048B">
        <w:rPr>
          <w:sz w:val="24"/>
          <w:szCs w:val="24"/>
          <w:lang w:val="sq-AL"/>
        </w:rPr>
        <w:t>ë</w:t>
      </w:r>
      <w:r w:rsidRPr="0032048B">
        <w:rPr>
          <w:sz w:val="24"/>
          <w:szCs w:val="24"/>
          <w:lang w:val="sq-AL"/>
        </w:rPr>
        <w:t>sisht. Nevojiten përpjekje shtesë për të zbatuar k</w:t>
      </w:r>
      <w:r w:rsidR="005D3CCC" w:rsidRPr="0032048B">
        <w:rPr>
          <w:sz w:val="24"/>
          <w:szCs w:val="24"/>
          <w:lang w:val="sq-AL"/>
        </w:rPr>
        <w:t>ë</w:t>
      </w:r>
      <w:r w:rsidRPr="0032048B">
        <w:rPr>
          <w:sz w:val="24"/>
          <w:szCs w:val="24"/>
          <w:lang w:val="sq-AL"/>
        </w:rPr>
        <w:t>to ligje dhe trajtuar më tej të gjitha shkeljet e të drejtave të fëmijëve.</w:t>
      </w:r>
    </w:p>
    <w:p w14:paraId="778113F0" w14:textId="71CB2269" w:rsidR="00380775" w:rsidRPr="0032048B" w:rsidRDefault="00380775" w:rsidP="00361D5A">
      <w:pPr>
        <w:tabs>
          <w:tab w:val="left" w:pos="1134"/>
          <w:tab w:val="left" w:pos="9360"/>
        </w:tabs>
        <w:spacing w:before="120"/>
        <w:ind w:left="993" w:right="1067"/>
        <w:jc w:val="both"/>
        <w:rPr>
          <w:sz w:val="24"/>
          <w:szCs w:val="24"/>
          <w:lang w:val="sq-AL"/>
        </w:rPr>
      </w:pPr>
      <w:r w:rsidRPr="0032048B">
        <w:rPr>
          <w:sz w:val="24"/>
          <w:szCs w:val="24"/>
          <w:lang w:val="sq-AL"/>
        </w:rPr>
        <w:t>Dhuna dhe dhuna seksuale, përfshirë edhe në internet, mbetet një fushë shqetësuese. Në vitin 2022, njësitë e mbrojtjes së fëmijëve menaxhuan 2 496 raste të fëmijëve në nevojë për mbrojtje (kryesisht raste të fëmijëve në rrezik ose viktima të dhunës, abuzimit, neglizhencës ose shfrytëzimit). Numri i punonj</w:t>
      </w:r>
      <w:r w:rsidR="005D3CCC" w:rsidRPr="0032048B">
        <w:rPr>
          <w:sz w:val="24"/>
          <w:szCs w:val="24"/>
          <w:lang w:val="sq-AL"/>
        </w:rPr>
        <w:t>ë</w:t>
      </w:r>
      <w:r w:rsidRPr="0032048B">
        <w:rPr>
          <w:sz w:val="24"/>
          <w:szCs w:val="24"/>
          <w:lang w:val="sq-AL"/>
        </w:rPr>
        <w:t>sve të mbrojtjes së fëmijëve (241 në të gjitha 61 bashkitë) mbetet shumë më poshtë se numri gjithsej i nevojshëm. Dy qendra me shërbime urgjente për fëmijët viktima të abuzimit seksual dhe forma të tjera të dhunës janë krijuar dhe funksionojn</w:t>
      </w:r>
      <w:r w:rsidR="005D3CCC" w:rsidRPr="0032048B">
        <w:rPr>
          <w:sz w:val="24"/>
          <w:szCs w:val="24"/>
          <w:lang w:val="sq-AL"/>
        </w:rPr>
        <w:t>ë</w:t>
      </w:r>
      <w:r w:rsidRPr="0032048B">
        <w:rPr>
          <w:sz w:val="24"/>
          <w:szCs w:val="24"/>
          <w:lang w:val="sq-AL"/>
        </w:rPr>
        <w:t xml:space="preserve"> në Fier dhe Shkod</w:t>
      </w:r>
      <w:r w:rsidR="005D3CCC" w:rsidRPr="0032048B">
        <w:rPr>
          <w:sz w:val="24"/>
          <w:szCs w:val="24"/>
          <w:lang w:val="sq-AL"/>
        </w:rPr>
        <w:t>ë</w:t>
      </w:r>
      <w:r w:rsidRPr="0032048B">
        <w:rPr>
          <w:sz w:val="24"/>
          <w:szCs w:val="24"/>
          <w:lang w:val="sq-AL"/>
        </w:rPr>
        <w:t>r. Duhet të miratohet një kuad</w:t>
      </w:r>
      <w:r w:rsidR="005D3CCC" w:rsidRPr="0032048B">
        <w:rPr>
          <w:sz w:val="24"/>
          <w:szCs w:val="24"/>
          <w:lang w:val="sq-AL"/>
        </w:rPr>
        <w:t>ë</w:t>
      </w:r>
      <w:r w:rsidRPr="0032048B">
        <w:rPr>
          <w:sz w:val="24"/>
          <w:szCs w:val="24"/>
          <w:lang w:val="sq-AL"/>
        </w:rPr>
        <w:t>r i plot</w:t>
      </w:r>
      <w:r w:rsidR="005D3CCC" w:rsidRPr="0032048B">
        <w:rPr>
          <w:sz w:val="24"/>
          <w:szCs w:val="24"/>
          <w:lang w:val="sq-AL"/>
        </w:rPr>
        <w:t>ë</w:t>
      </w:r>
      <w:r w:rsidRPr="0032048B">
        <w:rPr>
          <w:sz w:val="24"/>
          <w:szCs w:val="24"/>
          <w:lang w:val="sq-AL"/>
        </w:rPr>
        <w:t xml:space="preserve"> ligjor p</w:t>
      </w:r>
      <w:r w:rsidR="005D3CCC" w:rsidRPr="0032048B">
        <w:rPr>
          <w:sz w:val="24"/>
          <w:szCs w:val="24"/>
          <w:lang w:val="sq-AL"/>
        </w:rPr>
        <w:t>ë</w:t>
      </w:r>
      <w:r w:rsidRPr="0032048B">
        <w:rPr>
          <w:sz w:val="24"/>
          <w:szCs w:val="24"/>
          <w:lang w:val="sq-AL"/>
        </w:rPr>
        <w:t xml:space="preserve">r statusin dhe përgjegjësitë e punonjësve socialë. Përpjekje të mëtejshme janë të nevojshme për të siguruar një përgjigje adekuate dhe sistematike ndaj të gjitha llojeve të dhunës ndaj fëmijëve. Shqipërisë i mungon </w:t>
      </w:r>
      <w:r w:rsidRPr="0032048B">
        <w:rPr>
          <w:sz w:val="24"/>
          <w:szCs w:val="24"/>
          <w:lang w:val="sq-AL"/>
        </w:rPr>
        <w:lastRenderedPageBreak/>
        <w:t xml:space="preserve">legjislacioni që </w:t>
      </w:r>
      <w:proofErr w:type="spellStart"/>
      <w:r w:rsidRPr="0032048B">
        <w:rPr>
          <w:sz w:val="24"/>
          <w:szCs w:val="24"/>
          <w:lang w:val="sq-AL"/>
        </w:rPr>
        <w:t>kriminalizon</w:t>
      </w:r>
      <w:proofErr w:type="spellEnd"/>
      <w:r w:rsidRPr="0032048B">
        <w:rPr>
          <w:sz w:val="24"/>
          <w:szCs w:val="24"/>
          <w:lang w:val="sq-AL"/>
        </w:rPr>
        <w:t xml:space="preserve"> kompanitë e udhëtimit që lehtësojnë p</w:t>
      </w:r>
      <w:r w:rsidR="005D3CCC" w:rsidRPr="0032048B">
        <w:rPr>
          <w:sz w:val="24"/>
          <w:szCs w:val="24"/>
          <w:lang w:val="sq-AL"/>
        </w:rPr>
        <w:t>ë</w:t>
      </w:r>
      <w:r w:rsidRPr="0032048B">
        <w:rPr>
          <w:sz w:val="24"/>
          <w:szCs w:val="24"/>
          <w:lang w:val="sq-AL"/>
        </w:rPr>
        <w:t>rfshirjen në shfrytëzimin seksual t</w:t>
      </w:r>
      <w:r w:rsidR="005D3CCC" w:rsidRPr="0032048B">
        <w:rPr>
          <w:sz w:val="24"/>
          <w:szCs w:val="24"/>
          <w:lang w:val="sq-AL"/>
        </w:rPr>
        <w:t>ë</w:t>
      </w:r>
      <w:r w:rsidRPr="0032048B">
        <w:rPr>
          <w:sz w:val="24"/>
          <w:szCs w:val="24"/>
          <w:lang w:val="sq-AL"/>
        </w:rPr>
        <w:t xml:space="preserve"> f</w:t>
      </w:r>
      <w:r w:rsidR="005D3CCC" w:rsidRPr="0032048B">
        <w:rPr>
          <w:sz w:val="24"/>
          <w:szCs w:val="24"/>
          <w:lang w:val="sq-AL"/>
        </w:rPr>
        <w:t>ë</w:t>
      </w:r>
      <w:r w:rsidRPr="0032048B">
        <w:rPr>
          <w:sz w:val="24"/>
          <w:szCs w:val="24"/>
          <w:lang w:val="sq-AL"/>
        </w:rPr>
        <w:t>mij</w:t>
      </w:r>
      <w:r w:rsidR="005D3CCC" w:rsidRPr="0032048B">
        <w:rPr>
          <w:sz w:val="24"/>
          <w:szCs w:val="24"/>
          <w:lang w:val="sq-AL"/>
        </w:rPr>
        <w:t>ë</w:t>
      </w:r>
      <w:r w:rsidRPr="0032048B">
        <w:rPr>
          <w:sz w:val="24"/>
          <w:szCs w:val="24"/>
          <w:lang w:val="sq-AL"/>
        </w:rPr>
        <w:t xml:space="preserve">ve. Si anëtare e Komitetit </w:t>
      </w:r>
      <w:proofErr w:type="spellStart"/>
      <w:r w:rsidRPr="0032048B">
        <w:rPr>
          <w:sz w:val="24"/>
          <w:szCs w:val="24"/>
          <w:lang w:val="sq-AL"/>
        </w:rPr>
        <w:t>Lanzarote</w:t>
      </w:r>
      <w:proofErr w:type="spellEnd"/>
      <w:r w:rsidRPr="0032048B">
        <w:rPr>
          <w:sz w:val="24"/>
          <w:szCs w:val="24"/>
          <w:lang w:val="sq-AL"/>
        </w:rPr>
        <w:t xml:space="preserve">, Shqipëria duhet të sigurojë trajnime </w:t>
      </w:r>
      <w:proofErr w:type="spellStart"/>
      <w:r w:rsidRPr="0032048B">
        <w:rPr>
          <w:sz w:val="24"/>
          <w:szCs w:val="24"/>
          <w:lang w:val="sq-AL"/>
        </w:rPr>
        <w:t>nd</w:t>
      </w:r>
      <w:r w:rsidR="005D3CCC" w:rsidRPr="0032048B">
        <w:rPr>
          <w:sz w:val="24"/>
          <w:szCs w:val="24"/>
          <w:lang w:val="sq-AL"/>
        </w:rPr>
        <w:t>ë</w:t>
      </w:r>
      <w:r w:rsidRPr="0032048B">
        <w:rPr>
          <w:sz w:val="24"/>
          <w:szCs w:val="24"/>
          <w:lang w:val="sq-AL"/>
        </w:rPr>
        <w:t>rsektoriale</w:t>
      </w:r>
      <w:proofErr w:type="spellEnd"/>
      <w:r w:rsidRPr="0032048B">
        <w:rPr>
          <w:sz w:val="24"/>
          <w:szCs w:val="24"/>
          <w:lang w:val="sq-AL"/>
        </w:rPr>
        <w:t xml:space="preserve"> p</w:t>
      </w:r>
      <w:r w:rsidR="005D3CCC" w:rsidRPr="0032048B">
        <w:rPr>
          <w:sz w:val="24"/>
          <w:szCs w:val="24"/>
          <w:lang w:val="sq-AL"/>
        </w:rPr>
        <w:t>ë</w:t>
      </w:r>
      <w:r w:rsidRPr="0032048B">
        <w:rPr>
          <w:sz w:val="24"/>
          <w:szCs w:val="24"/>
          <w:lang w:val="sq-AL"/>
        </w:rPr>
        <w:t xml:space="preserve">r profesionistët për ofrimin e shërbimeve të integruara për fëmijët viktima të abuzimit seksual dhe formave të tjera serioze të dhunës. Përfshirja e plotë e të miturve të huaj të pashoqëruar ose të ndarë në sistemin kombëtar të mbrojtjes së fëmijëve është e nevojshme. Ndalimi i punës së fëmijëve duhet të zbatohet në mënyrë efektive, dhe kushtet e punës të </w:t>
      </w:r>
      <w:proofErr w:type="spellStart"/>
      <w:r w:rsidRPr="0032048B">
        <w:rPr>
          <w:sz w:val="24"/>
          <w:szCs w:val="24"/>
          <w:lang w:val="sq-AL"/>
        </w:rPr>
        <w:t>të</w:t>
      </w:r>
      <w:proofErr w:type="spellEnd"/>
      <w:r w:rsidRPr="0032048B">
        <w:rPr>
          <w:sz w:val="24"/>
          <w:szCs w:val="24"/>
          <w:lang w:val="sq-AL"/>
        </w:rPr>
        <w:t xml:space="preserve"> rinjve kanë nevojë për monitorim të vazhdueshëm.</w:t>
      </w:r>
    </w:p>
    <w:p w14:paraId="2DE6E655" w14:textId="77777777" w:rsidR="00380775" w:rsidRPr="0032048B" w:rsidRDefault="00380775" w:rsidP="00361D5A">
      <w:pPr>
        <w:tabs>
          <w:tab w:val="left" w:pos="1134"/>
          <w:tab w:val="left" w:pos="9360"/>
        </w:tabs>
        <w:spacing w:before="120"/>
        <w:ind w:left="993" w:right="1067"/>
        <w:jc w:val="both"/>
        <w:rPr>
          <w:sz w:val="24"/>
          <w:szCs w:val="24"/>
          <w:lang w:val="sq-AL"/>
        </w:rPr>
      </w:pPr>
      <w:r w:rsidRPr="0032048B">
        <w:rPr>
          <w:sz w:val="24"/>
          <w:szCs w:val="24"/>
          <w:lang w:val="sq-AL"/>
        </w:rPr>
        <w:t>Që nga dhjetori i vitit 2022, po zbatohet një program i ri mbështetës për gratë e papuna me tre ose më shumë fëmijë. Përmes këtij programi, buxheti i shtetit mbulon pagesa të sigurimeve sociale dhe shëndetësore bazuar në pagën minimale. Rreth 7 500 gra përfitojnë nga ky program.</w:t>
      </w:r>
    </w:p>
    <w:p w14:paraId="0E1F265F" w14:textId="6ED9F533" w:rsidR="00380775" w:rsidRPr="0032048B" w:rsidRDefault="00380775" w:rsidP="00361D5A">
      <w:pPr>
        <w:tabs>
          <w:tab w:val="left" w:pos="1134"/>
          <w:tab w:val="left" w:pos="9360"/>
        </w:tabs>
        <w:spacing w:before="120"/>
        <w:ind w:left="993" w:right="1067"/>
        <w:jc w:val="both"/>
        <w:rPr>
          <w:sz w:val="24"/>
          <w:szCs w:val="24"/>
          <w:lang w:val="sq-AL"/>
        </w:rPr>
      </w:pPr>
      <w:r w:rsidRPr="0032048B">
        <w:rPr>
          <w:sz w:val="24"/>
          <w:szCs w:val="24"/>
          <w:lang w:val="sq-AL"/>
        </w:rPr>
        <w:t>Strategjia e Drejtësisë për Fëmijët 2022-2026 shtrihet nga drejtësia penale p</w:t>
      </w:r>
      <w:r w:rsidR="005D3CCC" w:rsidRPr="0032048B">
        <w:rPr>
          <w:sz w:val="24"/>
          <w:szCs w:val="24"/>
          <w:lang w:val="sq-AL"/>
        </w:rPr>
        <w:t>ë</w:t>
      </w:r>
      <w:r w:rsidRPr="0032048B">
        <w:rPr>
          <w:sz w:val="24"/>
          <w:szCs w:val="24"/>
          <w:lang w:val="sq-AL"/>
        </w:rPr>
        <w:t>r t</w:t>
      </w:r>
      <w:r w:rsidR="005D3CCC" w:rsidRPr="0032048B">
        <w:rPr>
          <w:sz w:val="24"/>
          <w:szCs w:val="24"/>
          <w:lang w:val="sq-AL"/>
        </w:rPr>
        <w:t>ë</w:t>
      </w:r>
      <w:r w:rsidRPr="0032048B">
        <w:rPr>
          <w:sz w:val="24"/>
          <w:szCs w:val="24"/>
          <w:lang w:val="sq-AL"/>
        </w:rPr>
        <w:t xml:space="preserve"> miturit tek qasja e barabart</w:t>
      </w:r>
      <w:r w:rsidR="005D3CCC" w:rsidRPr="0032048B">
        <w:rPr>
          <w:sz w:val="24"/>
          <w:szCs w:val="24"/>
          <w:lang w:val="sq-AL"/>
        </w:rPr>
        <w:t>ë</w:t>
      </w:r>
      <w:r w:rsidRPr="0032048B">
        <w:rPr>
          <w:sz w:val="24"/>
          <w:szCs w:val="24"/>
          <w:lang w:val="sq-AL"/>
        </w:rPr>
        <w:t xml:space="preserve"> në drejtësi për të gjithë fëmijët dhe në të gjitha fushat e ligjit, n</w:t>
      </w:r>
      <w:r w:rsidR="005D3CCC" w:rsidRPr="0032048B">
        <w:rPr>
          <w:sz w:val="24"/>
          <w:szCs w:val="24"/>
          <w:lang w:val="sq-AL"/>
        </w:rPr>
        <w:t>ë</w:t>
      </w:r>
      <w:r w:rsidRPr="0032048B">
        <w:rPr>
          <w:sz w:val="24"/>
          <w:szCs w:val="24"/>
          <w:lang w:val="sq-AL"/>
        </w:rPr>
        <w:t xml:space="preserve"> p</w:t>
      </w:r>
      <w:r w:rsidR="005D3CCC" w:rsidRPr="0032048B">
        <w:rPr>
          <w:sz w:val="24"/>
          <w:szCs w:val="24"/>
          <w:lang w:val="sq-AL"/>
        </w:rPr>
        <w:t>ë</w:t>
      </w:r>
      <w:r w:rsidRPr="0032048B">
        <w:rPr>
          <w:sz w:val="24"/>
          <w:szCs w:val="24"/>
          <w:lang w:val="sq-AL"/>
        </w:rPr>
        <w:t>rpjekje p</w:t>
      </w:r>
      <w:r w:rsidR="005D3CCC" w:rsidRPr="0032048B">
        <w:rPr>
          <w:sz w:val="24"/>
          <w:szCs w:val="24"/>
          <w:lang w:val="sq-AL"/>
        </w:rPr>
        <w:t>ë</w:t>
      </w:r>
      <w:r w:rsidRPr="0032048B">
        <w:rPr>
          <w:sz w:val="24"/>
          <w:szCs w:val="24"/>
          <w:lang w:val="sq-AL"/>
        </w:rPr>
        <w:t>r t</w:t>
      </w:r>
      <w:r w:rsidR="005D3CCC" w:rsidRPr="0032048B">
        <w:rPr>
          <w:sz w:val="24"/>
          <w:szCs w:val="24"/>
          <w:lang w:val="sq-AL"/>
        </w:rPr>
        <w:t>ë</w:t>
      </w:r>
      <w:r w:rsidR="004D53EC">
        <w:rPr>
          <w:sz w:val="24"/>
          <w:szCs w:val="24"/>
          <w:lang w:val="sq-AL"/>
        </w:rPr>
        <w:t xml:space="preserve"> </w:t>
      </w:r>
      <w:r w:rsidRPr="0032048B">
        <w:rPr>
          <w:sz w:val="24"/>
          <w:szCs w:val="24"/>
          <w:lang w:val="sq-AL"/>
        </w:rPr>
        <w:t>konsoliduar drejtësinë miqësore me fëmijët. Zbatimi i plotë i saj do të kërkonte më shumë burime, investime, koordinim dhe përgjegjshmëri. Koordinimi dhe zbatimi i strategjisë kërkon një shërbim të dedikuar brenda Ministrisë së Drejtësisë.</w:t>
      </w:r>
    </w:p>
    <w:p w14:paraId="5C0FB5AB" w14:textId="404AA55F" w:rsidR="00380775" w:rsidRPr="0032048B" w:rsidRDefault="00380775" w:rsidP="00361D5A">
      <w:pPr>
        <w:tabs>
          <w:tab w:val="left" w:pos="1134"/>
          <w:tab w:val="left" w:pos="9360"/>
        </w:tabs>
        <w:spacing w:before="120"/>
        <w:ind w:left="993" w:right="1067"/>
        <w:jc w:val="both"/>
        <w:rPr>
          <w:sz w:val="24"/>
          <w:szCs w:val="24"/>
          <w:lang w:val="sq-AL"/>
        </w:rPr>
      </w:pPr>
      <w:r w:rsidRPr="0032048B">
        <w:rPr>
          <w:sz w:val="24"/>
          <w:szCs w:val="24"/>
          <w:lang w:val="sq-AL"/>
        </w:rPr>
        <w:t>Për fëmijët në konflikt me ligjin, paraburgimi mbetet arsyeja kryesore e privimit të lirisë (74% e rasteve). Me numrin e zvogëluar të magjistratëve, paraburgimi zgjatet padrejtësisht, duke ndikuar negativisht tek fëmijët e burgosur dhe</w:t>
      </w:r>
      <w:r w:rsidR="004D53EC">
        <w:rPr>
          <w:sz w:val="24"/>
          <w:szCs w:val="24"/>
          <w:lang w:val="sq-AL"/>
        </w:rPr>
        <w:t xml:space="preserve"> </w:t>
      </w:r>
      <w:r w:rsidRPr="0032048B">
        <w:rPr>
          <w:sz w:val="24"/>
          <w:szCs w:val="24"/>
          <w:lang w:val="sq-AL"/>
        </w:rPr>
        <w:t>mund</w:t>
      </w:r>
      <w:r w:rsidR="005D3CCC" w:rsidRPr="0032048B">
        <w:rPr>
          <w:sz w:val="24"/>
          <w:szCs w:val="24"/>
          <w:lang w:val="sq-AL"/>
        </w:rPr>
        <w:t>ë</w:t>
      </w:r>
      <w:r w:rsidRPr="0032048B">
        <w:rPr>
          <w:sz w:val="24"/>
          <w:szCs w:val="24"/>
          <w:lang w:val="sq-AL"/>
        </w:rPr>
        <w:t>sit</w:t>
      </w:r>
      <w:r w:rsidR="005D3CCC" w:rsidRPr="0032048B">
        <w:rPr>
          <w:sz w:val="24"/>
          <w:szCs w:val="24"/>
          <w:lang w:val="sq-AL"/>
        </w:rPr>
        <w:t>ë</w:t>
      </w:r>
      <w:r w:rsidRPr="0032048B">
        <w:rPr>
          <w:sz w:val="24"/>
          <w:szCs w:val="24"/>
          <w:lang w:val="sq-AL"/>
        </w:rPr>
        <w:t xml:space="preserve"> p</w:t>
      </w:r>
      <w:r w:rsidR="005D3CCC" w:rsidRPr="0032048B">
        <w:rPr>
          <w:sz w:val="24"/>
          <w:szCs w:val="24"/>
          <w:lang w:val="sq-AL"/>
        </w:rPr>
        <w:t>ë</w:t>
      </w:r>
      <w:r w:rsidRPr="0032048B">
        <w:rPr>
          <w:sz w:val="24"/>
          <w:szCs w:val="24"/>
          <w:lang w:val="sq-AL"/>
        </w:rPr>
        <w:t xml:space="preserve">r rehabilitim dhe </w:t>
      </w:r>
      <w:proofErr w:type="spellStart"/>
      <w:r w:rsidRPr="0032048B">
        <w:rPr>
          <w:sz w:val="24"/>
          <w:szCs w:val="24"/>
          <w:lang w:val="sq-AL"/>
        </w:rPr>
        <w:t>riintegrim</w:t>
      </w:r>
      <w:proofErr w:type="spellEnd"/>
      <w:r w:rsidRPr="0032048B">
        <w:rPr>
          <w:sz w:val="24"/>
          <w:szCs w:val="24"/>
          <w:lang w:val="sq-AL"/>
        </w:rPr>
        <w:t xml:space="preserve"> në komunitet. Shqipëria duhet të marrë në konsideratë zhvillimin e programeve me bazë </w:t>
      </w:r>
      <w:proofErr w:type="spellStart"/>
      <w:r w:rsidRPr="0032048B">
        <w:rPr>
          <w:sz w:val="24"/>
          <w:szCs w:val="24"/>
          <w:lang w:val="sq-AL"/>
        </w:rPr>
        <w:t>komunitare</w:t>
      </w:r>
      <w:proofErr w:type="spellEnd"/>
      <w:r w:rsidRPr="0032048B">
        <w:rPr>
          <w:sz w:val="24"/>
          <w:szCs w:val="24"/>
          <w:lang w:val="sq-AL"/>
        </w:rPr>
        <w:t xml:space="preserve"> për fëmijët në konflikt me ligjin, në vend të objektit të madh q</w:t>
      </w:r>
      <w:r w:rsidR="005D3CCC" w:rsidRPr="0032048B">
        <w:rPr>
          <w:sz w:val="24"/>
          <w:szCs w:val="24"/>
          <w:lang w:val="sq-AL"/>
        </w:rPr>
        <w:t>ë</w:t>
      </w:r>
      <w:r w:rsidRPr="0032048B">
        <w:rPr>
          <w:sz w:val="24"/>
          <w:szCs w:val="24"/>
          <w:lang w:val="sq-AL"/>
        </w:rPr>
        <w:t xml:space="preserve"> ka planifikuar.</w:t>
      </w:r>
    </w:p>
    <w:p w14:paraId="61B952EF" w14:textId="10D038BB" w:rsidR="00380775" w:rsidRPr="0032048B" w:rsidRDefault="00380775" w:rsidP="00361D5A">
      <w:pPr>
        <w:tabs>
          <w:tab w:val="left" w:pos="1134"/>
          <w:tab w:val="left" w:pos="9360"/>
        </w:tabs>
        <w:spacing w:before="120"/>
        <w:ind w:left="993" w:right="1067"/>
        <w:jc w:val="both"/>
        <w:rPr>
          <w:sz w:val="24"/>
          <w:szCs w:val="24"/>
          <w:lang w:val="sq-AL"/>
        </w:rPr>
      </w:pPr>
      <w:r w:rsidRPr="0032048B">
        <w:rPr>
          <w:sz w:val="24"/>
          <w:szCs w:val="24"/>
          <w:lang w:val="sq-AL"/>
        </w:rPr>
        <w:t>Policia e Shtetit Shqiptare ka krijuar njësi p</w:t>
      </w:r>
      <w:r w:rsidR="005D3CCC" w:rsidRPr="0032048B">
        <w:rPr>
          <w:sz w:val="24"/>
          <w:szCs w:val="24"/>
          <w:lang w:val="sq-AL"/>
        </w:rPr>
        <w:t>ë</w:t>
      </w:r>
      <w:r w:rsidRPr="0032048B">
        <w:rPr>
          <w:sz w:val="24"/>
          <w:szCs w:val="24"/>
          <w:lang w:val="sq-AL"/>
        </w:rPr>
        <w:t xml:space="preserve">r </w:t>
      </w:r>
      <w:proofErr w:type="spellStart"/>
      <w:r w:rsidRPr="0032048B">
        <w:rPr>
          <w:sz w:val="24"/>
          <w:szCs w:val="24"/>
          <w:lang w:val="sq-AL"/>
        </w:rPr>
        <w:t>intervistimin</w:t>
      </w:r>
      <w:proofErr w:type="spellEnd"/>
      <w:r w:rsidRPr="0032048B">
        <w:rPr>
          <w:sz w:val="24"/>
          <w:szCs w:val="24"/>
          <w:lang w:val="sq-AL"/>
        </w:rPr>
        <w:t xml:space="preserve"> e f</w:t>
      </w:r>
      <w:r w:rsidR="005D3CCC" w:rsidRPr="0032048B">
        <w:rPr>
          <w:sz w:val="24"/>
          <w:szCs w:val="24"/>
          <w:lang w:val="sq-AL"/>
        </w:rPr>
        <w:t>ë</w:t>
      </w:r>
      <w:r w:rsidRPr="0032048B">
        <w:rPr>
          <w:sz w:val="24"/>
          <w:szCs w:val="24"/>
          <w:lang w:val="sq-AL"/>
        </w:rPr>
        <w:t>mij</w:t>
      </w:r>
      <w:r w:rsidR="005D3CCC" w:rsidRPr="0032048B">
        <w:rPr>
          <w:sz w:val="24"/>
          <w:szCs w:val="24"/>
          <w:lang w:val="sq-AL"/>
        </w:rPr>
        <w:t>ë</w:t>
      </w:r>
      <w:r w:rsidRPr="0032048B">
        <w:rPr>
          <w:sz w:val="24"/>
          <w:szCs w:val="24"/>
          <w:lang w:val="sq-AL"/>
        </w:rPr>
        <w:t>ve në 16 drejtori ose stacione policie nga personeli i trajnuar p</w:t>
      </w:r>
      <w:r w:rsidR="005D3CCC" w:rsidRPr="0032048B">
        <w:rPr>
          <w:sz w:val="24"/>
          <w:szCs w:val="24"/>
          <w:lang w:val="sq-AL"/>
        </w:rPr>
        <w:t>ë</w:t>
      </w:r>
      <w:r w:rsidRPr="0032048B">
        <w:rPr>
          <w:sz w:val="24"/>
          <w:szCs w:val="24"/>
          <w:lang w:val="sq-AL"/>
        </w:rPr>
        <w:t>r intervista miqësore me fëmijët. Mirëmbajtja e duhur dhe funksionimi i pandërprerë i këtyre mjediseve kërkojnë një buxhet të p</w:t>
      </w:r>
      <w:r w:rsidR="005D3CCC" w:rsidRPr="0032048B">
        <w:rPr>
          <w:sz w:val="24"/>
          <w:szCs w:val="24"/>
          <w:lang w:val="sq-AL"/>
        </w:rPr>
        <w:t>ë</w:t>
      </w:r>
      <w:r w:rsidRPr="0032048B">
        <w:rPr>
          <w:sz w:val="24"/>
          <w:szCs w:val="24"/>
          <w:lang w:val="sq-AL"/>
        </w:rPr>
        <w:t>rshtatsh</w:t>
      </w:r>
      <w:r w:rsidR="005D3CCC" w:rsidRPr="0032048B">
        <w:rPr>
          <w:sz w:val="24"/>
          <w:szCs w:val="24"/>
          <w:lang w:val="sq-AL"/>
        </w:rPr>
        <w:t>ë</w:t>
      </w:r>
      <w:r w:rsidR="00E247EA" w:rsidRPr="0032048B">
        <w:rPr>
          <w:sz w:val="24"/>
          <w:szCs w:val="24"/>
          <w:lang w:val="sq-AL"/>
        </w:rPr>
        <w:t>m</w:t>
      </w:r>
      <w:r w:rsidRPr="0032048B">
        <w:rPr>
          <w:sz w:val="24"/>
          <w:szCs w:val="24"/>
          <w:lang w:val="sq-AL"/>
        </w:rPr>
        <w:t xml:space="preserve"> p</w:t>
      </w:r>
      <w:r w:rsidR="005D3CCC" w:rsidRPr="0032048B">
        <w:rPr>
          <w:sz w:val="24"/>
          <w:szCs w:val="24"/>
          <w:lang w:val="sq-AL"/>
        </w:rPr>
        <w:t>ë</w:t>
      </w:r>
      <w:r w:rsidRPr="0032048B">
        <w:rPr>
          <w:sz w:val="24"/>
          <w:szCs w:val="24"/>
          <w:lang w:val="sq-AL"/>
        </w:rPr>
        <w:t>r policin</w:t>
      </w:r>
      <w:r w:rsidR="005D3CCC" w:rsidRPr="0032048B">
        <w:rPr>
          <w:sz w:val="24"/>
          <w:szCs w:val="24"/>
          <w:lang w:val="sq-AL"/>
        </w:rPr>
        <w:t>ë</w:t>
      </w:r>
      <w:r w:rsidRPr="0032048B">
        <w:rPr>
          <w:sz w:val="24"/>
          <w:szCs w:val="24"/>
          <w:lang w:val="sq-AL"/>
        </w:rPr>
        <w:t xml:space="preserve"> e shtetit.</w:t>
      </w:r>
    </w:p>
    <w:p w14:paraId="1DAF97A8" w14:textId="6106AE7D" w:rsidR="00380775" w:rsidRPr="0032048B" w:rsidRDefault="00380775" w:rsidP="00361D5A">
      <w:pPr>
        <w:tabs>
          <w:tab w:val="left" w:pos="1134"/>
          <w:tab w:val="left" w:pos="9360"/>
        </w:tabs>
        <w:spacing w:before="120"/>
        <w:ind w:left="993" w:right="1067"/>
        <w:jc w:val="both"/>
        <w:rPr>
          <w:sz w:val="24"/>
          <w:szCs w:val="24"/>
          <w:lang w:val="sq-AL"/>
        </w:rPr>
      </w:pPr>
      <w:r w:rsidRPr="0032048B">
        <w:rPr>
          <w:sz w:val="24"/>
          <w:szCs w:val="24"/>
          <w:lang w:val="sq-AL"/>
        </w:rPr>
        <w:t>Progres i mjaftuesh</w:t>
      </w:r>
      <w:r w:rsidR="005D3CCC" w:rsidRPr="0032048B">
        <w:rPr>
          <w:sz w:val="24"/>
          <w:szCs w:val="24"/>
          <w:lang w:val="sq-AL"/>
        </w:rPr>
        <w:t>ë</w:t>
      </w:r>
      <w:r w:rsidRPr="0032048B">
        <w:rPr>
          <w:sz w:val="24"/>
          <w:szCs w:val="24"/>
          <w:lang w:val="sq-AL"/>
        </w:rPr>
        <w:t xml:space="preserve">m </w:t>
      </w:r>
      <w:r w:rsidR="005D3CCC" w:rsidRPr="0032048B">
        <w:rPr>
          <w:sz w:val="24"/>
          <w:szCs w:val="24"/>
          <w:lang w:val="sq-AL"/>
        </w:rPr>
        <w:t>ë</w:t>
      </w:r>
      <w:r w:rsidRPr="0032048B">
        <w:rPr>
          <w:sz w:val="24"/>
          <w:szCs w:val="24"/>
          <w:lang w:val="sq-AL"/>
        </w:rPr>
        <w:t>sht</w:t>
      </w:r>
      <w:r w:rsidR="005D3CCC" w:rsidRPr="0032048B">
        <w:rPr>
          <w:sz w:val="24"/>
          <w:szCs w:val="24"/>
          <w:lang w:val="sq-AL"/>
        </w:rPr>
        <w:t>ë</w:t>
      </w:r>
      <w:r w:rsidRPr="0032048B">
        <w:rPr>
          <w:sz w:val="24"/>
          <w:szCs w:val="24"/>
          <w:lang w:val="sq-AL"/>
        </w:rPr>
        <w:t xml:space="preserve"> b</w:t>
      </w:r>
      <w:r w:rsidR="005D3CCC" w:rsidRPr="0032048B">
        <w:rPr>
          <w:sz w:val="24"/>
          <w:szCs w:val="24"/>
          <w:lang w:val="sq-AL"/>
        </w:rPr>
        <w:t>ë</w:t>
      </w:r>
      <w:r w:rsidRPr="0032048B">
        <w:rPr>
          <w:sz w:val="24"/>
          <w:szCs w:val="24"/>
          <w:lang w:val="sq-AL"/>
        </w:rPr>
        <w:t>r</w:t>
      </w:r>
      <w:r w:rsidR="005D3CCC" w:rsidRPr="0032048B">
        <w:rPr>
          <w:sz w:val="24"/>
          <w:szCs w:val="24"/>
          <w:lang w:val="sq-AL"/>
        </w:rPr>
        <w:t>ë</w:t>
      </w:r>
      <w:r w:rsidRPr="0032048B">
        <w:rPr>
          <w:sz w:val="24"/>
          <w:szCs w:val="24"/>
          <w:lang w:val="sq-AL"/>
        </w:rPr>
        <w:t xml:space="preserve"> p</w:t>
      </w:r>
      <w:r w:rsidR="005D3CCC" w:rsidRPr="0032048B">
        <w:rPr>
          <w:sz w:val="24"/>
          <w:szCs w:val="24"/>
          <w:lang w:val="sq-AL"/>
        </w:rPr>
        <w:t>ë</w:t>
      </w:r>
      <w:r w:rsidRPr="0032048B">
        <w:rPr>
          <w:sz w:val="24"/>
          <w:szCs w:val="24"/>
          <w:lang w:val="sq-AL"/>
        </w:rPr>
        <w:t xml:space="preserve">r </w:t>
      </w:r>
      <w:r w:rsidRPr="0032048B">
        <w:rPr>
          <w:b/>
          <w:bCs/>
          <w:sz w:val="24"/>
          <w:szCs w:val="24"/>
          <w:lang w:val="sq-AL"/>
        </w:rPr>
        <w:t>të drejtat e personave me aftësi të kufizuara</w:t>
      </w:r>
      <w:r w:rsidRPr="0032048B">
        <w:rPr>
          <w:sz w:val="24"/>
          <w:szCs w:val="24"/>
          <w:lang w:val="sq-AL"/>
        </w:rPr>
        <w:t xml:space="preserve">. Reforma e vlerësimit </w:t>
      </w:r>
      <w:proofErr w:type="spellStart"/>
      <w:r w:rsidRPr="0032048B">
        <w:rPr>
          <w:sz w:val="24"/>
          <w:szCs w:val="24"/>
          <w:lang w:val="sq-AL"/>
        </w:rPr>
        <w:t>biopsikosocial</w:t>
      </w:r>
      <w:proofErr w:type="spellEnd"/>
      <w:r w:rsidRPr="0032048B">
        <w:rPr>
          <w:sz w:val="24"/>
          <w:szCs w:val="24"/>
          <w:lang w:val="sq-AL"/>
        </w:rPr>
        <w:t xml:space="preserve"> tani zbatohet në të gjithë vendin, por mekanizmat përkatës të referimit ende nuk jan</w:t>
      </w:r>
      <w:r w:rsidR="005D3CCC" w:rsidRPr="0032048B">
        <w:rPr>
          <w:sz w:val="24"/>
          <w:szCs w:val="24"/>
          <w:lang w:val="sq-AL"/>
        </w:rPr>
        <w:t>ë</w:t>
      </w:r>
      <w:r w:rsidRPr="0032048B">
        <w:rPr>
          <w:sz w:val="24"/>
          <w:szCs w:val="24"/>
          <w:lang w:val="sq-AL"/>
        </w:rPr>
        <w:t xml:space="preserve"> krijuar. Kuadri ligjor i Shqipërisë për të drejtat e personave me aftësi të kufizuara mbetet vetëm pjesërisht në përputhje me Konventën e OKB-s</w:t>
      </w:r>
      <w:r w:rsidR="005D3CCC" w:rsidRPr="0032048B">
        <w:rPr>
          <w:sz w:val="24"/>
          <w:szCs w:val="24"/>
          <w:lang w:val="sq-AL"/>
        </w:rPr>
        <w:t>ë</w:t>
      </w:r>
      <w:r w:rsidRPr="0032048B">
        <w:rPr>
          <w:sz w:val="24"/>
          <w:szCs w:val="24"/>
          <w:lang w:val="sq-AL"/>
        </w:rPr>
        <w:t xml:space="preserve"> për të Drejtat e Personave me Aftësi të Kufizuara dhe boshllëqet duhet të adresohen. Shqipëria duhet të ratifikojë protokollin </w:t>
      </w:r>
      <w:proofErr w:type="spellStart"/>
      <w:r w:rsidRPr="0032048B">
        <w:rPr>
          <w:sz w:val="24"/>
          <w:szCs w:val="24"/>
          <w:lang w:val="sq-AL"/>
        </w:rPr>
        <w:t>opsional</w:t>
      </w:r>
      <w:proofErr w:type="spellEnd"/>
      <w:r w:rsidRPr="0032048B">
        <w:rPr>
          <w:sz w:val="24"/>
          <w:szCs w:val="24"/>
          <w:lang w:val="sq-AL"/>
        </w:rPr>
        <w:t xml:space="preserve"> të Konventës. K</w:t>
      </w:r>
      <w:r w:rsidR="005D3CCC" w:rsidRPr="0032048B">
        <w:rPr>
          <w:sz w:val="24"/>
          <w:szCs w:val="24"/>
          <w:lang w:val="sq-AL"/>
        </w:rPr>
        <w:t>ë</w:t>
      </w:r>
      <w:r w:rsidRPr="0032048B">
        <w:rPr>
          <w:sz w:val="24"/>
          <w:szCs w:val="24"/>
          <w:lang w:val="sq-AL"/>
        </w:rPr>
        <w:t>rkohen m</w:t>
      </w:r>
      <w:r w:rsidR="005D3CCC" w:rsidRPr="0032048B">
        <w:rPr>
          <w:sz w:val="24"/>
          <w:szCs w:val="24"/>
          <w:lang w:val="sq-AL"/>
        </w:rPr>
        <w:t>ë</w:t>
      </w:r>
      <w:r w:rsidRPr="0032048B">
        <w:rPr>
          <w:sz w:val="24"/>
          <w:szCs w:val="24"/>
          <w:lang w:val="sq-AL"/>
        </w:rPr>
        <w:t xml:space="preserve"> shumë përpjekje energjike për të trajtuar diskriminimin ndaj personave me aftësi të kufizuara, për të përmirësuar </w:t>
      </w:r>
      <w:proofErr w:type="spellStart"/>
      <w:r w:rsidRPr="0032048B">
        <w:rPr>
          <w:sz w:val="24"/>
          <w:szCs w:val="24"/>
          <w:lang w:val="sq-AL"/>
        </w:rPr>
        <w:t>aksesin</w:t>
      </w:r>
      <w:proofErr w:type="spellEnd"/>
      <w:r w:rsidRPr="0032048B">
        <w:rPr>
          <w:sz w:val="24"/>
          <w:szCs w:val="24"/>
          <w:lang w:val="sq-AL"/>
        </w:rPr>
        <w:t xml:space="preserve"> e përgjithshëm, promovimin e punësimit dhe mbledhjen e të dhënave statistikore. Masat e de-institucionalizimit po zbatohen, por duhet të avancojn</w:t>
      </w:r>
      <w:r w:rsidR="005D3CCC" w:rsidRPr="0032048B">
        <w:rPr>
          <w:sz w:val="24"/>
          <w:szCs w:val="24"/>
          <w:lang w:val="sq-AL"/>
        </w:rPr>
        <w:t>ë</w:t>
      </w:r>
      <w:r w:rsidRPr="0032048B">
        <w:rPr>
          <w:sz w:val="24"/>
          <w:szCs w:val="24"/>
          <w:lang w:val="sq-AL"/>
        </w:rPr>
        <w:t xml:space="preserve"> me ritëm të mjaftueshëm. Cilësia e arsimit për fëmijët me aftësi të kufizuara, veçanërisht fëmijët me probleme të dëgjimit, vazhdoi të shkaktojë shqetësim. Numri i mësuesve ndihmës në sistemin e arsimit para universitar vazhdoi të rritet në vitin 2022. Por duhet të rritet më tej për të siguruar mbështetje të mjaftueshme për të gjitha shkollat, veçanërisht në zonat rurale dhe të largëta. Duhen m</w:t>
      </w:r>
      <w:r w:rsidR="005D3CCC" w:rsidRPr="0032048B">
        <w:rPr>
          <w:sz w:val="24"/>
          <w:szCs w:val="24"/>
          <w:lang w:val="sq-AL"/>
        </w:rPr>
        <w:t>ë</w:t>
      </w:r>
      <w:r w:rsidRPr="0032048B">
        <w:rPr>
          <w:sz w:val="24"/>
          <w:szCs w:val="24"/>
          <w:lang w:val="sq-AL"/>
        </w:rPr>
        <w:t xml:space="preserve"> shum</w:t>
      </w:r>
      <w:r w:rsidR="005D3CCC" w:rsidRPr="0032048B">
        <w:rPr>
          <w:sz w:val="24"/>
          <w:szCs w:val="24"/>
          <w:lang w:val="sq-AL"/>
        </w:rPr>
        <w:t>ë</w:t>
      </w:r>
      <w:r w:rsidRPr="0032048B">
        <w:rPr>
          <w:sz w:val="24"/>
          <w:szCs w:val="24"/>
          <w:lang w:val="sq-AL"/>
        </w:rPr>
        <w:t xml:space="preserve"> p</w:t>
      </w:r>
      <w:r w:rsidR="005D3CCC" w:rsidRPr="0032048B">
        <w:rPr>
          <w:sz w:val="24"/>
          <w:szCs w:val="24"/>
          <w:lang w:val="sq-AL"/>
        </w:rPr>
        <w:t>ë</w:t>
      </w:r>
      <w:r w:rsidRPr="0032048B">
        <w:rPr>
          <w:sz w:val="24"/>
          <w:szCs w:val="24"/>
          <w:lang w:val="sq-AL"/>
        </w:rPr>
        <w:t>rpjekje për të siguruar trajnime p</w:t>
      </w:r>
      <w:r w:rsidR="005D3CCC" w:rsidRPr="0032048B">
        <w:rPr>
          <w:sz w:val="24"/>
          <w:szCs w:val="24"/>
          <w:lang w:val="sq-AL"/>
        </w:rPr>
        <w:t>ë</w:t>
      </w:r>
      <w:r w:rsidRPr="0032048B">
        <w:rPr>
          <w:sz w:val="24"/>
          <w:szCs w:val="24"/>
          <w:lang w:val="sq-AL"/>
        </w:rPr>
        <w:t>r qasjet gjithëpërfshirëse n</w:t>
      </w:r>
      <w:r w:rsidR="005D3CCC" w:rsidRPr="0032048B">
        <w:rPr>
          <w:sz w:val="24"/>
          <w:szCs w:val="24"/>
          <w:lang w:val="sq-AL"/>
        </w:rPr>
        <w:t>ë</w:t>
      </w:r>
      <w:r w:rsidRPr="0032048B">
        <w:rPr>
          <w:sz w:val="24"/>
          <w:szCs w:val="24"/>
          <w:lang w:val="sq-AL"/>
        </w:rPr>
        <w:t xml:space="preserve"> arsimit për të gjithë mësuesit dhe për zbulimin e hershëm të aftësive t</w:t>
      </w:r>
      <w:r w:rsidR="005D3CCC" w:rsidRPr="0032048B">
        <w:rPr>
          <w:sz w:val="24"/>
          <w:szCs w:val="24"/>
          <w:lang w:val="sq-AL"/>
        </w:rPr>
        <w:t>ë</w:t>
      </w:r>
      <w:r w:rsidRPr="0032048B">
        <w:rPr>
          <w:sz w:val="24"/>
          <w:szCs w:val="24"/>
          <w:lang w:val="sq-AL"/>
        </w:rPr>
        <w:t xml:space="preserve"> kufizuar.</w:t>
      </w:r>
    </w:p>
    <w:p w14:paraId="7459D308" w14:textId="36107B30" w:rsidR="00380775" w:rsidRPr="0032048B" w:rsidRDefault="00380775" w:rsidP="00361D5A">
      <w:pPr>
        <w:tabs>
          <w:tab w:val="left" w:pos="1134"/>
          <w:tab w:val="left" w:pos="9360"/>
        </w:tabs>
        <w:spacing w:before="119"/>
        <w:ind w:left="993" w:right="1067"/>
        <w:jc w:val="both"/>
        <w:rPr>
          <w:sz w:val="24"/>
          <w:lang w:val="sq-AL"/>
        </w:rPr>
      </w:pPr>
      <w:r w:rsidRPr="0032048B">
        <w:rPr>
          <w:sz w:val="24"/>
          <w:lang w:val="sq-AL"/>
        </w:rPr>
        <w:t xml:space="preserve">Diskriminimi ndaj personave </w:t>
      </w:r>
      <w:proofErr w:type="spellStart"/>
      <w:r w:rsidRPr="0032048B">
        <w:rPr>
          <w:b/>
          <w:bCs/>
          <w:sz w:val="24"/>
          <w:lang w:val="sq-AL"/>
        </w:rPr>
        <w:t>lezbike</w:t>
      </w:r>
      <w:proofErr w:type="spellEnd"/>
      <w:r w:rsidRPr="0032048B">
        <w:rPr>
          <w:b/>
          <w:bCs/>
          <w:sz w:val="24"/>
          <w:lang w:val="sq-AL"/>
        </w:rPr>
        <w:t xml:space="preserve">, </w:t>
      </w:r>
      <w:proofErr w:type="spellStart"/>
      <w:r w:rsidRPr="0032048B">
        <w:rPr>
          <w:b/>
          <w:bCs/>
          <w:sz w:val="24"/>
          <w:lang w:val="sq-AL"/>
        </w:rPr>
        <w:t>gay</w:t>
      </w:r>
      <w:proofErr w:type="spellEnd"/>
      <w:r w:rsidRPr="0032048B">
        <w:rPr>
          <w:b/>
          <w:bCs/>
          <w:sz w:val="24"/>
          <w:lang w:val="sq-AL"/>
        </w:rPr>
        <w:t xml:space="preserve">, biseksual, </w:t>
      </w:r>
      <w:proofErr w:type="spellStart"/>
      <w:r w:rsidRPr="0032048B">
        <w:rPr>
          <w:b/>
          <w:bCs/>
          <w:sz w:val="24"/>
          <w:lang w:val="sq-AL"/>
        </w:rPr>
        <w:t>transgjinor</w:t>
      </w:r>
      <w:proofErr w:type="spellEnd"/>
      <w:r w:rsidRPr="0032048B">
        <w:rPr>
          <w:b/>
          <w:bCs/>
          <w:sz w:val="24"/>
          <w:lang w:val="sq-AL"/>
        </w:rPr>
        <w:t xml:space="preserve">, </w:t>
      </w:r>
      <w:proofErr w:type="spellStart"/>
      <w:r w:rsidRPr="0032048B">
        <w:rPr>
          <w:b/>
          <w:bCs/>
          <w:sz w:val="24"/>
          <w:lang w:val="sq-AL"/>
        </w:rPr>
        <w:t>interseks</w:t>
      </w:r>
      <w:proofErr w:type="spellEnd"/>
      <w:r w:rsidRPr="0032048B">
        <w:rPr>
          <w:b/>
          <w:bCs/>
          <w:sz w:val="24"/>
          <w:lang w:val="sq-AL"/>
        </w:rPr>
        <w:t xml:space="preserve"> dhe jo t</w:t>
      </w:r>
      <w:r w:rsidR="005D3CCC" w:rsidRPr="0032048B">
        <w:rPr>
          <w:b/>
          <w:bCs/>
          <w:sz w:val="24"/>
          <w:lang w:val="sq-AL"/>
        </w:rPr>
        <w:t>ë</w:t>
      </w:r>
      <w:r w:rsidRPr="0032048B">
        <w:rPr>
          <w:b/>
          <w:bCs/>
          <w:sz w:val="24"/>
          <w:lang w:val="sq-AL"/>
        </w:rPr>
        <w:t xml:space="preserve"> zakontë (</w:t>
      </w:r>
      <w:proofErr w:type="spellStart"/>
      <w:r w:rsidRPr="0032048B">
        <w:rPr>
          <w:b/>
          <w:bCs/>
          <w:sz w:val="24"/>
          <w:lang w:val="sq-AL"/>
        </w:rPr>
        <w:t>queer</w:t>
      </w:r>
      <w:proofErr w:type="spellEnd"/>
      <w:r w:rsidRPr="0032048B">
        <w:rPr>
          <w:b/>
          <w:bCs/>
          <w:sz w:val="24"/>
          <w:lang w:val="sq-AL"/>
        </w:rPr>
        <w:t>)</w:t>
      </w:r>
      <w:r w:rsidRPr="0032048B">
        <w:rPr>
          <w:sz w:val="24"/>
          <w:lang w:val="sq-AL"/>
        </w:rPr>
        <w:t xml:space="preserve"> (LGBTIQ) vazhdon t</w:t>
      </w:r>
      <w:r w:rsidR="005D3CCC" w:rsidRPr="0032048B">
        <w:rPr>
          <w:sz w:val="24"/>
          <w:lang w:val="sq-AL"/>
        </w:rPr>
        <w:t>ë</w:t>
      </w:r>
      <w:r w:rsidRPr="0032048B">
        <w:rPr>
          <w:sz w:val="24"/>
          <w:lang w:val="sq-AL"/>
        </w:rPr>
        <w:t xml:space="preserve"> jet</w:t>
      </w:r>
      <w:r w:rsidR="005D3CCC" w:rsidRPr="0032048B">
        <w:rPr>
          <w:sz w:val="24"/>
          <w:lang w:val="sq-AL"/>
        </w:rPr>
        <w:t>ë</w:t>
      </w:r>
      <w:r w:rsidRPr="0032048B">
        <w:rPr>
          <w:sz w:val="24"/>
          <w:lang w:val="sq-AL"/>
        </w:rPr>
        <w:t xml:space="preserve"> shumë i përhapur në shoqërinë shqiptare, veçanërisht në lidhje me qasjen në kujdesin shëndetësor, arsimin, drejtësinë, punësimin dhe strehimin. Anëtarët e komunitetit LGBTIQ vazhdojnë të përjetojnë agresion fizik dhe gjuh</w:t>
      </w:r>
      <w:r w:rsidR="005D3CCC" w:rsidRPr="0032048B">
        <w:rPr>
          <w:sz w:val="24"/>
          <w:lang w:val="sq-AL"/>
        </w:rPr>
        <w:t>ë</w:t>
      </w:r>
      <w:r w:rsidRPr="0032048B">
        <w:rPr>
          <w:sz w:val="24"/>
          <w:lang w:val="sq-AL"/>
        </w:rPr>
        <w:t xml:space="preserve"> urrejtjeje, veçanërisht në mediat sociale. Shqipëria nuk ka legjislacion që njeh bashkëjetesën civile ose martesën e të njëjtit seks. Në vitin 2022, oficerët e policisë u trajnuan për hetimin e krimeve të urrejtjes kundër personave LGBTIQ. </w:t>
      </w:r>
      <w:proofErr w:type="spellStart"/>
      <w:r w:rsidRPr="0032048B">
        <w:rPr>
          <w:sz w:val="24"/>
          <w:lang w:val="sq-AL"/>
        </w:rPr>
        <w:t>Streh</w:t>
      </w:r>
      <w:r w:rsidR="005D3CCC" w:rsidRPr="0032048B">
        <w:rPr>
          <w:sz w:val="24"/>
          <w:lang w:val="sq-AL"/>
        </w:rPr>
        <w:t>ë</w:t>
      </w:r>
      <w:r w:rsidRPr="0032048B">
        <w:rPr>
          <w:sz w:val="24"/>
          <w:lang w:val="sq-AL"/>
        </w:rPr>
        <w:t>za</w:t>
      </w:r>
      <w:proofErr w:type="spellEnd"/>
      <w:r w:rsidRPr="0032048B">
        <w:rPr>
          <w:sz w:val="24"/>
          <w:lang w:val="sq-AL"/>
        </w:rPr>
        <w:t xml:space="preserve"> për personat e pastrehë LGBTIQ vazhdoi të sigurojë kujdes, mbështetje dhe </w:t>
      </w:r>
      <w:proofErr w:type="spellStart"/>
      <w:r w:rsidRPr="0032048B">
        <w:rPr>
          <w:sz w:val="24"/>
          <w:lang w:val="sq-AL"/>
        </w:rPr>
        <w:t>avokim</w:t>
      </w:r>
      <w:proofErr w:type="spellEnd"/>
      <w:r w:rsidRPr="0032048B">
        <w:rPr>
          <w:sz w:val="24"/>
          <w:lang w:val="sq-AL"/>
        </w:rPr>
        <w:t xml:space="preserve">, por financimi i shtetit mbetet i </w:t>
      </w:r>
      <w:r w:rsidRPr="0032048B">
        <w:rPr>
          <w:sz w:val="24"/>
          <w:lang w:val="sq-AL"/>
        </w:rPr>
        <w:lastRenderedPageBreak/>
        <w:t xml:space="preserve">pamjaftueshëm, gjë që krijon pasiguri për ofrimin e vazhdueshëm të shërbimeve. Parada e 12-të </w:t>
      </w:r>
      <w:r w:rsidR="00E247EA" w:rsidRPr="0032048B">
        <w:rPr>
          <w:i/>
          <w:sz w:val="24"/>
          <w:lang w:val="sq-AL"/>
        </w:rPr>
        <w:t xml:space="preserve">Tirana </w:t>
      </w:r>
      <w:proofErr w:type="spellStart"/>
      <w:r w:rsidR="00E247EA" w:rsidRPr="0032048B">
        <w:rPr>
          <w:i/>
          <w:sz w:val="24"/>
          <w:lang w:val="sq-AL"/>
        </w:rPr>
        <w:t>P</w:t>
      </w:r>
      <w:r w:rsidRPr="0032048B">
        <w:rPr>
          <w:i/>
          <w:sz w:val="24"/>
          <w:lang w:val="sq-AL"/>
        </w:rPr>
        <w:t>ride</w:t>
      </w:r>
      <w:proofErr w:type="spellEnd"/>
      <w:r w:rsidR="00E247EA" w:rsidRPr="0032048B">
        <w:rPr>
          <w:i/>
          <w:sz w:val="24"/>
          <w:lang w:val="sq-AL"/>
        </w:rPr>
        <w:t xml:space="preserve"> </w:t>
      </w:r>
      <w:r w:rsidRPr="0032048B">
        <w:rPr>
          <w:sz w:val="24"/>
          <w:lang w:val="sq-AL"/>
        </w:rPr>
        <w:t>u zhvillua paqësisht më 20 maj 2023. Sidoqoftë, vetëdija e publikut dhe pranimi i personave LGBTIQ mbeten të ulëta, veçanërisht në zonat rurale. Gjuha e urrejtjes dhe gjuha diskriminuese në media, veçanërisht në internet, veprat penale dhe diskriminimi kund</w:t>
      </w:r>
      <w:r w:rsidR="005D3CCC" w:rsidRPr="0032048B">
        <w:rPr>
          <w:sz w:val="24"/>
          <w:lang w:val="sq-AL"/>
        </w:rPr>
        <w:t>ë</w:t>
      </w:r>
      <w:r w:rsidRPr="0032048B">
        <w:rPr>
          <w:sz w:val="24"/>
          <w:lang w:val="sq-AL"/>
        </w:rPr>
        <w:t>r anëtarëve të komunitetit trans vazhdojnë dhe duhet të trajtohen. Në vitin 2022, KMD-ja trajtoi një rast të gjuh</w:t>
      </w:r>
      <w:r w:rsidR="005D3CCC" w:rsidRPr="0032048B">
        <w:rPr>
          <w:sz w:val="24"/>
          <w:lang w:val="sq-AL"/>
        </w:rPr>
        <w:t>ë</w:t>
      </w:r>
      <w:r w:rsidRPr="0032048B">
        <w:rPr>
          <w:sz w:val="24"/>
          <w:lang w:val="sq-AL"/>
        </w:rPr>
        <w:t>s së urrejtjes kundër komunitetit LGBTIQ. Në vitin 2023, u regjistruan dy raste të reja të gjuh</w:t>
      </w:r>
      <w:r w:rsidR="005D3CCC" w:rsidRPr="0032048B">
        <w:rPr>
          <w:sz w:val="24"/>
          <w:lang w:val="sq-AL"/>
        </w:rPr>
        <w:t>ë</w:t>
      </w:r>
      <w:r w:rsidRPr="0032048B">
        <w:rPr>
          <w:sz w:val="24"/>
          <w:lang w:val="sq-AL"/>
        </w:rPr>
        <w:t>s së urrejtjes, t</w:t>
      </w:r>
      <w:r w:rsidR="005D3CCC" w:rsidRPr="0032048B">
        <w:rPr>
          <w:sz w:val="24"/>
          <w:lang w:val="sq-AL"/>
        </w:rPr>
        <w:t>ë</w:t>
      </w:r>
      <w:r w:rsidRPr="0032048B">
        <w:rPr>
          <w:sz w:val="24"/>
          <w:lang w:val="sq-AL"/>
        </w:rPr>
        <w:t xml:space="preserve"> cilat jan</w:t>
      </w:r>
      <w:r w:rsidR="005D3CCC" w:rsidRPr="0032048B">
        <w:rPr>
          <w:sz w:val="24"/>
          <w:lang w:val="sq-AL"/>
        </w:rPr>
        <w:t>ë</w:t>
      </w:r>
      <w:r w:rsidRPr="0032048B">
        <w:rPr>
          <w:sz w:val="24"/>
          <w:lang w:val="sq-AL"/>
        </w:rPr>
        <w:t xml:space="preserve"> n</w:t>
      </w:r>
      <w:r w:rsidR="005D3CCC" w:rsidRPr="0032048B">
        <w:rPr>
          <w:sz w:val="24"/>
          <w:lang w:val="sq-AL"/>
        </w:rPr>
        <w:t>ë</w:t>
      </w:r>
      <w:r w:rsidRPr="0032048B">
        <w:rPr>
          <w:sz w:val="24"/>
          <w:lang w:val="sq-AL"/>
        </w:rPr>
        <w:t xml:space="preserve"> proces shqyrtimi. Sipas të dhënave të organizatave të shoqërisë civile bazuar në një studim, rreth 40% e njerëzve në komunitetin LBGTIQ raportuan incidente diskriminuese, nga të cilat vetëm 20% u raportuan në polici. Nga numri i përgjithshëm i rasteve të referuara, vetëm 15% u zgjidhën.</w:t>
      </w:r>
    </w:p>
    <w:p w14:paraId="3501D34B" w14:textId="5CFBC6BB" w:rsidR="00380775" w:rsidRPr="0032048B" w:rsidRDefault="00380775" w:rsidP="00361D5A">
      <w:pPr>
        <w:tabs>
          <w:tab w:val="left" w:pos="1134"/>
          <w:tab w:val="left" w:pos="9360"/>
        </w:tabs>
        <w:spacing w:before="119"/>
        <w:ind w:left="993" w:right="1067"/>
        <w:jc w:val="both"/>
        <w:rPr>
          <w:sz w:val="24"/>
          <w:lang w:val="sq-AL"/>
        </w:rPr>
      </w:pPr>
      <w:r w:rsidRPr="0032048B">
        <w:rPr>
          <w:sz w:val="24"/>
          <w:lang w:val="sq-AL"/>
        </w:rPr>
        <w:t xml:space="preserve">Lidhur me </w:t>
      </w:r>
      <w:r w:rsidRPr="0032048B">
        <w:rPr>
          <w:b/>
          <w:bCs/>
          <w:sz w:val="24"/>
          <w:lang w:val="sq-AL"/>
        </w:rPr>
        <w:t>të drejtat procedurale</w:t>
      </w:r>
      <w:r w:rsidRPr="0032048B">
        <w:rPr>
          <w:sz w:val="24"/>
          <w:lang w:val="sq-AL"/>
        </w:rPr>
        <w:t>, kuadri ligjor për ndihmën ligjore falas është i plotë dhe ndihma ligjore parësore dhe dytësore ofrohen në nivelin qendror dhe vendor. Numri i njerëzve që kanë përfituar nga ndihma ligjore falas është rritur ndjeshëm që nga miratimi i ligjit n</w:t>
      </w:r>
      <w:r w:rsidR="005D3CCC" w:rsidRPr="0032048B">
        <w:rPr>
          <w:sz w:val="24"/>
          <w:lang w:val="sq-AL"/>
        </w:rPr>
        <w:t>ë</w:t>
      </w:r>
      <w:r w:rsidRPr="0032048B">
        <w:rPr>
          <w:sz w:val="24"/>
          <w:lang w:val="sq-AL"/>
        </w:rPr>
        <w:t xml:space="preserve"> vitin 2017. Me</w:t>
      </w:r>
      <w:r w:rsidR="00E247EA" w:rsidRPr="0032048B">
        <w:rPr>
          <w:sz w:val="24"/>
          <w:lang w:val="sq-AL"/>
        </w:rPr>
        <w:t xml:space="preserve"> </w:t>
      </w:r>
      <w:r w:rsidRPr="0032048B">
        <w:rPr>
          <w:sz w:val="24"/>
          <w:lang w:val="sq-AL"/>
        </w:rPr>
        <w:t>gjithë kuadrin ligjor për ndihmën ligjore falas dhe kuadrin institucional, pak fëmijë përfitojnë nga ndihma ligjore në krahasim me numrin e fëmijëve q</w:t>
      </w:r>
      <w:r w:rsidR="005D3CCC" w:rsidRPr="0032048B">
        <w:rPr>
          <w:sz w:val="24"/>
          <w:lang w:val="sq-AL"/>
        </w:rPr>
        <w:t>ë</w:t>
      </w:r>
      <w:r w:rsidRPr="0032048B">
        <w:rPr>
          <w:sz w:val="24"/>
          <w:lang w:val="sq-AL"/>
        </w:rPr>
        <w:t xml:space="preserve"> jan</w:t>
      </w:r>
      <w:r w:rsidR="005D3CCC" w:rsidRPr="0032048B">
        <w:rPr>
          <w:sz w:val="24"/>
          <w:lang w:val="sq-AL"/>
        </w:rPr>
        <w:t>ë</w:t>
      </w:r>
      <w:r w:rsidRPr="0032048B">
        <w:rPr>
          <w:sz w:val="24"/>
          <w:lang w:val="sq-AL"/>
        </w:rPr>
        <w:t xml:space="preserve"> objekt i ligjit penal, familjes dhe ligjit civil e atij administrativ. Buxheti i </w:t>
      </w:r>
      <w:proofErr w:type="spellStart"/>
      <w:r w:rsidRPr="0032048B">
        <w:rPr>
          <w:sz w:val="24"/>
          <w:lang w:val="sq-AL"/>
        </w:rPr>
        <w:t>alokuar</w:t>
      </w:r>
      <w:proofErr w:type="spellEnd"/>
      <w:r w:rsidRPr="0032048B">
        <w:rPr>
          <w:sz w:val="24"/>
          <w:lang w:val="sq-AL"/>
        </w:rPr>
        <w:t xml:space="preserve"> për ndihmën ligjore në vitin 2022 arriti në rreth 800 000 EUR, dukshëm më i lartë se në vitin 2021. Buxheti i shpenzuar në vitin 2022 vlerësohet në 400 000 EUR (nga 245 739 EUR në 2021). Sidoqoftë, buxheti i dedikuar i shtetit duhet të rritet më tej për t’i bërë klinikat ligjore plotësisht funksionale. Personeli i Drejtorisë së Ndihmës Ligjore falas është i plotë, dhe dhjetë qendra janë në funksion në të gjithë vendin. Mbetet e rëndësishme t</w:t>
      </w:r>
      <w:r w:rsidR="005D3CCC" w:rsidRPr="0032048B">
        <w:rPr>
          <w:sz w:val="24"/>
          <w:lang w:val="sq-AL"/>
        </w:rPr>
        <w:t>ë</w:t>
      </w:r>
      <w:r w:rsidRPr="0032048B">
        <w:rPr>
          <w:sz w:val="24"/>
          <w:lang w:val="sq-AL"/>
        </w:rPr>
        <w:t xml:space="preserve"> përmirësohet mbledhja, analiza dhe raportimi i të dhënave statistikore për ndihmën ligjore falas. Në të drejtat e tjera procedurale u bë progres i kufizuar. Nuk ka asnjë progres në trajtimin e çështjeve të mbetura në lidhje me të drejtat procedurale të </w:t>
      </w:r>
      <w:proofErr w:type="spellStart"/>
      <w:r w:rsidRPr="0032048B">
        <w:rPr>
          <w:sz w:val="24"/>
          <w:lang w:val="sq-AL"/>
        </w:rPr>
        <w:t>të</w:t>
      </w:r>
      <w:proofErr w:type="spellEnd"/>
      <w:r w:rsidRPr="0032048B">
        <w:rPr>
          <w:sz w:val="24"/>
          <w:lang w:val="sq-AL"/>
        </w:rPr>
        <w:t xml:space="preserve"> dyshuarve dhe personave të akuzuar. Në lidhje me të drejtën e informimit p</w:t>
      </w:r>
      <w:r w:rsidR="005D3CCC" w:rsidRPr="0032048B">
        <w:rPr>
          <w:sz w:val="24"/>
          <w:lang w:val="sq-AL"/>
        </w:rPr>
        <w:t>ë</w:t>
      </w:r>
      <w:r w:rsidRPr="0032048B">
        <w:rPr>
          <w:sz w:val="24"/>
          <w:lang w:val="sq-AL"/>
        </w:rPr>
        <w:t>r procedurat penale, refuzimi ose mohimi i qasjes në dosjen e çështjes duhet t</w:t>
      </w:r>
      <w:r w:rsidR="005D3CCC" w:rsidRPr="0032048B">
        <w:rPr>
          <w:sz w:val="24"/>
          <w:lang w:val="sq-AL"/>
        </w:rPr>
        <w:t>ë</w:t>
      </w:r>
      <w:r w:rsidRPr="0032048B">
        <w:rPr>
          <w:sz w:val="24"/>
          <w:lang w:val="sq-AL"/>
        </w:rPr>
        <w:t xml:space="preserve"> jet</w:t>
      </w:r>
      <w:r w:rsidR="005D3CCC" w:rsidRPr="0032048B">
        <w:rPr>
          <w:sz w:val="24"/>
          <w:lang w:val="sq-AL"/>
        </w:rPr>
        <w:t>ë</w:t>
      </w:r>
      <w:r w:rsidR="00E247EA" w:rsidRPr="0032048B">
        <w:rPr>
          <w:sz w:val="24"/>
          <w:lang w:val="sq-AL"/>
        </w:rPr>
        <w:t xml:space="preserve"> objekt i sh</w:t>
      </w:r>
      <w:r w:rsidRPr="0032048B">
        <w:rPr>
          <w:sz w:val="24"/>
          <w:lang w:val="sq-AL"/>
        </w:rPr>
        <w:t>q</w:t>
      </w:r>
      <w:r w:rsidR="00E247EA" w:rsidRPr="0032048B">
        <w:rPr>
          <w:sz w:val="24"/>
          <w:lang w:val="sq-AL"/>
        </w:rPr>
        <w:t>yr</w:t>
      </w:r>
      <w:r w:rsidRPr="0032048B">
        <w:rPr>
          <w:sz w:val="24"/>
          <w:lang w:val="sq-AL"/>
        </w:rPr>
        <w:t>timi</w:t>
      </w:r>
      <w:r w:rsidR="00E247EA" w:rsidRPr="0032048B">
        <w:rPr>
          <w:sz w:val="24"/>
          <w:lang w:val="sq-AL"/>
        </w:rPr>
        <w:t>t</w:t>
      </w:r>
      <w:r w:rsidRPr="0032048B">
        <w:rPr>
          <w:sz w:val="24"/>
          <w:lang w:val="sq-AL"/>
        </w:rPr>
        <w:t xml:space="preserve"> gjyq</w:t>
      </w:r>
      <w:r w:rsidR="005D3CCC" w:rsidRPr="0032048B">
        <w:rPr>
          <w:sz w:val="24"/>
          <w:lang w:val="sq-AL"/>
        </w:rPr>
        <w:t>ë</w:t>
      </w:r>
      <w:r w:rsidRPr="0032048B">
        <w:rPr>
          <w:sz w:val="24"/>
          <w:lang w:val="sq-AL"/>
        </w:rPr>
        <w:t>sor, dhe vendim-marrjes efektive. Sa i takon avokatit, gjykatat, prokuro</w:t>
      </w:r>
      <w:r w:rsidR="0021434A" w:rsidRPr="0032048B">
        <w:rPr>
          <w:sz w:val="24"/>
          <w:lang w:val="sq-AL"/>
        </w:rPr>
        <w:t>ri</w:t>
      </w:r>
      <w:r w:rsidRPr="0032048B">
        <w:rPr>
          <w:sz w:val="24"/>
          <w:lang w:val="sq-AL"/>
        </w:rPr>
        <w:t>t</w:t>
      </w:r>
      <w:r w:rsidR="005D3CCC" w:rsidRPr="0032048B">
        <w:rPr>
          <w:sz w:val="24"/>
          <w:lang w:val="sq-AL"/>
        </w:rPr>
        <w:t>ë</w:t>
      </w:r>
      <w:r w:rsidRPr="0032048B">
        <w:rPr>
          <w:sz w:val="24"/>
          <w:lang w:val="sq-AL"/>
        </w:rPr>
        <w:t xml:space="preserve"> dhe policia duhet t</w:t>
      </w:r>
      <w:r w:rsidR="005D3CCC" w:rsidRPr="0032048B">
        <w:rPr>
          <w:sz w:val="24"/>
          <w:lang w:val="sq-AL"/>
        </w:rPr>
        <w:t>ë</w:t>
      </w:r>
      <w:r w:rsidRPr="0032048B">
        <w:rPr>
          <w:sz w:val="24"/>
          <w:lang w:val="sq-AL"/>
        </w:rPr>
        <w:t xml:space="preserve"> sigurojn</w:t>
      </w:r>
      <w:r w:rsidR="005D3CCC" w:rsidRPr="0032048B">
        <w:rPr>
          <w:sz w:val="24"/>
          <w:lang w:val="sq-AL"/>
        </w:rPr>
        <w:t>ë</w:t>
      </w:r>
      <w:r w:rsidRPr="0032048B">
        <w:rPr>
          <w:sz w:val="24"/>
          <w:lang w:val="sq-AL"/>
        </w:rPr>
        <w:t xml:space="preserve"> mjedise të përshtatshme për konsultime </w:t>
      </w:r>
      <w:proofErr w:type="spellStart"/>
      <w:r w:rsidRPr="0032048B">
        <w:rPr>
          <w:sz w:val="24"/>
          <w:lang w:val="sq-AL"/>
        </w:rPr>
        <w:t>konfidenciale</w:t>
      </w:r>
      <w:proofErr w:type="spellEnd"/>
      <w:r w:rsidRPr="0032048B">
        <w:rPr>
          <w:sz w:val="24"/>
          <w:lang w:val="sq-AL"/>
        </w:rPr>
        <w:t xml:space="preserve"> midis klientit dhe avokatit. N</w:t>
      </w:r>
      <w:r w:rsidR="005D3CCC" w:rsidRPr="0032048B">
        <w:rPr>
          <w:sz w:val="24"/>
          <w:lang w:val="sq-AL"/>
        </w:rPr>
        <w:t>ë</w:t>
      </w:r>
      <w:r w:rsidRPr="0032048B">
        <w:rPr>
          <w:sz w:val="24"/>
          <w:lang w:val="sq-AL"/>
        </w:rPr>
        <w:t xml:space="preserve"> lidhje me </w:t>
      </w:r>
      <w:proofErr w:type="spellStart"/>
      <w:r w:rsidRPr="0032048B">
        <w:rPr>
          <w:sz w:val="24"/>
          <w:lang w:val="sq-AL"/>
        </w:rPr>
        <w:t>prezumimin</w:t>
      </w:r>
      <w:proofErr w:type="spellEnd"/>
      <w:r w:rsidRPr="0032048B">
        <w:rPr>
          <w:sz w:val="24"/>
          <w:lang w:val="sq-AL"/>
        </w:rPr>
        <w:t xml:space="preserve"> e pafajësisë, duhet të ketë një ndalim të qartë ligjor dhe masa efektive kundër autoriteteve publike që bëjnë referenca publike p</w:t>
      </w:r>
      <w:r w:rsidR="005D3CCC" w:rsidRPr="0032048B">
        <w:rPr>
          <w:sz w:val="24"/>
          <w:lang w:val="sq-AL"/>
        </w:rPr>
        <w:t>ë</w:t>
      </w:r>
      <w:r w:rsidRPr="0032048B">
        <w:rPr>
          <w:sz w:val="24"/>
          <w:lang w:val="sq-AL"/>
        </w:rPr>
        <w:t>r faj</w:t>
      </w:r>
      <w:r w:rsidR="005D3CCC" w:rsidRPr="0032048B">
        <w:rPr>
          <w:sz w:val="24"/>
          <w:lang w:val="sq-AL"/>
        </w:rPr>
        <w:t>ë</w:t>
      </w:r>
      <w:r w:rsidRPr="0032048B">
        <w:rPr>
          <w:sz w:val="24"/>
          <w:lang w:val="sq-AL"/>
        </w:rPr>
        <w:t>sin</w:t>
      </w:r>
      <w:r w:rsidR="005D3CCC" w:rsidRPr="0032048B">
        <w:rPr>
          <w:sz w:val="24"/>
          <w:lang w:val="sq-AL"/>
        </w:rPr>
        <w:t>ë</w:t>
      </w:r>
      <w:r w:rsidRPr="0032048B">
        <w:rPr>
          <w:sz w:val="24"/>
          <w:lang w:val="sq-AL"/>
        </w:rPr>
        <w:t xml:space="preserve"> n</w:t>
      </w:r>
      <w:r w:rsidR="005D3CCC" w:rsidRPr="0032048B">
        <w:rPr>
          <w:sz w:val="24"/>
          <w:lang w:val="sq-AL"/>
        </w:rPr>
        <w:t>ë</w:t>
      </w:r>
      <w:r w:rsidRPr="0032048B">
        <w:rPr>
          <w:sz w:val="24"/>
          <w:lang w:val="sq-AL"/>
        </w:rPr>
        <w:t xml:space="preserve"> deklarata dhe vendime gjyqësore, përveç vendimeve t</w:t>
      </w:r>
      <w:r w:rsidR="005D3CCC" w:rsidRPr="0032048B">
        <w:rPr>
          <w:sz w:val="24"/>
          <w:lang w:val="sq-AL"/>
        </w:rPr>
        <w:t>ë</w:t>
      </w:r>
      <w:r w:rsidRPr="0032048B">
        <w:rPr>
          <w:sz w:val="24"/>
          <w:lang w:val="sq-AL"/>
        </w:rPr>
        <w:t xml:space="preserve"> faj</w:t>
      </w:r>
      <w:r w:rsidR="005D3CCC" w:rsidRPr="0032048B">
        <w:rPr>
          <w:sz w:val="24"/>
          <w:lang w:val="sq-AL"/>
        </w:rPr>
        <w:t>ë</w:t>
      </w:r>
      <w:r w:rsidRPr="0032048B">
        <w:rPr>
          <w:sz w:val="24"/>
          <w:lang w:val="sq-AL"/>
        </w:rPr>
        <w:t>sis</w:t>
      </w:r>
      <w:r w:rsidR="005D3CCC" w:rsidRPr="0032048B">
        <w:rPr>
          <w:sz w:val="24"/>
          <w:lang w:val="sq-AL"/>
        </w:rPr>
        <w:t>ë</w:t>
      </w:r>
      <w:r w:rsidRPr="0032048B">
        <w:rPr>
          <w:sz w:val="24"/>
          <w:lang w:val="sq-AL"/>
        </w:rPr>
        <w:t>. Për më tepër, duhet t</w:t>
      </w:r>
      <w:r w:rsidR="005D3CCC" w:rsidRPr="0032048B">
        <w:rPr>
          <w:sz w:val="24"/>
          <w:lang w:val="sq-AL"/>
        </w:rPr>
        <w:t>ë</w:t>
      </w:r>
      <w:r w:rsidRPr="0032048B">
        <w:rPr>
          <w:sz w:val="24"/>
          <w:lang w:val="sq-AL"/>
        </w:rPr>
        <w:t xml:space="preserve"> garantohen masa nd</w:t>
      </w:r>
      <w:r w:rsidR="005D3CCC" w:rsidRPr="0032048B">
        <w:rPr>
          <w:sz w:val="24"/>
          <w:lang w:val="sq-AL"/>
        </w:rPr>
        <w:t>ë</w:t>
      </w:r>
      <w:r w:rsidRPr="0032048B">
        <w:rPr>
          <w:sz w:val="24"/>
          <w:lang w:val="sq-AL"/>
        </w:rPr>
        <w:t>shkuese edhe për rastet e shkeljes së ndalimit.</w:t>
      </w:r>
    </w:p>
    <w:p w14:paraId="2213A19D" w14:textId="45AE3591" w:rsidR="00380775" w:rsidRPr="0032048B" w:rsidRDefault="00380775" w:rsidP="00361D5A">
      <w:pPr>
        <w:tabs>
          <w:tab w:val="left" w:pos="1134"/>
          <w:tab w:val="left" w:pos="9360"/>
        </w:tabs>
        <w:spacing w:before="119"/>
        <w:ind w:left="993" w:right="1067"/>
        <w:jc w:val="both"/>
        <w:rPr>
          <w:sz w:val="24"/>
          <w:szCs w:val="24"/>
          <w:lang w:val="sq-AL"/>
        </w:rPr>
      </w:pPr>
      <w:r w:rsidRPr="0032048B">
        <w:rPr>
          <w:sz w:val="24"/>
          <w:lang w:val="sq-AL"/>
        </w:rPr>
        <w:t xml:space="preserve">Asnjë progres nuk u bë gjatë periudhës së raportimit për miratimin e tre </w:t>
      </w:r>
      <w:r w:rsidR="0021434A" w:rsidRPr="0032048B">
        <w:rPr>
          <w:sz w:val="24"/>
          <w:lang w:val="sq-AL"/>
        </w:rPr>
        <w:t>akteve t</w:t>
      </w:r>
      <w:r w:rsidR="004D4436" w:rsidRPr="0032048B">
        <w:rPr>
          <w:sz w:val="24"/>
          <w:lang w:val="sq-AL"/>
        </w:rPr>
        <w:t>ë</w:t>
      </w:r>
      <w:r w:rsidRPr="0032048B">
        <w:rPr>
          <w:sz w:val="24"/>
          <w:lang w:val="sq-AL"/>
        </w:rPr>
        <w:t xml:space="preserve"> mbetura </w:t>
      </w:r>
      <w:r w:rsidR="0021434A" w:rsidRPr="0032048B">
        <w:rPr>
          <w:sz w:val="24"/>
          <w:lang w:val="sq-AL"/>
        </w:rPr>
        <w:t>n</w:t>
      </w:r>
      <w:r w:rsidR="004D4436" w:rsidRPr="0032048B">
        <w:rPr>
          <w:sz w:val="24"/>
          <w:lang w:val="sq-AL"/>
        </w:rPr>
        <w:t>ë</w:t>
      </w:r>
      <w:r w:rsidR="0021434A" w:rsidRPr="0032048B">
        <w:rPr>
          <w:sz w:val="24"/>
          <w:lang w:val="sq-AL"/>
        </w:rPr>
        <w:t>nligjore</w:t>
      </w:r>
      <w:r w:rsidR="00121E3A" w:rsidRPr="0032048B">
        <w:rPr>
          <w:sz w:val="24"/>
          <w:lang w:val="sq-AL"/>
        </w:rPr>
        <w:t xml:space="preserve"> p</w:t>
      </w:r>
      <w:r w:rsidR="004D4436" w:rsidRPr="0032048B">
        <w:rPr>
          <w:sz w:val="24"/>
          <w:lang w:val="sq-AL"/>
        </w:rPr>
        <w:t>ë</w:t>
      </w:r>
      <w:r w:rsidR="00121E3A" w:rsidRPr="0032048B">
        <w:rPr>
          <w:sz w:val="24"/>
          <w:lang w:val="sq-AL"/>
        </w:rPr>
        <w:t xml:space="preserve">r </w:t>
      </w:r>
      <w:r w:rsidRPr="0032048B">
        <w:rPr>
          <w:sz w:val="24"/>
          <w:lang w:val="sq-AL"/>
        </w:rPr>
        <w:t>ligjin k</w:t>
      </w:r>
      <w:r w:rsidR="00121E3A" w:rsidRPr="0032048B">
        <w:rPr>
          <w:sz w:val="24"/>
          <w:lang w:val="sq-AL"/>
        </w:rPr>
        <w:t>uad</w:t>
      </w:r>
      <w:r w:rsidR="004D4436" w:rsidRPr="0032048B">
        <w:rPr>
          <w:sz w:val="24"/>
          <w:lang w:val="sq-AL"/>
        </w:rPr>
        <w:t>ë</w:t>
      </w:r>
      <w:r w:rsidR="00121E3A" w:rsidRPr="0032048B">
        <w:rPr>
          <w:sz w:val="24"/>
          <w:lang w:val="sq-AL"/>
        </w:rPr>
        <w:t>r t</w:t>
      </w:r>
      <w:r w:rsidR="004D4436" w:rsidRPr="0032048B">
        <w:rPr>
          <w:sz w:val="24"/>
          <w:lang w:val="sq-AL"/>
        </w:rPr>
        <w:t>ë</w:t>
      </w:r>
      <w:r w:rsidR="00121E3A" w:rsidRPr="0032048B">
        <w:rPr>
          <w:sz w:val="24"/>
          <w:lang w:val="sq-AL"/>
        </w:rPr>
        <w:t xml:space="preserve"> </w:t>
      </w:r>
      <w:r w:rsidRPr="0032048B">
        <w:rPr>
          <w:sz w:val="24"/>
          <w:lang w:val="sq-AL"/>
        </w:rPr>
        <w:t xml:space="preserve">vitit 2017 për </w:t>
      </w:r>
      <w:r w:rsidR="00121E3A" w:rsidRPr="0032048B">
        <w:rPr>
          <w:sz w:val="24"/>
          <w:lang w:val="sq-AL"/>
        </w:rPr>
        <w:t>M</w:t>
      </w:r>
      <w:r w:rsidRPr="0032048B">
        <w:rPr>
          <w:sz w:val="24"/>
          <w:lang w:val="sq-AL"/>
        </w:rPr>
        <w:t xml:space="preserve">brojtjen e </w:t>
      </w:r>
      <w:r w:rsidR="00121E3A" w:rsidRPr="0032048B">
        <w:rPr>
          <w:b/>
          <w:sz w:val="24"/>
          <w:lang w:val="sq-AL"/>
        </w:rPr>
        <w:t>P</w:t>
      </w:r>
      <w:r w:rsidRPr="0032048B">
        <w:rPr>
          <w:b/>
          <w:sz w:val="24"/>
          <w:lang w:val="sq-AL"/>
        </w:rPr>
        <w:t>akicave</w:t>
      </w:r>
      <w:r w:rsidRPr="0032048B">
        <w:rPr>
          <w:sz w:val="24"/>
          <w:lang w:val="sq-AL"/>
        </w:rPr>
        <w:t xml:space="preserve"> </w:t>
      </w:r>
      <w:r w:rsidR="00121E3A" w:rsidRPr="0032048B">
        <w:rPr>
          <w:sz w:val="24"/>
          <w:lang w:val="sq-AL"/>
        </w:rPr>
        <w:t>K</w:t>
      </w:r>
      <w:r w:rsidRPr="0032048B">
        <w:rPr>
          <w:sz w:val="24"/>
          <w:lang w:val="sq-AL"/>
        </w:rPr>
        <w:t xml:space="preserve">ombëtare. </w:t>
      </w:r>
      <w:r w:rsidR="00121E3A" w:rsidRPr="0032048B">
        <w:rPr>
          <w:sz w:val="24"/>
          <w:lang w:val="sq-AL"/>
        </w:rPr>
        <w:t>Aktet n</w:t>
      </w:r>
      <w:r w:rsidR="004D4436" w:rsidRPr="0032048B">
        <w:rPr>
          <w:sz w:val="24"/>
          <w:lang w:val="sq-AL"/>
        </w:rPr>
        <w:t>ë</w:t>
      </w:r>
      <w:r w:rsidR="00121E3A" w:rsidRPr="0032048B">
        <w:rPr>
          <w:sz w:val="24"/>
          <w:lang w:val="sq-AL"/>
        </w:rPr>
        <w:t>nligjore</w:t>
      </w:r>
      <w:r w:rsidRPr="0032048B">
        <w:rPr>
          <w:sz w:val="24"/>
          <w:lang w:val="sq-AL"/>
        </w:rPr>
        <w:t xml:space="preserve"> për çështjet thelbësore të vetë-identifikimit të lirë të pakicave kombëtare dhe përdorimi i gjuhëve duhet të miratohe</w:t>
      </w:r>
      <w:r w:rsidR="00121E3A" w:rsidRPr="0032048B">
        <w:rPr>
          <w:sz w:val="24"/>
          <w:lang w:val="sq-AL"/>
        </w:rPr>
        <w:t>n</w:t>
      </w:r>
      <w:r w:rsidRPr="0032048B">
        <w:rPr>
          <w:sz w:val="24"/>
          <w:lang w:val="sq-AL"/>
        </w:rPr>
        <w:t xml:space="preserve"> në përputhje me stand</w:t>
      </w:r>
      <w:r w:rsidR="00DA0377" w:rsidRPr="0032048B">
        <w:rPr>
          <w:sz w:val="24"/>
          <w:lang w:val="sq-AL"/>
        </w:rPr>
        <w:t>ardet evropiane dhe duhet të jenë t</w:t>
      </w:r>
      <w:r w:rsidR="00EE18DF" w:rsidRPr="0032048B">
        <w:rPr>
          <w:sz w:val="24"/>
          <w:lang w:val="sq-AL"/>
        </w:rPr>
        <w:t>ë</w:t>
      </w:r>
      <w:r w:rsidRPr="0032048B">
        <w:rPr>
          <w:sz w:val="24"/>
          <w:lang w:val="sq-AL"/>
        </w:rPr>
        <w:t xml:space="preserve"> hapur</w:t>
      </w:r>
      <w:r w:rsidR="00DA0377" w:rsidRPr="0032048B">
        <w:rPr>
          <w:sz w:val="24"/>
          <w:lang w:val="sq-AL"/>
        </w:rPr>
        <w:t>a</w:t>
      </w:r>
      <w:r w:rsidRPr="0032048B">
        <w:rPr>
          <w:sz w:val="24"/>
          <w:lang w:val="sq-AL"/>
        </w:rPr>
        <w:t xml:space="preserve"> për konsultime të gjera publike. Në përgjithësi, Shqipëria duhet të sigurojë zbatimin efektiv të kuadrit ligjor mbi të drejtat e personave që </w:t>
      </w:r>
      <w:r w:rsidR="00121E3A" w:rsidRPr="0032048B">
        <w:rPr>
          <w:sz w:val="24"/>
          <w:lang w:val="sq-AL"/>
        </w:rPr>
        <w:t>u</w:t>
      </w:r>
      <w:r w:rsidRPr="0032048B">
        <w:rPr>
          <w:sz w:val="24"/>
          <w:lang w:val="sq-AL"/>
        </w:rPr>
        <w:t xml:space="preserve"> përkasin pakicave. Kapacitetet e Komitetit Shtetëror për Pakicat Kombëtare duhet të forcohen. Regjistrimi Kombëtar i Popullsisë dhe </w:t>
      </w:r>
      <w:r w:rsidR="00121E3A" w:rsidRPr="0032048B">
        <w:rPr>
          <w:sz w:val="24"/>
          <w:lang w:val="sq-AL"/>
        </w:rPr>
        <w:t>Banesave</w:t>
      </w:r>
      <w:r w:rsidRPr="0032048B">
        <w:rPr>
          <w:sz w:val="24"/>
          <w:lang w:val="sq-AL"/>
        </w:rPr>
        <w:t xml:space="preserve"> filloi më 18 shtator 2023. </w:t>
      </w:r>
      <w:r w:rsidR="004D4436" w:rsidRPr="0032048B">
        <w:rPr>
          <w:sz w:val="24"/>
          <w:lang w:val="sq-AL"/>
        </w:rPr>
        <w:t>Ë</w:t>
      </w:r>
      <w:r w:rsidR="00121E3A" w:rsidRPr="0032048B">
        <w:rPr>
          <w:sz w:val="24"/>
          <w:lang w:val="sq-AL"/>
        </w:rPr>
        <w:t>sht</w:t>
      </w:r>
      <w:r w:rsidRPr="0032048B">
        <w:rPr>
          <w:sz w:val="24"/>
          <w:lang w:val="sq-AL"/>
        </w:rPr>
        <w:t>ë e rëndësishme që Shqipëria të kryejë regjistrimin kombëtar në mënyrë të qetë dhe transparente</w:t>
      </w:r>
      <w:r w:rsidR="00121E3A" w:rsidRPr="0032048B">
        <w:rPr>
          <w:sz w:val="24"/>
          <w:lang w:val="sq-AL"/>
        </w:rPr>
        <w:t>,</w:t>
      </w:r>
      <w:r w:rsidRPr="0032048B">
        <w:rPr>
          <w:sz w:val="24"/>
          <w:lang w:val="sq-AL"/>
        </w:rPr>
        <w:t xml:space="preserve"> në përputhje me standardet ndërkombëtare</w:t>
      </w:r>
      <w:r w:rsidRPr="0032048B">
        <w:rPr>
          <w:sz w:val="24"/>
          <w:szCs w:val="24"/>
          <w:lang w:val="sq-AL"/>
        </w:rPr>
        <w:t>.</w:t>
      </w:r>
    </w:p>
    <w:p w14:paraId="662BD4CE" w14:textId="4203CF32" w:rsidR="00380775" w:rsidRPr="0032048B" w:rsidRDefault="00121E3A" w:rsidP="00361D5A">
      <w:pPr>
        <w:tabs>
          <w:tab w:val="left" w:pos="1134"/>
          <w:tab w:val="left" w:pos="9360"/>
        </w:tabs>
        <w:spacing w:before="120"/>
        <w:ind w:left="993" w:right="1067"/>
        <w:jc w:val="both"/>
        <w:rPr>
          <w:sz w:val="24"/>
          <w:szCs w:val="24"/>
          <w:lang w:val="sq-AL"/>
        </w:rPr>
      </w:pPr>
      <w:bookmarkStart w:id="25" w:name="2.2.2._Chapter_24:_Justice,_freedom_and_"/>
      <w:bookmarkStart w:id="26" w:name="_bookmark11"/>
      <w:bookmarkEnd w:id="25"/>
      <w:bookmarkEnd w:id="26"/>
      <w:r w:rsidRPr="0032048B">
        <w:rPr>
          <w:sz w:val="24"/>
          <w:szCs w:val="24"/>
          <w:lang w:val="sq-AL"/>
        </w:rPr>
        <w:t>P</w:t>
      </w:r>
      <w:r w:rsidR="004D4436" w:rsidRPr="0032048B">
        <w:rPr>
          <w:sz w:val="24"/>
          <w:szCs w:val="24"/>
          <w:lang w:val="sq-AL"/>
        </w:rPr>
        <w:t>ë</w:t>
      </w:r>
      <w:r w:rsidRPr="0032048B">
        <w:rPr>
          <w:sz w:val="24"/>
          <w:szCs w:val="24"/>
          <w:lang w:val="sq-AL"/>
        </w:rPr>
        <w:t>r p</w:t>
      </w:r>
      <w:r w:rsidR="00DA0377" w:rsidRPr="0032048B">
        <w:rPr>
          <w:sz w:val="24"/>
          <w:szCs w:val="24"/>
          <w:lang w:val="sq-AL"/>
        </w:rPr>
        <w:t xml:space="preserve">ërfshirjen sociale të pakicave </w:t>
      </w:r>
      <w:r w:rsidR="00DA0377" w:rsidRPr="0032048B">
        <w:rPr>
          <w:b/>
          <w:sz w:val="24"/>
          <w:szCs w:val="24"/>
          <w:lang w:val="sq-AL"/>
        </w:rPr>
        <w:t>rome</w:t>
      </w:r>
      <w:r w:rsidRPr="0032048B">
        <w:rPr>
          <w:b/>
          <w:sz w:val="24"/>
          <w:szCs w:val="24"/>
          <w:lang w:val="sq-AL"/>
        </w:rPr>
        <w:t xml:space="preserve"> dhe </w:t>
      </w:r>
      <w:r w:rsidR="00DA0377" w:rsidRPr="0032048B">
        <w:rPr>
          <w:b/>
          <w:sz w:val="24"/>
          <w:szCs w:val="24"/>
          <w:lang w:val="sq-AL"/>
        </w:rPr>
        <w:t>e</w:t>
      </w:r>
      <w:r w:rsidRPr="0032048B">
        <w:rPr>
          <w:b/>
          <w:sz w:val="24"/>
          <w:szCs w:val="24"/>
          <w:lang w:val="sq-AL"/>
        </w:rPr>
        <w:t>gjiptiane</w:t>
      </w:r>
      <w:r w:rsidRPr="0032048B">
        <w:rPr>
          <w:sz w:val="24"/>
          <w:szCs w:val="24"/>
          <w:lang w:val="sq-AL"/>
        </w:rPr>
        <w:t xml:space="preserve"> </w:t>
      </w:r>
      <w:r w:rsidR="004D4436" w:rsidRPr="0032048B">
        <w:rPr>
          <w:sz w:val="24"/>
          <w:szCs w:val="24"/>
          <w:lang w:val="sq-AL"/>
        </w:rPr>
        <w:t>ë</w:t>
      </w:r>
      <w:r w:rsidRPr="0032048B">
        <w:rPr>
          <w:sz w:val="24"/>
          <w:szCs w:val="24"/>
          <w:lang w:val="sq-AL"/>
        </w:rPr>
        <w:t>sht</w:t>
      </w:r>
      <w:r w:rsidR="004D4436" w:rsidRPr="0032048B">
        <w:rPr>
          <w:sz w:val="24"/>
          <w:szCs w:val="24"/>
          <w:lang w:val="sq-AL"/>
        </w:rPr>
        <w:t>ë</w:t>
      </w:r>
      <w:r w:rsidRPr="0032048B">
        <w:rPr>
          <w:sz w:val="24"/>
          <w:szCs w:val="24"/>
          <w:lang w:val="sq-AL"/>
        </w:rPr>
        <w:t xml:space="preserve"> b</w:t>
      </w:r>
      <w:r w:rsidR="004D4436" w:rsidRPr="0032048B">
        <w:rPr>
          <w:sz w:val="24"/>
          <w:szCs w:val="24"/>
          <w:lang w:val="sq-AL"/>
        </w:rPr>
        <w:t>ë</w:t>
      </w:r>
      <w:r w:rsidRPr="0032048B">
        <w:rPr>
          <w:sz w:val="24"/>
          <w:szCs w:val="24"/>
          <w:lang w:val="sq-AL"/>
        </w:rPr>
        <w:t>r</w:t>
      </w:r>
      <w:r w:rsidR="004D4436" w:rsidRPr="0032048B">
        <w:rPr>
          <w:sz w:val="24"/>
          <w:szCs w:val="24"/>
          <w:lang w:val="sq-AL"/>
        </w:rPr>
        <w:t>ë</w:t>
      </w:r>
      <w:r w:rsidRPr="0032048B">
        <w:rPr>
          <w:sz w:val="24"/>
          <w:szCs w:val="24"/>
          <w:lang w:val="sq-AL"/>
        </w:rPr>
        <w:t xml:space="preserve"> progres </w:t>
      </w:r>
      <w:r w:rsidR="00380775" w:rsidRPr="0032048B">
        <w:rPr>
          <w:sz w:val="24"/>
          <w:szCs w:val="24"/>
          <w:lang w:val="sq-AL"/>
        </w:rPr>
        <w:t xml:space="preserve">i kufizuar. Monitorimi i të dhënave dhe raportimi mbi zbatimin e Planit Kombëtar të Veprimit për </w:t>
      </w:r>
      <w:r w:rsidR="001F3405" w:rsidRPr="0032048B">
        <w:rPr>
          <w:sz w:val="24"/>
          <w:szCs w:val="24"/>
          <w:lang w:val="sq-AL"/>
        </w:rPr>
        <w:t>B</w:t>
      </w:r>
      <w:r w:rsidR="00380775" w:rsidRPr="0032048B">
        <w:rPr>
          <w:sz w:val="24"/>
          <w:szCs w:val="24"/>
          <w:lang w:val="sq-AL"/>
        </w:rPr>
        <w:t xml:space="preserve">arazi, </w:t>
      </w:r>
      <w:r w:rsidR="001F3405" w:rsidRPr="0032048B">
        <w:rPr>
          <w:sz w:val="24"/>
          <w:szCs w:val="24"/>
          <w:lang w:val="sq-AL"/>
        </w:rPr>
        <w:t>P</w:t>
      </w:r>
      <w:r w:rsidR="00380775" w:rsidRPr="0032048B">
        <w:rPr>
          <w:sz w:val="24"/>
          <w:szCs w:val="24"/>
          <w:lang w:val="sq-AL"/>
        </w:rPr>
        <w:t xml:space="preserve">ërfshirje dhe </w:t>
      </w:r>
      <w:r w:rsidR="001F3405" w:rsidRPr="0032048B">
        <w:rPr>
          <w:sz w:val="24"/>
          <w:szCs w:val="24"/>
          <w:lang w:val="sq-AL"/>
        </w:rPr>
        <w:t>P</w:t>
      </w:r>
      <w:r w:rsidR="00380775" w:rsidRPr="0032048B">
        <w:rPr>
          <w:sz w:val="24"/>
          <w:szCs w:val="24"/>
          <w:lang w:val="sq-AL"/>
        </w:rPr>
        <w:t xml:space="preserve">jesëmarrje të Romëve dhe Egjiptianëve në Shqipëri (2021-2025) nuk janë </w:t>
      </w:r>
      <w:r w:rsidR="001F3405" w:rsidRPr="0032048B">
        <w:rPr>
          <w:sz w:val="24"/>
          <w:szCs w:val="24"/>
          <w:lang w:val="sq-AL"/>
        </w:rPr>
        <w:t>realizuar ende</w:t>
      </w:r>
      <w:r w:rsidR="00380775" w:rsidRPr="0032048B">
        <w:rPr>
          <w:sz w:val="24"/>
          <w:szCs w:val="24"/>
          <w:lang w:val="sq-AL"/>
        </w:rPr>
        <w:t xml:space="preserve">. Kapaciteti institucional i Ministrisë </w:t>
      </w:r>
      <w:r w:rsidR="001F3405" w:rsidRPr="0032048B">
        <w:rPr>
          <w:sz w:val="24"/>
          <w:szCs w:val="24"/>
          <w:lang w:val="sq-AL"/>
        </w:rPr>
        <w:t>s</w:t>
      </w:r>
      <w:r w:rsidR="004D4436" w:rsidRPr="0032048B">
        <w:rPr>
          <w:sz w:val="24"/>
          <w:szCs w:val="24"/>
          <w:lang w:val="sq-AL"/>
        </w:rPr>
        <w:t>ë</w:t>
      </w:r>
      <w:r w:rsidR="00380775" w:rsidRPr="0032048B">
        <w:rPr>
          <w:sz w:val="24"/>
          <w:szCs w:val="24"/>
          <w:lang w:val="sq-AL"/>
        </w:rPr>
        <w:t xml:space="preserve"> Shëndet</w:t>
      </w:r>
      <w:r w:rsidR="004D4436" w:rsidRPr="0032048B">
        <w:rPr>
          <w:sz w:val="24"/>
          <w:szCs w:val="24"/>
          <w:lang w:val="sq-AL"/>
        </w:rPr>
        <w:t>ë</w:t>
      </w:r>
      <w:r w:rsidR="001F3405" w:rsidRPr="0032048B">
        <w:rPr>
          <w:sz w:val="24"/>
          <w:szCs w:val="24"/>
          <w:lang w:val="sq-AL"/>
        </w:rPr>
        <w:t>sis</w:t>
      </w:r>
      <w:r w:rsidR="004D4436" w:rsidRPr="0032048B">
        <w:rPr>
          <w:sz w:val="24"/>
          <w:szCs w:val="24"/>
          <w:lang w:val="sq-AL"/>
        </w:rPr>
        <w:t>ë</w:t>
      </w:r>
      <w:r w:rsidR="00380775" w:rsidRPr="0032048B">
        <w:rPr>
          <w:sz w:val="24"/>
          <w:szCs w:val="24"/>
          <w:lang w:val="sq-AL"/>
        </w:rPr>
        <w:t xml:space="preserve"> dhe Mbrojtje</w:t>
      </w:r>
      <w:r w:rsidR="001F3405" w:rsidRPr="0032048B">
        <w:rPr>
          <w:sz w:val="24"/>
          <w:szCs w:val="24"/>
          <w:lang w:val="sq-AL"/>
        </w:rPr>
        <w:t>s</w:t>
      </w:r>
      <w:r w:rsidR="00380775" w:rsidRPr="0032048B">
        <w:rPr>
          <w:sz w:val="24"/>
          <w:szCs w:val="24"/>
          <w:lang w:val="sq-AL"/>
        </w:rPr>
        <w:t xml:space="preserve"> Sociale, e cila koordinon politikat </w:t>
      </w:r>
      <w:r w:rsidR="001F3405" w:rsidRPr="0032048B">
        <w:rPr>
          <w:sz w:val="24"/>
          <w:szCs w:val="24"/>
          <w:lang w:val="sq-AL"/>
        </w:rPr>
        <w:t>q</w:t>
      </w:r>
      <w:r w:rsidR="004D4436" w:rsidRPr="0032048B">
        <w:rPr>
          <w:sz w:val="24"/>
          <w:szCs w:val="24"/>
          <w:lang w:val="sq-AL"/>
        </w:rPr>
        <w:t>ë</w:t>
      </w:r>
      <w:r w:rsidR="00380775" w:rsidRPr="0032048B">
        <w:rPr>
          <w:sz w:val="24"/>
          <w:szCs w:val="24"/>
          <w:lang w:val="sq-AL"/>
        </w:rPr>
        <w:t xml:space="preserve"> lidh</w:t>
      </w:r>
      <w:r w:rsidR="001F3405" w:rsidRPr="0032048B">
        <w:rPr>
          <w:sz w:val="24"/>
          <w:szCs w:val="24"/>
          <w:lang w:val="sq-AL"/>
        </w:rPr>
        <w:t>en</w:t>
      </w:r>
      <w:r w:rsidR="00380775" w:rsidRPr="0032048B">
        <w:rPr>
          <w:sz w:val="24"/>
          <w:szCs w:val="24"/>
          <w:lang w:val="sq-AL"/>
        </w:rPr>
        <w:t xml:space="preserve"> me romët, mbetet i dobët. Stafi i departamentit të përfshirjes sociale duhet të forcohet. Pjesëmarrja e romëve dhe egjiptianëve në administratën </w:t>
      </w:r>
      <w:r w:rsidR="001F3405" w:rsidRPr="0032048B">
        <w:rPr>
          <w:sz w:val="24"/>
          <w:szCs w:val="24"/>
          <w:lang w:val="sq-AL"/>
        </w:rPr>
        <w:t>vendore</w:t>
      </w:r>
      <w:r w:rsidR="00380775" w:rsidRPr="0032048B">
        <w:rPr>
          <w:sz w:val="24"/>
          <w:szCs w:val="24"/>
          <w:lang w:val="sq-AL"/>
        </w:rPr>
        <w:t xml:space="preserve"> duhet të përmirësohet, dhe koordinimi ndër-</w:t>
      </w:r>
      <w:proofErr w:type="spellStart"/>
      <w:r w:rsidR="00380775" w:rsidRPr="0032048B">
        <w:rPr>
          <w:sz w:val="24"/>
          <w:szCs w:val="24"/>
          <w:lang w:val="sq-AL"/>
        </w:rPr>
        <w:t>ministerial</w:t>
      </w:r>
      <w:proofErr w:type="spellEnd"/>
      <w:r w:rsidR="00380775" w:rsidRPr="0032048B">
        <w:rPr>
          <w:sz w:val="24"/>
          <w:szCs w:val="24"/>
          <w:lang w:val="sq-AL"/>
        </w:rPr>
        <w:t xml:space="preserve">, kombëtar dhe lokal për përfshirjen e romëve duhet të forcohet më tej. Fëmijët </w:t>
      </w:r>
      <w:r w:rsidR="001F3405" w:rsidRPr="0032048B">
        <w:rPr>
          <w:sz w:val="24"/>
          <w:szCs w:val="24"/>
          <w:lang w:val="sq-AL"/>
        </w:rPr>
        <w:t>r</w:t>
      </w:r>
      <w:r w:rsidR="00380775" w:rsidRPr="0032048B">
        <w:rPr>
          <w:sz w:val="24"/>
          <w:szCs w:val="24"/>
          <w:lang w:val="sq-AL"/>
        </w:rPr>
        <w:t>om</w:t>
      </w:r>
      <w:r w:rsidR="004D4436" w:rsidRPr="0032048B">
        <w:rPr>
          <w:sz w:val="24"/>
          <w:szCs w:val="24"/>
          <w:lang w:val="sq-AL"/>
        </w:rPr>
        <w:t>ë</w:t>
      </w:r>
      <w:r w:rsidR="00380775" w:rsidRPr="0032048B">
        <w:rPr>
          <w:sz w:val="24"/>
          <w:szCs w:val="24"/>
          <w:lang w:val="sq-AL"/>
        </w:rPr>
        <w:t xml:space="preserve"> dhe </w:t>
      </w:r>
      <w:r w:rsidR="001F3405" w:rsidRPr="0032048B">
        <w:rPr>
          <w:sz w:val="24"/>
          <w:szCs w:val="24"/>
          <w:lang w:val="sq-AL"/>
        </w:rPr>
        <w:t>e</w:t>
      </w:r>
      <w:r w:rsidR="00380775" w:rsidRPr="0032048B">
        <w:rPr>
          <w:sz w:val="24"/>
          <w:szCs w:val="24"/>
          <w:lang w:val="sq-AL"/>
        </w:rPr>
        <w:t>gjiptian</w:t>
      </w:r>
      <w:r w:rsidR="004D4436" w:rsidRPr="0032048B">
        <w:rPr>
          <w:sz w:val="24"/>
          <w:szCs w:val="24"/>
          <w:lang w:val="sq-AL"/>
        </w:rPr>
        <w:t>ë</w:t>
      </w:r>
      <w:r w:rsidR="00380775" w:rsidRPr="0032048B">
        <w:rPr>
          <w:sz w:val="24"/>
          <w:szCs w:val="24"/>
          <w:lang w:val="sq-AL"/>
        </w:rPr>
        <w:t xml:space="preserve"> vazhdojnë të përfitojnë nga bursat dhe programet arsimore me kohë të pjesshme, si dhe librat shkollorë falas</w:t>
      </w:r>
      <w:r w:rsidR="001F3405" w:rsidRPr="0032048B">
        <w:rPr>
          <w:sz w:val="24"/>
          <w:szCs w:val="24"/>
          <w:lang w:val="sq-AL"/>
        </w:rPr>
        <w:t>,</w:t>
      </w:r>
      <w:r w:rsidR="00380775" w:rsidRPr="0032048B">
        <w:rPr>
          <w:sz w:val="24"/>
          <w:szCs w:val="24"/>
          <w:lang w:val="sq-AL"/>
        </w:rPr>
        <w:t xml:space="preserve"> dhe </w:t>
      </w:r>
      <w:r w:rsidR="00380775" w:rsidRPr="0032048B">
        <w:rPr>
          <w:sz w:val="24"/>
          <w:szCs w:val="24"/>
          <w:lang w:val="sq-AL"/>
        </w:rPr>
        <w:lastRenderedPageBreak/>
        <w:t>transporti në shkolla</w:t>
      </w:r>
      <w:r w:rsidR="001F3405" w:rsidRPr="0032048B">
        <w:rPr>
          <w:sz w:val="24"/>
          <w:szCs w:val="24"/>
          <w:lang w:val="sq-AL"/>
        </w:rPr>
        <w:t>t</w:t>
      </w:r>
      <w:r w:rsidR="00380775" w:rsidRPr="0032048B">
        <w:rPr>
          <w:sz w:val="24"/>
          <w:szCs w:val="24"/>
          <w:lang w:val="sq-AL"/>
        </w:rPr>
        <w:t xml:space="preserve"> </w:t>
      </w:r>
      <w:r w:rsidR="001F3405" w:rsidRPr="0032048B">
        <w:rPr>
          <w:sz w:val="24"/>
          <w:szCs w:val="24"/>
          <w:lang w:val="sq-AL"/>
        </w:rPr>
        <w:t>e</w:t>
      </w:r>
      <w:r w:rsidR="00380775" w:rsidRPr="0032048B">
        <w:rPr>
          <w:sz w:val="24"/>
          <w:szCs w:val="24"/>
          <w:lang w:val="sq-AL"/>
        </w:rPr>
        <w:t xml:space="preserve"> largëta. Sidoqoftë, </w:t>
      </w:r>
      <w:proofErr w:type="spellStart"/>
      <w:r w:rsidR="001F3405" w:rsidRPr="0032048B">
        <w:rPr>
          <w:sz w:val="24"/>
          <w:szCs w:val="24"/>
          <w:lang w:val="sq-AL"/>
        </w:rPr>
        <w:t>segregimi</w:t>
      </w:r>
      <w:proofErr w:type="spellEnd"/>
      <w:r w:rsidR="00380775" w:rsidRPr="0032048B">
        <w:rPr>
          <w:sz w:val="24"/>
          <w:szCs w:val="24"/>
          <w:lang w:val="sq-AL"/>
        </w:rPr>
        <w:t xml:space="preserve"> në shkolla mbetet një çështje që duhet të </w:t>
      </w:r>
      <w:r w:rsidR="00DA0377" w:rsidRPr="0032048B">
        <w:rPr>
          <w:sz w:val="24"/>
          <w:szCs w:val="24"/>
          <w:lang w:val="sq-AL"/>
        </w:rPr>
        <w:t xml:space="preserve">trajtohet </w:t>
      </w:r>
      <w:r w:rsidR="00380775" w:rsidRPr="0032048B">
        <w:rPr>
          <w:sz w:val="24"/>
          <w:szCs w:val="24"/>
          <w:lang w:val="sq-AL"/>
        </w:rPr>
        <w:t xml:space="preserve">në mënyrë sistematike. Shkalla e përgjithshme e punësimit të </w:t>
      </w:r>
      <w:r w:rsidR="001F3405" w:rsidRPr="0032048B">
        <w:rPr>
          <w:sz w:val="24"/>
          <w:szCs w:val="24"/>
          <w:lang w:val="sq-AL"/>
        </w:rPr>
        <w:t>r</w:t>
      </w:r>
      <w:r w:rsidR="00380775" w:rsidRPr="0032048B">
        <w:rPr>
          <w:sz w:val="24"/>
          <w:szCs w:val="24"/>
          <w:lang w:val="sq-AL"/>
        </w:rPr>
        <w:t xml:space="preserve">omëve dhe </w:t>
      </w:r>
      <w:r w:rsidR="001F3405" w:rsidRPr="0032048B">
        <w:rPr>
          <w:sz w:val="24"/>
          <w:szCs w:val="24"/>
          <w:lang w:val="sq-AL"/>
        </w:rPr>
        <w:t>e</w:t>
      </w:r>
      <w:r w:rsidR="00380775" w:rsidRPr="0032048B">
        <w:rPr>
          <w:sz w:val="24"/>
          <w:szCs w:val="24"/>
          <w:lang w:val="sq-AL"/>
        </w:rPr>
        <w:t xml:space="preserve">gjiptianëve mbetet shumë e ulët. Romët dhe </w:t>
      </w:r>
      <w:r w:rsidR="001F3405" w:rsidRPr="0032048B">
        <w:rPr>
          <w:sz w:val="24"/>
          <w:szCs w:val="24"/>
          <w:lang w:val="sq-AL"/>
        </w:rPr>
        <w:t>e</w:t>
      </w:r>
      <w:r w:rsidR="00380775" w:rsidRPr="0032048B">
        <w:rPr>
          <w:sz w:val="24"/>
          <w:szCs w:val="24"/>
          <w:lang w:val="sq-AL"/>
        </w:rPr>
        <w:t xml:space="preserve">gjiptianët vazhdojnë të përfitojnë nga një kuotë </w:t>
      </w:r>
      <w:r w:rsidR="00DA0377" w:rsidRPr="0032048B">
        <w:rPr>
          <w:sz w:val="24"/>
          <w:szCs w:val="24"/>
          <w:lang w:val="sq-AL"/>
        </w:rPr>
        <w:t xml:space="preserve">prej </w:t>
      </w:r>
      <w:r w:rsidR="00380775" w:rsidRPr="0032048B">
        <w:rPr>
          <w:sz w:val="24"/>
          <w:szCs w:val="24"/>
          <w:lang w:val="sq-AL"/>
        </w:rPr>
        <w:t xml:space="preserve">5% </w:t>
      </w:r>
      <w:r w:rsidR="00DA0377" w:rsidRPr="0032048B">
        <w:rPr>
          <w:sz w:val="24"/>
          <w:szCs w:val="24"/>
          <w:lang w:val="sq-AL"/>
        </w:rPr>
        <w:t>n</w:t>
      </w:r>
      <w:r w:rsidR="00EE18DF" w:rsidRPr="0032048B">
        <w:rPr>
          <w:sz w:val="24"/>
          <w:szCs w:val="24"/>
          <w:lang w:val="sq-AL"/>
        </w:rPr>
        <w:t>ë</w:t>
      </w:r>
      <w:r w:rsidR="00380775" w:rsidRPr="0032048B">
        <w:rPr>
          <w:sz w:val="24"/>
          <w:szCs w:val="24"/>
          <w:lang w:val="sq-AL"/>
        </w:rPr>
        <w:t xml:space="preserve"> zbatimi</w:t>
      </w:r>
      <w:r w:rsidR="00DA0377" w:rsidRPr="0032048B">
        <w:rPr>
          <w:sz w:val="24"/>
          <w:szCs w:val="24"/>
          <w:lang w:val="sq-AL"/>
        </w:rPr>
        <w:t>n e</w:t>
      </w:r>
      <w:r w:rsidR="00E247EA" w:rsidRPr="0032048B">
        <w:rPr>
          <w:sz w:val="24"/>
          <w:szCs w:val="24"/>
          <w:lang w:val="sq-AL"/>
        </w:rPr>
        <w:t xml:space="preserve"> </w:t>
      </w:r>
      <w:r w:rsidR="00380775" w:rsidRPr="0032048B">
        <w:rPr>
          <w:sz w:val="24"/>
          <w:szCs w:val="24"/>
          <w:lang w:val="sq-AL"/>
        </w:rPr>
        <w:t xml:space="preserve">ligjit për strehimin social. Situata e strehimit mbetet një sfidë e rëndësishme për shkak të kushteve shpesh të dobëta të jetesës dhe mungesës së </w:t>
      </w:r>
      <w:r w:rsidR="00D07473" w:rsidRPr="0032048B">
        <w:rPr>
          <w:sz w:val="24"/>
          <w:szCs w:val="24"/>
          <w:lang w:val="sq-AL"/>
        </w:rPr>
        <w:t>titujve t</w:t>
      </w:r>
      <w:r w:rsidR="004D4436" w:rsidRPr="0032048B">
        <w:rPr>
          <w:sz w:val="24"/>
          <w:szCs w:val="24"/>
          <w:lang w:val="sq-AL"/>
        </w:rPr>
        <w:t>ë</w:t>
      </w:r>
      <w:r w:rsidR="00D07473" w:rsidRPr="0032048B">
        <w:rPr>
          <w:sz w:val="24"/>
          <w:szCs w:val="24"/>
          <w:lang w:val="sq-AL"/>
        </w:rPr>
        <w:t xml:space="preserve"> pron</w:t>
      </w:r>
      <w:r w:rsidR="004D4436" w:rsidRPr="0032048B">
        <w:rPr>
          <w:sz w:val="24"/>
          <w:szCs w:val="24"/>
          <w:lang w:val="sq-AL"/>
        </w:rPr>
        <w:t>ë</w:t>
      </w:r>
      <w:r w:rsidR="00D07473" w:rsidRPr="0032048B">
        <w:rPr>
          <w:sz w:val="24"/>
          <w:szCs w:val="24"/>
          <w:lang w:val="sq-AL"/>
        </w:rPr>
        <w:t>sis</w:t>
      </w:r>
      <w:r w:rsidR="004D4436" w:rsidRPr="0032048B">
        <w:rPr>
          <w:sz w:val="24"/>
          <w:szCs w:val="24"/>
          <w:lang w:val="sq-AL"/>
        </w:rPr>
        <w:t>ë</w:t>
      </w:r>
      <w:r w:rsidR="00D07473" w:rsidRPr="0032048B">
        <w:rPr>
          <w:sz w:val="24"/>
          <w:szCs w:val="24"/>
          <w:lang w:val="sq-AL"/>
        </w:rPr>
        <w:t xml:space="preserve">. </w:t>
      </w:r>
      <w:r w:rsidR="00380775" w:rsidRPr="0032048B">
        <w:rPr>
          <w:sz w:val="24"/>
          <w:szCs w:val="24"/>
          <w:lang w:val="sq-AL"/>
        </w:rPr>
        <w:t>Qasja në dokumente personale është përmirësuar për të dy komunitetet. Sidoqoftë, barriera të tjera si munges</w:t>
      </w:r>
      <w:r w:rsidR="00DA0377" w:rsidRPr="0032048B">
        <w:rPr>
          <w:sz w:val="24"/>
          <w:szCs w:val="24"/>
          <w:lang w:val="sq-AL"/>
        </w:rPr>
        <w:t>a e aftësive digjitale dhe qasjes</w:t>
      </w:r>
      <w:r w:rsidR="00380775" w:rsidRPr="0032048B">
        <w:rPr>
          <w:sz w:val="24"/>
          <w:szCs w:val="24"/>
          <w:lang w:val="sq-AL"/>
        </w:rPr>
        <w:t xml:space="preserve"> në teknologji vazhdojnë të </w:t>
      </w:r>
      <w:r w:rsidR="00D07473" w:rsidRPr="0032048B">
        <w:rPr>
          <w:sz w:val="24"/>
          <w:szCs w:val="24"/>
          <w:lang w:val="sq-AL"/>
        </w:rPr>
        <w:t>pengojn</w:t>
      </w:r>
      <w:r w:rsidR="004D4436" w:rsidRPr="0032048B">
        <w:rPr>
          <w:sz w:val="24"/>
          <w:szCs w:val="24"/>
          <w:lang w:val="sq-AL"/>
        </w:rPr>
        <w:t>ë</w:t>
      </w:r>
      <w:r w:rsidR="00380775" w:rsidRPr="0032048B">
        <w:rPr>
          <w:sz w:val="24"/>
          <w:szCs w:val="24"/>
          <w:lang w:val="sq-AL"/>
        </w:rPr>
        <w:t xml:space="preserve"> romët dhe egjiptianë</w:t>
      </w:r>
      <w:r w:rsidR="00D07473" w:rsidRPr="0032048B">
        <w:rPr>
          <w:sz w:val="24"/>
          <w:szCs w:val="24"/>
          <w:lang w:val="sq-AL"/>
        </w:rPr>
        <w:t xml:space="preserve">t </w:t>
      </w:r>
      <w:r w:rsidR="00380775" w:rsidRPr="0032048B">
        <w:rPr>
          <w:sz w:val="24"/>
          <w:szCs w:val="24"/>
          <w:lang w:val="sq-AL"/>
        </w:rPr>
        <w:t xml:space="preserve">të </w:t>
      </w:r>
      <w:r w:rsidR="00D07473" w:rsidRPr="0032048B">
        <w:rPr>
          <w:sz w:val="24"/>
          <w:szCs w:val="24"/>
          <w:lang w:val="sq-AL"/>
        </w:rPr>
        <w:t>g</w:t>
      </w:r>
      <w:r w:rsidR="004D4436" w:rsidRPr="0032048B">
        <w:rPr>
          <w:sz w:val="24"/>
          <w:szCs w:val="24"/>
          <w:lang w:val="sq-AL"/>
        </w:rPr>
        <w:t>ë</w:t>
      </w:r>
      <w:r w:rsidR="00D07473" w:rsidRPr="0032048B">
        <w:rPr>
          <w:sz w:val="24"/>
          <w:szCs w:val="24"/>
          <w:lang w:val="sq-AL"/>
        </w:rPr>
        <w:t>zojn</w:t>
      </w:r>
      <w:r w:rsidR="004D4436" w:rsidRPr="0032048B">
        <w:rPr>
          <w:sz w:val="24"/>
          <w:szCs w:val="24"/>
          <w:lang w:val="sq-AL"/>
        </w:rPr>
        <w:t>ë</w:t>
      </w:r>
      <w:r w:rsidR="00380775" w:rsidRPr="0032048B">
        <w:rPr>
          <w:sz w:val="24"/>
          <w:szCs w:val="24"/>
          <w:lang w:val="sq-AL"/>
        </w:rPr>
        <w:t xml:space="preserve"> plotësisht të drejtat e tyre dhe të </w:t>
      </w:r>
      <w:r w:rsidR="00D07473" w:rsidRPr="0032048B">
        <w:rPr>
          <w:sz w:val="24"/>
          <w:szCs w:val="24"/>
          <w:lang w:val="sq-AL"/>
        </w:rPr>
        <w:t>ken</w:t>
      </w:r>
      <w:r w:rsidR="004D4436" w:rsidRPr="0032048B">
        <w:rPr>
          <w:sz w:val="24"/>
          <w:szCs w:val="24"/>
          <w:lang w:val="sq-AL"/>
        </w:rPr>
        <w:t>ë</w:t>
      </w:r>
      <w:r w:rsidR="00D07473" w:rsidRPr="0032048B">
        <w:rPr>
          <w:sz w:val="24"/>
          <w:szCs w:val="24"/>
          <w:lang w:val="sq-AL"/>
        </w:rPr>
        <w:t xml:space="preserve"> qasje</w:t>
      </w:r>
      <w:r w:rsidR="00380775" w:rsidRPr="0032048B">
        <w:rPr>
          <w:sz w:val="24"/>
          <w:szCs w:val="24"/>
          <w:lang w:val="sq-AL"/>
        </w:rPr>
        <w:t xml:space="preserve"> në shërbime</w:t>
      </w:r>
      <w:r w:rsidR="00D07473" w:rsidRPr="0032048B">
        <w:rPr>
          <w:sz w:val="24"/>
          <w:szCs w:val="24"/>
          <w:lang w:val="sq-AL"/>
        </w:rPr>
        <w:t>t</w:t>
      </w:r>
      <w:r w:rsidR="00380775" w:rsidRPr="0032048B">
        <w:rPr>
          <w:sz w:val="24"/>
          <w:szCs w:val="24"/>
          <w:lang w:val="sq-AL"/>
        </w:rPr>
        <w:t xml:space="preserve"> publike, të cilat janë gjithnjë e më digjitale. Përpjekje dhe burime shtesë kërkohen për të përshpejtuar përfshirjen e romëve dhe egjiptianëve, </w:t>
      </w:r>
      <w:r w:rsidR="00DA0377" w:rsidRPr="0032048B">
        <w:rPr>
          <w:sz w:val="24"/>
          <w:szCs w:val="24"/>
          <w:lang w:val="sq-AL"/>
        </w:rPr>
        <w:t>p</w:t>
      </w:r>
      <w:r w:rsidR="00EE18DF" w:rsidRPr="0032048B">
        <w:rPr>
          <w:sz w:val="24"/>
          <w:szCs w:val="24"/>
          <w:lang w:val="sq-AL"/>
        </w:rPr>
        <w:t>ë</w:t>
      </w:r>
      <w:r w:rsidR="00DA0377" w:rsidRPr="0032048B">
        <w:rPr>
          <w:sz w:val="24"/>
          <w:szCs w:val="24"/>
          <w:lang w:val="sq-AL"/>
        </w:rPr>
        <w:t>r t</w:t>
      </w:r>
      <w:r w:rsidR="00EE18DF" w:rsidRPr="0032048B">
        <w:rPr>
          <w:sz w:val="24"/>
          <w:szCs w:val="24"/>
          <w:lang w:val="sq-AL"/>
        </w:rPr>
        <w:t>ë</w:t>
      </w:r>
      <w:r w:rsidR="00DA0377" w:rsidRPr="0032048B">
        <w:rPr>
          <w:sz w:val="24"/>
          <w:szCs w:val="24"/>
          <w:lang w:val="sq-AL"/>
        </w:rPr>
        <w:t xml:space="preserve"> luftuar </w:t>
      </w:r>
      <w:proofErr w:type="spellStart"/>
      <w:r w:rsidR="00380775" w:rsidRPr="0032048B">
        <w:rPr>
          <w:sz w:val="24"/>
          <w:szCs w:val="24"/>
          <w:lang w:val="sq-AL"/>
        </w:rPr>
        <w:t>anti-</w:t>
      </w:r>
      <w:r w:rsidR="00DA0377" w:rsidRPr="0032048B">
        <w:rPr>
          <w:sz w:val="24"/>
          <w:szCs w:val="24"/>
          <w:lang w:val="sq-AL"/>
        </w:rPr>
        <w:t>ciganizmin</w:t>
      </w:r>
      <w:proofErr w:type="spellEnd"/>
      <w:r w:rsidR="00380775" w:rsidRPr="0032048B">
        <w:rPr>
          <w:sz w:val="24"/>
          <w:szCs w:val="24"/>
          <w:lang w:val="sq-AL"/>
        </w:rPr>
        <w:t xml:space="preserve">, diskriminimin dhe </w:t>
      </w:r>
      <w:proofErr w:type="spellStart"/>
      <w:r w:rsidR="00DA0377" w:rsidRPr="0032048B">
        <w:rPr>
          <w:sz w:val="24"/>
          <w:szCs w:val="24"/>
          <w:lang w:val="sq-AL"/>
        </w:rPr>
        <w:t>segregimin</w:t>
      </w:r>
      <w:proofErr w:type="spellEnd"/>
      <w:r w:rsidR="00D07473" w:rsidRPr="0032048B">
        <w:rPr>
          <w:sz w:val="24"/>
          <w:szCs w:val="24"/>
          <w:lang w:val="sq-AL"/>
        </w:rPr>
        <w:t xml:space="preserve"> </w:t>
      </w:r>
      <w:r w:rsidR="00380775" w:rsidRPr="0032048B">
        <w:rPr>
          <w:sz w:val="24"/>
          <w:szCs w:val="24"/>
          <w:lang w:val="sq-AL"/>
        </w:rPr>
        <w:t>arsimor</w:t>
      </w:r>
      <w:r w:rsidR="00D07473" w:rsidRPr="0032048B">
        <w:rPr>
          <w:sz w:val="24"/>
          <w:szCs w:val="24"/>
          <w:lang w:val="sq-AL"/>
        </w:rPr>
        <w:t xml:space="preserve"> dhe</w:t>
      </w:r>
      <w:r w:rsidR="00380775" w:rsidRPr="0032048B">
        <w:rPr>
          <w:sz w:val="24"/>
          <w:szCs w:val="24"/>
          <w:lang w:val="sq-AL"/>
        </w:rPr>
        <w:t xml:space="preserve"> fizik, për të promovuar pjesëmarrjen</w:t>
      </w:r>
      <w:r w:rsidR="00DA0377" w:rsidRPr="0032048B">
        <w:rPr>
          <w:sz w:val="24"/>
          <w:szCs w:val="24"/>
          <w:lang w:val="sq-AL"/>
        </w:rPr>
        <w:t xml:space="preserve"> e romëve dhe për të zvogëluar hendekun</w:t>
      </w:r>
      <w:r w:rsidR="00380775" w:rsidRPr="0032048B">
        <w:rPr>
          <w:sz w:val="24"/>
          <w:szCs w:val="24"/>
          <w:lang w:val="sq-AL"/>
        </w:rPr>
        <w:t xml:space="preserve"> me pjesën tjetër të popullsisë.</w:t>
      </w:r>
    </w:p>
    <w:p w14:paraId="3A8FDBB2" w14:textId="0DB02743" w:rsidR="00380775" w:rsidRPr="0032048B" w:rsidRDefault="00380775" w:rsidP="00361D5A">
      <w:pPr>
        <w:tabs>
          <w:tab w:val="left" w:pos="1134"/>
          <w:tab w:val="left" w:pos="9360"/>
        </w:tabs>
        <w:spacing w:before="120"/>
        <w:ind w:left="993" w:right="1067"/>
        <w:jc w:val="both"/>
        <w:rPr>
          <w:sz w:val="24"/>
          <w:szCs w:val="24"/>
          <w:lang w:val="sq-AL"/>
        </w:rPr>
      </w:pPr>
      <w:r w:rsidRPr="0032048B">
        <w:rPr>
          <w:sz w:val="24"/>
          <w:szCs w:val="24"/>
          <w:lang w:val="sq-AL"/>
        </w:rPr>
        <w:t xml:space="preserve">Për të </w:t>
      </w:r>
      <w:r w:rsidRPr="0032048B">
        <w:rPr>
          <w:b/>
          <w:sz w:val="24"/>
          <w:szCs w:val="24"/>
          <w:lang w:val="sq-AL"/>
        </w:rPr>
        <w:t>drejtat e shtetësisë</w:t>
      </w:r>
      <w:r w:rsidRPr="0032048B">
        <w:rPr>
          <w:sz w:val="24"/>
          <w:szCs w:val="24"/>
          <w:lang w:val="sq-AL"/>
        </w:rPr>
        <w:t xml:space="preserve">, nuk kishte zhvillime të reja në periudhën e raportimit. Të dy programet e miratuara në vitin 2022 nga Këshilli i Ministrave për përvetësimin e shtetësisë shqiptare në bazë të meritave të veçanta në fushat e arteve, kulturës, arsimit, shkencës dhe sportit, pa </w:t>
      </w:r>
      <w:r w:rsidR="00430D50" w:rsidRPr="0032048B">
        <w:rPr>
          <w:sz w:val="24"/>
          <w:szCs w:val="24"/>
          <w:lang w:val="sq-AL"/>
        </w:rPr>
        <w:t xml:space="preserve">kriterin e banimit </w:t>
      </w:r>
      <w:r w:rsidRPr="0032048B">
        <w:rPr>
          <w:sz w:val="24"/>
          <w:szCs w:val="24"/>
          <w:lang w:val="sq-AL"/>
        </w:rPr>
        <w:t>paraprak në Shqipëri</w:t>
      </w:r>
      <w:r w:rsidR="00430D50" w:rsidRPr="0032048B">
        <w:rPr>
          <w:sz w:val="24"/>
          <w:szCs w:val="24"/>
          <w:lang w:val="sq-AL"/>
        </w:rPr>
        <w:t xml:space="preserve">, </w:t>
      </w:r>
      <w:r w:rsidRPr="0032048B">
        <w:rPr>
          <w:sz w:val="24"/>
          <w:szCs w:val="24"/>
          <w:lang w:val="sq-AL"/>
        </w:rPr>
        <w:t xml:space="preserve">mbeten në fuqi. Ligji i vitit 2020 për shtetësinë siguron një bazë ligjore për </w:t>
      </w:r>
      <w:r w:rsidR="00CB3E2D" w:rsidRPr="0032048B">
        <w:rPr>
          <w:sz w:val="24"/>
          <w:szCs w:val="24"/>
          <w:lang w:val="sq-AL"/>
        </w:rPr>
        <w:t>krijimin e nj</w:t>
      </w:r>
      <w:r w:rsidR="00EE18DF" w:rsidRPr="0032048B">
        <w:rPr>
          <w:sz w:val="24"/>
          <w:szCs w:val="24"/>
          <w:lang w:val="sq-AL"/>
        </w:rPr>
        <w:t>ë</w:t>
      </w:r>
      <w:r w:rsidR="00CB3E2D" w:rsidRPr="0032048B">
        <w:rPr>
          <w:sz w:val="24"/>
          <w:szCs w:val="24"/>
          <w:lang w:val="sq-AL"/>
        </w:rPr>
        <w:t xml:space="preserve"> skeme p</w:t>
      </w:r>
      <w:r w:rsidR="00EE18DF" w:rsidRPr="0032048B">
        <w:rPr>
          <w:sz w:val="24"/>
          <w:szCs w:val="24"/>
          <w:lang w:val="sq-AL"/>
        </w:rPr>
        <w:t>ë</w:t>
      </w:r>
      <w:r w:rsidR="00CB3E2D" w:rsidRPr="0032048B">
        <w:rPr>
          <w:sz w:val="24"/>
          <w:szCs w:val="24"/>
          <w:lang w:val="sq-AL"/>
        </w:rPr>
        <w:t>r</w:t>
      </w:r>
      <w:r w:rsidRPr="0032048B">
        <w:rPr>
          <w:sz w:val="24"/>
          <w:szCs w:val="24"/>
          <w:lang w:val="sq-AL"/>
        </w:rPr>
        <w:t xml:space="preserve"> </w:t>
      </w:r>
      <w:r w:rsidR="00430D50" w:rsidRPr="0032048B">
        <w:rPr>
          <w:sz w:val="24"/>
          <w:szCs w:val="24"/>
          <w:lang w:val="sq-AL"/>
        </w:rPr>
        <w:t>dh</w:t>
      </w:r>
      <w:r w:rsidR="004D4436" w:rsidRPr="0032048B">
        <w:rPr>
          <w:sz w:val="24"/>
          <w:szCs w:val="24"/>
          <w:lang w:val="sq-AL"/>
        </w:rPr>
        <w:t>ë</w:t>
      </w:r>
      <w:r w:rsidR="00430D50" w:rsidRPr="0032048B">
        <w:rPr>
          <w:sz w:val="24"/>
          <w:szCs w:val="24"/>
          <w:lang w:val="sq-AL"/>
        </w:rPr>
        <w:t>nien e shtet</w:t>
      </w:r>
      <w:r w:rsidR="004D4436" w:rsidRPr="0032048B">
        <w:rPr>
          <w:sz w:val="24"/>
          <w:szCs w:val="24"/>
          <w:lang w:val="sq-AL"/>
        </w:rPr>
        <w:t>ë</w:t>
      </w:r>
      <w:r w:rsidR="00430D50" w:rsidRPr="0032048B">
        <w:rPr>
          <w:sz w:val="24"/>
          <w:szCs w:val="24"/>
          <w:lang w:val="sq-AL"/>
        </w:rPr>
        <w:t>sis</w:t>
      </w:r>
      <w:r w:rsidR="004D4436" w:rsidRPr="0032048B">
        <w:rPr>
          <w:sz w:val="24"/>
          <w:szCs w:val="24"/>
          <w:lang w:val="sq-AL"/>
        </w:rPr>
        <w:t>ë</w:t>
      </w:r>
      <w:r w:rsidR="00430D50" w:rsidRPr="0032048B">
        <w:rPr>
          <w:sz w:val="24"/>
          <w:szCs w:val="24"/>
          <w:lang w:val="sq-AL"/>
        </w:rPr>
        <w:t xml:space="preserve"> </w:t>
      </w:r>
      <w:r w:rsidRPr="0032048B">
        <w:rPr>
          <w:sz w:val="24"/>
          <w:szCs w:val="24"/>
          <w:lang w:val="sq-AL"/>
        </w:rPr>
        <w:t>in</w:t>
      </w:r>
      <w:r w:rsidR="00CB3E2D" w:rsidRPr="0032048B">
        <w:rPr>
          <w:sz w:val="24"/>
          <w:szCs w:val="24"/>
          <w:lang w:val="sq-AL"/>
        </w:rPr>
        <w:t>vestitorëve ("pasaportat e a</w:t>
      </w:r>
      <w:r w:rsidRPr="0032048B">
        <w:rPr>
          <w:sz w:val="24"/>
          <w:szCs w:val="24"/>
          <w:lang w:val="sq-AL"/>
        </w:rPr>
        <w:t xml:space="preserve">rta"). Në korrik 2022, Këshilli i Ministrave miratoi një vendim që i lejonte Ministrisë së Brendshme të nisë një tender për një partneritet publik-privat që do të shërbente për </w:t>
      </w:r>
      <w:r w:rsidR="00430D50" w:rsidRPr="0032048B">
        <w:rPr>
          <w:sz w:val="24"/>
          <w:szCs w:val="24"/>
          <w:lang w:val="sq-AL"/>
        </w:rPr>
        <w:t>t</w:t>
      </w:r>
      <w:r w:rsidR="004D4436" w:rsidRPr="0032048B">
        <w:rPr>
          <w:sz w:val="24"/>
          <w:szCs w:val="24"/>
          <w:lang w:val="sq-AL"/>
        </w:rPr>
        <w:t>ë</w:t>
      </w:r>
      <w:r w:rsidR="00430D50" w:rsidRPr="0032048B">
        <w:rPr>
          <w:sz w:val="24"/>
          <w:szCs w:val="24"/>
          <w:lang w:val="sq-AL"/>
        </w:rPr>
        <w:t xml:space="preserve"> </w:t>
      </w:r>
      <w:r w:rsidR="00CB3E2D" w:rsidRPr="0032048B">
        <w:rPr>
          <w:sz w:val="24"/>
          <w:szCs w:val="24"/>
          <w:lang w:val="sq-AL"/>
        </w:rPr>
        <w:t>filluar pun</w:t>
      </w:r>
      <w:r w:rsidR="00EE18DF" w:rsidRPr="0032048B">
        <w:rPr>
          <w:sz w:val="24"/>
          <w:szCs w:val="24"/>
          <w:lang w:val="sq-AL"/>
        </w:rPr>
        <w:t>ë</w:t>
      </w:r>
      <w:r w:rsidR="00CB3E2D" w:rsidRPr="0032048B">
        <w:rPr>
          <w:sz w:val="24"/>
          <w:szCs w:val="24"/>
          <w:lang w:val="sq-AL"/>
        </w:rPr>
        <w:t>n p</w:t>
      </w:r>
      <w:r w:rsidR="00EE18DF" w:rsidRPr="0032048B">
        <w:rPr>
          <w:sz w:val="24"/>
          <w:szCs w:val="24"/>
          <w:lang w:val="sq-AL"/>
        </w:rPr>
        <w:t>ë</w:t>
      </w:r>
      <w:r w:rsidR="00CB3E2D" w:rsidRPr="0032048B">
        <w:rPr>
          <w:sz w:val="24"/>
          <w:szCs w:val="24"/>
          <w:lang w:val="sq-AL"/>
        </w:rPr>
        <w:t>r nisjen e</w:t>
      </w:r>
      <w:r w:rsidR="00430D50" w:rsidRPr="0032048B">
        <w:rPr>
          <w:sz w:val="24"/>
          <w:szCs w:val="24"/>
          <w:lang w:val="sq-AL"/>
        </w:rPr>
        <w:t xml:space="preserve"> </w:t>
      </w:r>
      <w:r w:rsidRPr="0032048B">
        <w:rPr>
          <w:sz w:val="24"/>
          <w:szCs w:val="24"/>
          <w:lang w:val="sq-AL"/>
        </w:rPr>
        <w:t>skemë</w:t>
      </w:r>
      <w:r w:rsidR="00CB3E2D" w:rsidRPr="0032048B">
        <w:rPr>
          <w:sz w:val="24"/>
          <w:szCs w:val="24"/>
          <w:lang w:val="sq-AL"/>
        </w:rPr>
        <w:t>s</w:t>
      </w:r>
      <w:r w:rsidR="00430D50" w:rsidRPr="0032048B">
        <w:rPr>
          <w:sz w:val="24"/>
          <w:szCs w:val="24"/>
          <w:lang w:val="sq-AL"/>
        </w:rPr>
        <w:t xml:space="preserve"> </w:t>
      </w:r>
      <w:r w:rsidR="00CB3E2D" w:rsidRPr="0032048B">
        <w:rPr>
          <w:sz w:val="24"/>
          <w:szCs w:val="24"/>
          <w:lang w:val="sq-AL"/>
        </w:rPr>
        <w:t>s</w:t>
      </w:r>
      <w:r w:rsidR="00EE18DF" w:rsidRPr="0032048B">
        <w:rPr>
          <w:sz w:val="24"/>
          <w:szCs w:val="24"/>
          <w:lang w:val="sq-AL"/>
        </w:rPr>
        <w:t>ë</w:t>
      </w:r>
      <w:r w:rsidR="00430D50" w:rsidRPr="0032048B">
        <w:rPr>
          <w:sz w:val="24"/>
          <w:szCs w:val="24"/>
          <w:lang w:val="sq-AL"/>
        </w:rPr>
        <w:t xml:space="preserve"> shtet</w:t>
      </w:r>
      <w:r w:rsidR="004D4436" w:rsidRPr="0032048B">
        <w:rPr>
          <w:sz w:val="24"/>
          <w:szCs w:val="24"/>
          <w:lang w:val="sq-AL"/>
        </w:rPr>
        <w:t>ë</w:t>
      </w:r>
      <w:r w:rsidR="00430D50" w:rsidRPr="0032048B">
        <w:rPr>
          <w:sz w:val="24"/>
          <w:szCs w:val="24"/>
          <w:lang w:val="sq-AL"/>
        </w:rPr>
        <w:t>sis</w:t>
      </w:r>
      <w:r w:rsidR="004D4436" w:rsidRPr="0032048B">
        <w:rPr>
          <w:sz w:val="24"/>
          <w:szCs w:val="24"/>
          <w:lang w:val="sq-AL"/>
        </w:rPr>
        <w:t>ë</w:t>
      </w:r>
      <w:r w:rsidR="00430D50" w:rsidRPr="0032048B">
        <w:rPr>
          <w:sz w:val="24"/>
          <w:szCs w:val="24"/>
          <w:lang w:val="sq-AL"/>
        </w:rPr>
        <w:t xml:space="preserve"> p</w:t>
      </w:r>
      <w:r w:rsidR="004D4436" w:rsidRPr="0032048B">
        <w:rPr>
          <w:sz w:val="24"/>
          <w:szCs w:val="24"/>
          <w:lang w:val="sq-AL"/>
        </w:rPr>
        <w:t>ë</w:t>
      </w:r>
      <w:r w:rsidR="00430D50" w:rsidRPr="0032048B">
        <w:rPr>
          <w:sz w:val="24"/>
          <w:szCs w:val="24"/>
          <w:lang w:val="sq-AL"/>
        </w:rPr>
        <w:t>r</w:t>
      </w:r>
      <w:r w:rsidRPr="0032048B">
        <w:rPr>
          <w:sz w:val="24"/>
          <w:szCs w:val="24"/>
          <w:lang w:val="sq-AL"/>
        </w:rPr>
        <w:t xml:space="preserve"> investitorë</w:t>
      </w:r>
      <w:r w:rsidR="00430D50" w:rsidRPr="0032048B">
        <w:rPr>
          <w:sz w:val="24"/>
          <w:szCs w:val="24"/>
          <w:lang w:val="sq-AL"/>
        </w:rPr>
        <w:t>t</w:t>
      </w:r>
      <w:r w:rsidRPr="0032048B">
        <w:rPr>
          <w:sz w:val="24"/>
          <w:szCs w:val="24"/>
          <w:lang w:val="sq-AL"/>
        </w:rPr>
        <w:t xml:space="preserve">. Në </w:t>
      </w:r>
      <w:r w:rsidR="00430D50" w:rsidRPr="0032048B">
        <w:rPr>
          <w:sz w:val="24"/>
          <w:szCs w:val="24"/>
          <w:lang w:val="sq-AL"/>
        </w:rPr>
        <w:t>m</w:t>
      </w:r>
      <w:r w:rsidRPr="0032048B">
        <w:rPr>
          <w:sz w:val="24"/>
          <w:szCs w:val="24"/>
          <w:lang w:val="sq-AL"/>
        </w:rPr>
        <w:t xml:space="preserve">ars 2023, qeveria njoftoi pezullimin e iniciativave në lidhje me krijimin e skemës së </w:t>
      </w:r>
      <w:r w:rsidR="00430D50" w:rsidRPr="0032048B">
        <w:rPr>
          <w:sz w:val="24"/>
          <w:szCs w:val="24"/>
          <w:lang w:val="sq-AL"/>
        </w:rPr>
        <w:t>shtet</w:t>
      </w:r>
      <w:r w:rsidR="004D4436" w:rsidRPr="0032048B">
        <w:rPr>
          <w:sz w:val="24"/>
          <w:szCs w:val="24"/>
          <w:lang w:val="sq-AL"/>
        </w:rPr>
        <w:t>ë</w:t>
      </w:r>
      <w:r w:rsidR="00430D50" w:rsidRPr="0032048B">
        <w:rPr>
          <w:sz w:val="24"/>
          <w:szCs w:val="24"/>
          <w:lang w:val="sq-AL"/>
        </w:rPr>
        <w:t>sis</w:t>
      </w:r>
      <w:r w:rsidR="004D4436" w:rsidRPr="0032048B">
        <w:rPr>
          <w:sz w:val="24"/>
          <w:szCs w:val="24"/>
          <w:lang w:val="sq-AL"/>
        </w:rPr>
        <w:t>ë</w:t>
      </w:r>
      <w:r w:rsidR="00430D50" w:rsidRPr="0032048B">
        <w:rPr>
          <w:sz w:val="24"/>
          <w:szCs w:val="24"/>
          <w:lang w:val="sq-AL"/>
        </w:rPr>
        <w:t xml:space="preserve"> p</w:t>
      </w:r>
      <w:r w:rsidR="004D4436" w:rsidRPr="0032048B">
        <w:rPr>
          <w:sz w:val="24"/>
          <w:szCs w:val="24"/>
          <w:lang w:val="sq-AL"/>
        </w:rPr>
        <w:t>ë</w:t>
      </w:r>
      <w:r w:rsidR="00430D50" w:rsidRPr="0032048B">
        <w:rPr>
          <w:sz w:val="24"/>
          <w:szCs w:val="24"/>
          <w:lang w:val="sq-AL"/>
        </w:rPr>
        <w:t>r</w:t>
      </w:r>
      <w:r w:rsidRPr="0032048B">
        <w:rPr>
          <w:sz w:val="24"/>
          <w:szCs w:val="24"/>
          <w:lang w:val="sq-AL"/>
        </w:rPr>
        <w:t xml:space="preserve"> investitorë</w:t>
      </w:r>
      <w:r w:rsidR="00430D50" w:rsidRPr="0032048B">
        <w:rPr>
          <w:sz w:val="24"/>
          <w:szCs w:val="24"/>
          <w:lang w:val="sq-AL"/>
        </w:rPr>
        <w:t>t</w:t>
      </w:r>
      <w:r w:rsidRPr="0032048B">
        <w:rPr>
          <w:sz w:val="24"/>
          <w:szCs w:val="24"/>
          <w:lang w:val="sq-AL"/>
        </w:rPr>
        <w:t xml:space="preserve">. Si vend kandidat, dhe në përputhje me rekomandimin e Komisionit për këtë çështje në raportin e saj të gjashtë </w:t>
      </w:r>
      <w:r w:rsidR="00CB3E2D" w:rsidRPr="0032048B">
        <w:rPr>
          <w:sz w:val="24"/>
          <w:szCs w:val="24"/>
          <w:lang w:val="sq-AL"/>
        </w:rPr>
        <w:t>p</w:t>
      </w:r>
      <w:r w:rsidR="00EE18DF" w:rsidRPr="0032048B">
        <w:rPr>
          <w:sz w:val="24"/>
          <w:szCs w:val="24"/>
          <w:lang w:val="sq-AL"/>
        </w:rPr>
        <w:t>ë</w:t>
      </w:r>
      <w:r w:rsidR="00CB3E2D" w:rsidRPr="0032048B">
        <w:rPr>
          <w:sz w:val="24"/>
          <w:szCs w:val="24"/>
          <w:lang w:val="sq-AL"/>
        </w:rPr>
        <w:t xml:space="preserve">r </w:t>
      </w:r>
      <w:r w:rsidR="00E247EA" w:rsidRPr="0032048B">
        <w:rPr>
          <w:sz w:val="24"/>
          <w:szCs w:val="24"/>
          <w:lang w:val="sq-AL"/>
        </w:rPr>
        <w:t>Mekanizmin e Pezullimit të Viz</w:t>
      </w:r>
      <w:r w:rsidRPr="0032048B">
        <w:rPr>
          <w:sz w:val="24"/>
          <w:szCs w:val="24"/>
          <w:lang w:val="sq-AL"/>
        </w:rPr>
        <w:t>a</w:t>
      </w:r>
      <w:r w:rsidR="00CB3E2D" w:rsidRPr="0032048B">
        <w:rPr>
          <w:sz w:val="24"/>
          <w:szCs w:val="24"/>
          <w:lang w:val="sq-AL"/>
        </w:rPr>
        <w:t>ve</w:t>
      </w:r>
      <w:r w:rsidR="00CB3E2D" w:rsidRPr="0032048B">
        <w:rPr>
          <w:rStyle w:val="FootnoteReference"/>
          <w:sz w:val="24"/>
          <w:szCs w:val="24"/>
          <w:lang w:val="sq-AL"/>
        </w:rPr>
        <w:footnoteReference w:id="2"/>
      </w:r>
      <w:r w:rsidRPr="0032048B">
        <w:rPr>
          <w:sz w:val="24"/>
          <w:szCs w:val="24"/>
          <w:lang w:val="sq-AL"/>
        </w:rPr>
        <w:t xml:space="preserve">, Shqipëria duhet të përmbahet nga zhvillimi i një skeme të tillë që do të paraqiste rreziqe në lidhje me sigurinë, pastrimin e parave, evazionin taksor, financimin e terrorizmit, </w:t>
      </w:r>
      <w:r w:rsidR="008B3C4C" w:rsidRPr="0032048B">
        <w:rPr>
          <w:sz w:val="24"/>
          <w:szCs w:val="24"/>
          <w:lang w:val="sq-AL"/>
        </w:rPr>
        <w:t>k</w:t>
      </w:r>
      <w:r w:rsidRPr="0032048B">
        <w:rPr>
          <w:sz w:val="24"/>
          <w:szCs w:val="24"/>
          <w:lang w:val="sq-AL"/>
        </w:rPr>
        <w:t>orrupsioni</w:t>
      </w:r>
      <w:r w:rsidR="008B3C4C" w:rsidRPr="0032048B">
        <w:rPr>
          <w:sz w:val="24"/>
          <w:szCs w:val="24"/>
          <w:lang w:val="sq-AL"/>
        </w:rPr>
        <w:t>n</w:t>
      </w:r>
      <w:r w:rsidRPr="0032048B">
        <w:rPr>
          <w:sz w:val="24"/>
          <w:szCs w:val="24"/>
          <w:lang w:val="sq-AL"/>
        </w:rPr>
        <w:t xml:space="preserve"> dhe infiltrimi</w:t>
      </w:r>
      <w:r w:rsidR="008B3C4C" w:rsidRPr="0032048B">
        <w:rPr>
          <w:sz w:val="24"/>
          <w:szCs w:val="24"/>
          <w:lang w:val="sq-AL"/>
        </w:rPr>
        <w:t>n</w:t>
      </w:r>
      <w:r w:rsidRPr="0032048B">
        <w:rPr>
          <w:sz w:val="24"/>
          <w:szCs w:val="24"/>
          <w:lang w:val="sq-AL"/>
        </w:rPr>
        <w:t xml:space="preserve"> </w:t>
      </w:r>
      <w:r w:rsidR="00CB3E2D" w:rsidRPr="0032048B">
        <w:rPr>
          <w:sz w:val="24"/>
          <w:szCs w:val="24"/>
          <w:lang w:val="sq-AL"/>
        </w:rPr>
        <w:t>e</w:t>
      </w:r>
      <w:r w:rsidRPr="0032048B">
        <w:rPr>
          <w:sz w:val="24"/>
          <w:szCs w:val="24"/>
          <w:lang w:val="sq-AL"/>
        </w:rPr>
        <w:t xml:space="preserve"> krimi</w:t>
      </w:r>
      <w:r w:rsidR="00CB3E2D" w:rsidRPr="0032048B">
        <w:rPr>
          <w:sz w:val="24"/>
          <w:szCs w:val="24"/>
          <w:lang w:val="sq-AL"/>
        </w:rPr>
        <w:t>t e organizuar, dhe do të ishte e papajtuesh</w:t>
      </w:r>
      <w:r w:rsidRPr="0032048B">
        <w:rPr>
          <w:sz w:val="24"/>
          <w:szCs w:val="24"/>
          <w:lang w:val="sq-AL"/>
        </w:rPr>
        <w:t>m</w:t>
      </w:r>
      <w:r w:rsidR="00CB3E2D" w:rsidRPr="0032048B">
        <w:rPr>
          <w:sz w:val="24"/>
          <w:szCs w:val="24"/>
          <w:lang w:val="sq-AL"/>
        </w:rPr>
        <w:t>e</w:t>
      </w:r>
      <w:r w:rsidRPr="0032048B">
        <w:rPr>
          <w:sz w:val="24"/>
          <w:szCs w:val="24"/>
          <w:lang w:val="sq-AL"/>
        </w:rPr>
        <w:t xml:space="preserve"> me </w:t>
      </w:r>
      <w:proofErr w:type="spellStart"/>
      <w:r w:rsidRPr="0032048B">
        <w:rPr>
          <w:i/>
          <w:iCs/>
          <w:sz w:val="24"/>
          <w:szCs w:val="24"/>
          <w:lang w:val="sq-AL"/>
        </w:rPr>
        <w:t>acquis</w:t>
      </w:r>
      <w:proofErr w:type="spellEnd"/>
      <w:r w:rsidRPr="0032048B">
        <w:rPr>
          <w:sz w:val="24"/>
          <w:szCs w:val="24"/>
          <w:lang w:val="sq-AL"/>
        </w:rPr>
        <w:t xml:space="preserve"> e BE-së.</w:t>
      </w:r>
    </w:p>
    <w:p w14:paraId="3011379A" w14:textId="77777777" w:rsidR="00E6279B" w:rsidRPr="0032048B" w:rsidRDefault="00E6279B" w:rsidP="00E6279B">
      <w:pPr>
        <w:tabs>
          <w:tab w:val="left" w:pos="1700"/>
        </w:tabs>
        <w:spacing w:before="119"/>
        <w:jc w:val="both"/>
        <w:outlineLvl w:val="0"/>
        <w:rPr>
          <w:b/>
          <w:bCs/>
          <w:sz w:val="24"/>
          <w:szCs w:val="24"/>
          <w:lang w:val="sq-AL"/>
        </w:rPr>
      </w:pPr>
    </w:p>
    <w:p w14:paraId="0A65783A" w14:textId="4C8BF3B5" w:rsidR="00E6279B" w:rsidRPr="0032048B" w:rsidRDefault="00E6279B" w:rsidP="00E6279B">
      <w:pPr>
        <w:numPr>
          <w:ilvl w:val="2"/>
          <w:numId w:val="4"/>
        </w:numPr>
        <w:tabs>
          <w:tab w:val="left" w:pos="1700"/>
        </w:tabs>
        <w:spacing w:before="119"/>
        <w:jc w:val="both"/>
        <w:outlineLvl w:val="0"/>
        <w:rPr>
          <w:b/>
          <w:bCs/>
          <w:sz w:val="24"/>
          <w:szCs w:val="24"/>
          <w:lang w:val="sq-AL"/>
        </w:rPr>
      </w:pPr>
      <w:r w:rsidRPr="0032048B">
        <w:rPr>
          <w:b/>
          <w:bCs/>
          <w:spacing w:val="-2"/>
          <w:sz w:val="24"/>
          <w:szCs w:val="24"/>
          <w:lang w:val="sq-AL"/>
        </w:rPr>
        <w:t>Kapitulli 24: Drejtësia, liria dhe siguria</w:t>
      </w:r>
    </w:p>
    <w:p w14:paraId="71C1FE1E" w14:textId="77777777" w:rsidR="00E6279B" w:rsidRPr="0032048B" w:rsidRDefault="00E6279B" w:rsidP="00E6279B">
      <w:pPr>
        <w:spacing w:before="120"/>
        <w:ind w:left="980" w:right="977"/>
        <w:jc w:val="both"/>
        <w:rPr>
          <w:i/>
          <w:sz w:val="24"/>
          <w:highlight w:val="yellow"/>
          <w:lang w:val="sq-AL"/>
        </w:rPr>
      </w:pPr>
      <w:r w:rsidRPr="0032048B">
        <w:rPr>
          <w:i/>
          <w:sz w:val="24"/>
          <w:lang w:val="sq-AL"/>
        </w:rPr>
        <w:t xml:space="preserve">BE-ja ka rregulla të përbashkëta për kontrollin e kufirit, vizat, lejet e qëndrimit dhe të punës, migracionin e jashtëm dhe azilin. Bashkëpunimi </w:t>
      </w:r>
      <w:proofErr w:type="spellStart"/>
      <w:r w:rsidRPr="0032048B">
        <w:rPr>
          <w:i/>
          <w:sz w:val="24"/>
          <w:lang w:val="sq-AL"/>
        </w:rPr>
        <w:t>Shengen</w:t>
      </w:r>
      <w:proofErr w:type="spellEnd"/>
      <w:r w:rsidRPr="0032048B">
        <w:rPr>
          <w:i/>
          <w:sz w:val="24"/>
          <w:lang w:val="sq-AL"/>
        </w:rPr>
        <w:t xml:space="preserve"> nënkupton heqjen e kontrolleve kufitare brenda BE-së. Shtetet Anëtare bashkëpunojnë me Shqipërinë në luftën kundër krimit të organizuar, korrupsionit dhe terrorizmit, dhe në çështjet gjyqësore, policore dhe doganore, me mbështetjen e Agjencive të BE-së për Drejtësinë dhe Çështjet e Brendshme. </w:t>
      </w:r>
    </w:p>
    <w:p w14:paraId="7D47E5A1" w14:textId="3FB04C23" w:rsidR="00E6279B" w:rsidRPr="0032048B" w:rsidRDefault="00E6279B" w:rsidP="00F93B31">
      <w:pPr>
        <w:spacing w:before="5"/>
        <w:rPr>
          <w:i/>
          <w:sz w:val="8"/>
          <w:szCs w:val="24"/>
          <w:highlight w:val="yellow"/>
          <w:lang w:val="sq-AL"/>
        </w:rPr>
        <w:sectPr w:rsidR="00E6279B" w:rsidRPr="0032048B" w:rsidSect="004D53EC">
          <w:type w:val="continuous"/>
          <w:pgSz w:w="11910" w:h="16840"/>
          <w:pgMar w:top="1360" w:right="460" w:bottom="1260" w:left="460" w:header="0" w:footer="1248" w:gutter="0"/>
          <w:cols w:space="720"/>
        </w:sectPr>
      </w:pPr>
      <w:bookmarkStart w:id="27" w:name="_bookmark12"/>
      <w:bookmarkEnd w:id="27"/>
      <w:r w:rsidRPr="0032048B">
        <w:rPr>
          <w:sz w:val="24"/>
          <w:szCs w:val="24"/>
          <w:highlight w:val="yellow"/>
          <w:lang w:val="sq-AL"/>
        </w:rPr>
        <w:lastRenderedPageBreak/>
        <mc:AlternateContent>
          <mc:Choice Requires="wpg">
            <w:drawing>
              <wp:anchor distT="0" distB="0" distL="0" distR="0" simplePos="0" relativeHeight="251665408" behindDoc="1" locked="0" layoutInCell="1" allowOverlap="1" wp14:anchorId="3AB7A36C" wp14:editId="77B31CB3">
                <wp:simplePos x="0" y="0"/>
                <wp:positionH relativeFrom="page">
                  <wp:posOffset>838200</wp:posOffset>
                </wp:positionH>
                <wp:positionV relativeFrom="paragraph">
                  <wp:posOffset>79375</wp:posOffset>
                </wp:positionV>
                <wp:extent cx="5835650" cy="8010525"/>
                <wp:effectExtent l="0" t="0" r="0" b="9525"/>
                <wp:wrapTopAndBottom/>
                <wp:docPr id="615065130" name="Group 615065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35650" cy="8010525"/>
                          <a:chOff x="0" y="0"/>
                          <a:chExt cx="5835650" cy="1672346"/>
                        </a:xfrm>
                      </wpg:grpSpPr>
                      <wps:wsp>
                        <wps:cNvPr id="1958767439" name="Graphic 7"/>
                        <wps:cNvSpPr/>
                        <wps:spPr>
                          <a:xfrm>
                            <a:off x="6095" y="6108"/>
                            <a:ext cx="5823585" cy="187960"/>
                          </a:xfrm>
                          <a:custGeom>
                            <a:avLst/>
                            <a:gdLst/>
                            <a:ahLst/>
                            <a:cxnLst/>
                            <a:rect l="l" t="t" r="r" b="b"/>
                            <a:pathLst>
                              <a:path w="5823585" h="187960">
                                <a:moveTo>
                                  <a:pt x="5823203" y="0"/>
                                </a:moveTo>
                                <a:lnTo>
                                  <a:pt x="0" y="0"/>
                                </a:lnTo>
                                <a:lnTo>
                                  <a:pt x="0" y="187452"/>
                                </a:lnTo>
                                <a:lnTo>
                                  <a:pt x="5823203" y="187452"/>
                                </a:lnTo>
                                <a:lnTo>
                                  <a:pt x="5823203" y="0"/>
                                </a:lnTo>
                                <a:close/>
                              </a:path>
                            </a:pathLst>
                          </a:custGeom>
                          <a:solidFill>
                            <a:srgbClr val="D9D9D9"/>
                          </a:solidFill>
                        </wps:spPr>
                        <wps:bodyPr wrap="square" lIns="0" tIns="0" rIns="0" bIns="0" rtlCol="0">
                          <a:prstTxWarp prst="textNoShape">
                            <a:avLst/>
                          </a:prstTxWarp>
                          <a:noAutofit/>
                        </wps:bodyPr>
                      </wps:wsp>
                      <wps:wsp>
                        <wps:cNvPr id="1669054786" name="Graphic 8"/>
                        <wps:cNvSpPr/>
                        <wps:spPr>
                          <a:xfrm>
                            <a:off x="0" y="0"/>
                            <a:ext cx="5835650" cy="193675"/>
                          </a:xfrm>
                          <a:custGeom>
                            <a:avLst/>
                            <a:gdLst/>
                            <a:ahLst/>
                            <a:cxnLst/>
                            <a:rect l="l" t="t" r="r" b="b"/>
                            <a:pathLst>
                              <a:path w="5835650" h="193675">
                                <a:moveTo>
                                  <a:pt x="5835396" y="0"/>
                                </a:moveTo>
                                <a:lnTo>
                                  <a:pt x="5829300" y="0"/>
                                </a:lnTo>
                                <a:lnTo>
                                  <a:pt x="6096" y="0"/>
                                </a:lnTo>
                                <a:lnTo>
                                  <a:pt x="0" y="0"/>
                                </a:lnTo>
                                <a:lnTo>
                                  <a:pt x="0" y="6108"/>
                                </a:lnTo>
                                <a:lnTo>
                                  <a:pt x="0" y="193560"/>
                                </a:lnTo>
                                <a:lnTo>
                                  <a:pt x="6096" y="193560"/>
                                </a:lnTo>
                                <a:lnTo>
                                  <a:pt x="6096" y="6108"/>
                                </a:lnTo>
                                <a:lnTo>
                                  <a:pt x="5829300" y="6108"/>
                                </a:lnTo>
                                <a:lnTo>
                                  <a:pt x="5829300" y="193560"/>
                                </a:lnTo>
                                <a:lnTo>
                                  <a:pt x="5835396" y="193560"/>
                                </a:lnTo>
                                <a:lnTo>
                                  <a:pt x="5835396" y="6108"/>
                                </a:lnTo>
                                <a:lnTo>
                                  <a:pt x="5835396" y="0"/>
                                </a:lnTo>
                                <a:close/>
                              </a:path>
                            </a:pathLst>
                          </a:custGeom>
                          <a:solidFill>
                            <a:srgbClr val="000000"/>
                          </a:solidFill>
                        </wps:spPr>
                        <wps:bodyPr wrap="square" lIns="0" tIns="0" rIns="0" bIns="0" rtlCol="0">
                          <a:prstTxWarp prst="textNoShape">
                            <a:avLst/>
                          </a:prstTxWarp>
                          <a:noAutofit/>
                        </wps:bodyPr>
                      </wps:wsp>
                      <wps:wsp>
                        <wps:cNvPr id="1579766383" name="Graphic 9"/>
                        <wps:cNvSpPr/>
                        <wps:spPr>
                          <a:xfrm>
                            <a:off x="6095" y="193560"/>
                            <a:ext cx="5823585" cy="175260"/>
                          </a:xfrm>
                          <a:custGeom>
                            <a:avLst/>
                            <a:gdLst/>
                            <a:ahLst/>
                            <a:cxnLst/>
                            <a:rect l="l" t="t" r="r" b="b"/>
                            <a:pathLst>
                              <a:path w="5823585" h="175260">
                                <a:moveTo>
                                  <a:pt x="5823203" y="0"/>
                                </a:moveTo>
                                <a:lnTo>
                                  <a:pt x="0" y="0"/>
                                </a:lnTo>
                                <a:lnTo>
                                  <a:pt x="0" y="175260"/>
                                </a:lnTo>
                                <a:lnTo>
                                  <a:pt x="5823203" y="175260"/>
                                </a:lnTo>
                                <a:lnTo>
                                  <a:pt x="5823203" y="0"/>
                                </a:lnTo>
                                <a:close/>
                              </a:path>
                            </a:pathLst>
                          </a:custGeom>
                          <a:solidFill>
                            <a:srgbClr val="D9D9D9"/>
                          </a:solidFill>
                        </wps:spPr>
                        <wps:bodyPr wrap="square" lIns="0" tIns="0" rIns="0" bIns="0" rtlCol="0">
                          <a:prstTxWarp prst="textNoShape">
                            <a:avLst/>
                          </a:prstTxWarp>
                          <a:noAutofit/>
                        </wps:bodyPr>
                      </wps:wsp>
                      <wps:wsp>
                        <wps:cNvPr id="1717978065" name="Graphic 10"/>
                        <wps:cNvSpPr/>
                        <wps:spPr>
                          <a:xfrm>
                            <a:off x="0" y="193560"/>
                            <a:ext cx="5835650" cy="175260"/>
                          </a:xfrm>
                          <a:custGeom>
                            <a:avLst/>
                            <a:gdLst/>
                            <a:ahLst/>
                            <a:cxnLst/>
                            <a:rect l="l" t="t" r="r" b="b"/>
                            <a:pathLst>
                              <a:path w="5835650" h="175260">
                                <a:moveTo>
                                  <a:pt x="6096" y="0"/>
                                </a:moveTo>
                                <a:lnTo>
                                  <a:pt x="0" y="0"/>
                                </a:lnTo>
                                <a:lnTo>
                                  <a:pt x="0" y="175260"/>
                                </a:lnTo>
                                <a:lnTo>
                                  <a:pt x="6096" y="175260"/>
                                </a:lnTo>
                                <a:lnTo>
                                  <a:pt x="6096" y="0"/>
                                </a:lnTo>
                                <a:close/>
                              </a:path>
                              <a:path w="5835650" h="175260">
                                <a:moveTo>
                                  <a:pt x="5835396" y="0"/>
                                </a:moveTo>
                                <a:lnTo>
                                  <a:pt x="5829300" y="0"/>
                                </a:lnTo>
                                <a:lnTo>
                                  <a:pt x="5829300" y="175260"/>
                                </a:lnTo>
                                <a:lnTo>
                                  <a:pt x="5835396" y="175260"/>
                                </a:lnTo>
                                <a:lnTo>
                                  <a:pt x="5835396" y="0"/>
                                </a:lnTo>
                                <a:close/>
                              </a:path>
                            </a:pathLst>
                          </a:custGeom>
                          <a:solidFill>
                            <a:srgbClr val="000000"/>
                          </a:solidFill>
                        </wps:spPr>
                        <wps:bodyPr wrap="square" lIns="0" tIns="0" rIns="0" bIns="0" rtlCol="0">
                          <a:prstTxWarp prst="textNoShape">
                            <a:avLst/>
                          </a:prstTxWarp>
                          <a:noAutofit/>
                        </wps:bodyPr>
                      </wps:wsp>
                      <wps:wsp>
                        <wps:cNvPr id="181737626" name="Graphic 11"/>
                        <wps:cNvSpPr/>
                        <wps:spPr>
                          <a:xfrm>
                            <a:off x="6095" y="368820"/>
                            <a:ext cx="5823585" cy="175260"/>
                          </a:xfrm>
                          <a:custGeom>
                            <a:avLst/>
                            <a:gdLst/>
                            <a:ahLst/>
                            <a:cxnLst/>
                            <a:rect l="l" t="t" r="r" b="b"/>
                            <a:pathLst>
                              <a:path w="5823585" h="175260">
                                <a:moveTo>
                                  <a:pt x="5823203" y="0"/>
                                </a:moveTo>
                                <a:lnTo>
                                  <a:pt x="0" y="0"/>
                                </a:lnTo>
                                <a:lnTo>
                                  <a:pt x="0" y="175259"/>
                                </a:lnTo>
                                <a:lnTo>
                                  <a:pt x="5823203" y="175259"/>
                                </a:lnTo>
                                <a:lnTo>
                                  <a:pt x="5823203" y="0"/>
                                </a:lnTo>
                                <a:close/>
                              </a:path>
                            </a:pathLst>
                          </a:custGeom>
                          <a:solidFill>
                            <a:srgbClr val="D9D9D9"/>
                          </a:solidFill>
                        </wps:spPr>
                        <wps:bodyPr wrap="square" lIns="0" tIns="0" rIns="0" bIns="0" rtlCol="0">
                          <a:prstTxWarp prst="textNoShape">
                            <a:avLst/>
                          </a:prstTxWarp>
                          <a:noAutofit/>
                        </wps:bodyPr>
                      </wps:wsp>
                      <wps:wsp>
                        <wps:cNvPr id="569364458" name="Graphic 12"/>
                        <wps:cNvSpPr/>
                        <wps:spPr>
                          <a:xfrm>
                            <a:off x="0" y="368820"/>
                            <a:ext cx="5835650" cy="175260"/>
                          </a:xfrm>
                          <a:custGeom>
                            <a:avLst/>
                            <a:gdLst/>
                            <a:ahLst/>
                            <a:cxnLst/>
                            <a:rect l="l" t="t" r="r" b="b"/>
                            <a:pathLst>
                              <a:path w="5835650" h="175260">
                                <a:moveTo>
                                  <a:pt x="6096" y="0"/>
                                </a:moveTo>
                                <a:lnTo>
                                  <a:pt x="0" y="0"/>
                                </a:lnTo>
                                <a:lnTo>
                                  <a:pt x="0" y="175260"/>
                                </a:lnTo>
                                <a:lnTo>
                                  <a:pt x="6096" y="175260"/>
                                </a:lnTo>
                                <a:lnTo>
                                  <a:pt x="6096" y="0"/>
                                </a:lnTo>
                                <a:close/>
                              </a:path>
                              <a:path w="5835650" h="175260">
                                <a:moveTo>
                                  <a:pt x="5835396" y="0"/>
                                </a:moveTo>
                                <a:lnTo>
                                  <a:pt x="5829300" y="0"/>
                                </a:lnTo>
                                <a:lnTo>
                                  <a:pt x="5829300" y="175260"/>
                                </a:lnTo>
                                <a:lnTo>
                                  <a:pt x="5835396" y="175260"/>
                                </a:lnTo>
                                <a:lnTo>
                                  <a:pt x="5835396" y="0"/>
                                </a:lnTo>
                                <a:close/>
                              </a:path>
                            </a:pathLst>
                          </a:custGeom>
                          <a:solidFill>
                            <a:srgbClr val="000000"/>
                          </a:solidFill>
                        </wps:spPr>
                        <wps:bodyPr wrap="square" lIns="0" tIns="0" rIns="0" bIns="0" rtlCol="0">
                          <a:prstTxWarp prst="textNoShape">
                            <a:avLst/>
                          </a:prstTxWarp>
                          <a:noAutofit/>
                        </wps:bodyPr>
                      </wps:wsp>
                      <wps:wsp>
                        <wps:cNvPr id="656998246" name="Graphic 13"/>
                        <wps:cNvSpPr/>
                        <wps:spPr>
                          <a:xfrm>
                            <a:off x="6095" y="544080"/>
                            <a:ext cx="5823585" cy="175260"/>
                          </a:xfrm>
                          <a:custGeom>
                            <a:avLst/>
                            <a:gdLst/>
                            <a:ahLst/>
                            <a:cxnLst/>
                            <a:rect l="l" t="t" r="r" b="b"/>
                            <a:pathLst>
                              <a:path w="5823585" h="175260">
                                <a:moveTo>
                                  <a:pt x="5823203" y="0"/>
                                </a:moveTo>
                                <a:lnTo>
                                  <a:pt x="0" y="0"/>
                                </a:lnTo>
                                <a:lnTo>
                                  <a:pt x="0" y="175260"/>
                                </a:lnTo>
                                <a:lnTo>
                                  <a:pt x="5823203" y="175260"/>
                                </a:lnTo>
                                <a:lnTo>
                                  <a:pt x="5823203" y="0"/>
                                </a:lnTo>
                                <a:close/>
                              </a:path>
                            </a:pathLst>
                          </a:custGeom>
                          <a:solidFill>
                            <a:srgbClr val="D9D9D9"/>
                          </a:solidFill>
                        </wps:spPr>
                        <wps:bodyPr wrap="square" lIns="0" tIns="0" rIns="0" bIns="0" rtlCol="0">
                          <a:prstTxWarp prst="textNoShape">
                            <a:avLst/>
                          </a:prstTxWarp>
                          <a:noAutofit/>
                        </wps:bodyPr>
                      </wps:wsp>
                      <wps:wsp>
                        <wps:cNvPr id="675891528" name="Graphic 14"/>
                        <wps:cNvSpPr/>
                        <wps:spPr>
                          <a:xfrm>
                            <a:off x="0" y="544067"/>
                            <a:ext cx="5835650" cy="175895"/>
                          </a:xfrm>
                          <a:custGeom>
                            <a:avLst/>
                            <a:gdLst/>
                            <a:ahLst/>
                            <a:cxnLst/>
                            <a:rect l="l" t="t" r="r" b="b"/>
                            <a:pathLst>
                              <a:path w="5835650" h="175895">
                                <a:moveTo>
                                  <a:pt x="6096" y="0"/>
                                </a:moveTo>
                                <a:lnTo>
                                  <a:pt x="0" y="0"/>
                                </a:lnTo>
                                <a:lnTo>
                                  <a:pt x="0" y="175272"/>
                                </a:lnTo>
                                <a:lnTo>
                                  <a:pt x="6096" y="175272"/>
                                </a:lnTo>
                                <a:lnTo>
                                  <a:pt x="6096" y="0"/>
                                </a:lnTo>
                                <a:close/>
                              </a:path>
                              <a:path w="5835650" h="175895">
                                <a:moveTo>
                                  <a:pt x="5835396" y="0"/>
                                </a:moveTo>
                                <a:lnTo>
                                  <a:pt x="5829300" y="0"/>
                                </a:lnTo>
                                <a:lnTo>
                                  <a:pt x="5829300" y="175272"/>
                                </a:lnTo>
                                <a:lnTo>
                                  <a:pt x="5835396" y="175272"/>
                                </a:lnTo>
                                <a:lnTo>
                                  <a:pt x="5835396" y="0"/>
                                </a:lnTo>
                                <a:close/>
                              </a:path>
                            </a:pathLst>
                          </a:custGeom>
                          <a:solidFill>
                            <a:srgbClr val="000000"/>
                          </a:solidFill>
                        </wps:spPr>
                        <wps:bodyPr wrap="square" lIns="0" tIns="0" rIns="0" bIns="0" rtlCol="0">
                          <a:prstTxWarp prst="textNoShape">
                            <a:avLst/>
                          </a:prstTxWarp>
                          <a:noAutofit/>
                        </wps:bodyPr>
                      </wps:wsp>
                      <wps:wsp>
                        <wps:cNvPr id="535627135" name="Graphic 15"/>
                        <wps:cNvSpPr/>
                        <wps:spPr>
                          <a:xfrm>
                            <a:off x="6095" y="719340"/>
                            <a:ext cx="5823585" cy="175260"/>
                          </a:xfrm>
                          <a:custGeom>
                            <a:avLst/>
                            <a:gdLst/>
                            <a:ahLst/>
                            <a:cxnLst/>
                            <a:rect l="l" t="t" r="r" b="b"/>
                            <a:pathLst>
                              <a:path w="5823585" h="175260">
                                <a:moveTo>
                                  <a:pt x="5823203" y="0"/>
                                </a:moveTo>
                                <a:lnTo>
                                  <a:pt x="0" y="0"/>
                                </a:lnTo>
                                <a:lnTo>
                                  <a:pt x="0" y="175260"/>
                                </a:lnTo>
                                <a:lnTo>
                                  <a:pt x="5823203" y="175260"/>
                                </a:lnTo>
                                <a:lnTo>
                                  <a:pt x="5823203" y="0"/>
                                </a:lnTo>
                                <a:close/>
                              </a:path>
                            </a:pathLst>
                          </a:custGeom>
                          <a:solidFill>
                            <a:srgbClr val="D9D9D9"/>
                          </a:solidFill>
                        </wps:spPr>
                        <wps:bodyPr wrap="square" lIns="0" tIns="0" rIns="0" bIns="0" rtlCol="0">
                          <a:prstTxWarp prst="textNoShape">
                            <a:avLst/>
                          </a:prstTxWarp>
                          <a:noAutofit/>
                        </wps:bodyPr>
                      </wps:wsp>
                      <wps:wsp>
                        <wps:cNvPr id="559107698" name="Graphic 16"/>
                        <wps:cNvSpPr/>
                        <wps:spPr>
                          <a:xfrm>
                            <a:off x="0" y="719340"/>
                            <a:ext cx="5835650" cy="175260"/>
                          </a:xfrm>
                          <a:custGeom>
                            <a:avLst/>
                            <a:gdLst/>
                            <a:ahLst/>
                            <a:cxnLst/>
                            <a:rect l="l" t="t" r="r" b="b"/>
                            <a:pathLst>
                              <a:path w="5835650" h="175260">
                                <a:moveTo>
                                  <a:pt x="6096" y="0"/>
                                </a:moveTo>
                                <a:lnTo>
                                  <a:pt x="0" y="0"/>
                                </a:lnTo>
                                <a:lnTo>
                                  <a:pt x="0" y="175260"/>
                                </a:lnTo>
                                <a:lnTo>
                                  <a:pt x="6096" y="175260"/>
                                </a:lnTo>
                                <a:lnTo>
                                  <a:pt x="6096" y="0"/>
                                </a:lnTo>
                                <a:close/>
                              </a:path>
                              <a:path w="5835650" h="175260">
                                <a:moveTo>
                                  <a:pt x="5835396" y="0"/>
                                </a:moveTo>
                                <a:lnTo>
                                  <a:pt x="5829300" y="0"/>
                                </a:lnTo>
                                <a:lnTo>
                                  <a:pt x="5829300" y="175260"/>
                                </a:lnTo>
                                <a:lnTo>
                                  <a:pt x="5835396" y="175260"/>
                                </a:lnTo>
                                <a:lnTo>
                                  <a:pt x="5835396" y="0"/>
                                </a:lnTo>
                                <a:close/>
                              </a:path>
                            </a:pathLst>
                          </a:custGeom>
                          <a:solidFill>
                            <a:srgbClr val="000000"/>
                          </a:solidFill>
                        </wps:spPr>
                        <wps:bodyPr wrap="square" lIns="0" tIns="0" rIns="0" bIns="0" rtlCol="0">
                          <a:prstTxWarp prst="textNoShape">
                            <a:avLst/>
                          </a:prstTxWarp>
                          <a:noAutofit/>
                        </wps:bodyPr>
                      </wps:wsp>
                      <wps:wsp>
                        <wps:cNvPr id="656769027" name="Graphic 17"/>
                        <wps:cNvSpPr/>
                        <wps:spPr>
                          <a:xfrm>
                            <a:off x="6095" y="894600"/>
                            <a:ext cx="5823585" cy="251460"/>
                          </a:xfrm>
                          <a:custGeom>
                            <a:avLst/>
                            <a:gdLst/>
                            <a:ahLst/>
                            <a:cxnLst/>
                            <a:rect l="l" t="t" r="r" b="b"/>
                            <a:pathLst>
                              <a:path w="5823585" h="251460">
                                <a:moveTo>
                                  <a:pt x="5823203" y="0"/>
                                </a:moveTo>
                                <a:lnTo>
                                  <a:pt x="0" y="0"/>
                                </a:lnTo>
                                <a:lnTo>
                                  <a:pt x="0" y="251459"/>
                                </a:lnTo>
                                <a:lnTo>
                                  <a:pt x="5823203" y="251459"/>
                                </a:lnTo>
                                <a:lnTo>
                                  <a:pt x="5823203" y="0"/>
                                </a:lnTo>
                                <a:close/>
                              </a:path>
                            </a:pathLst>
                          </a:custGeom>
                          <a:solidFill>
                            <a:srgbClr val="D9D9D9"/>
                          </a:solidFill>
                        </wps:spPr>
                        <wps:bodyPr wrap="square" lIns="0" tIns="0" rIns="0" bIns="0" rtlCol="0">
                          <a:prstTxWarp prst="textNoShape">
                            <a:avLst/>
                          </a:prstTxWarp>
                          <a:noAutofit/>
                        </wps:bodyPr>
                      </wps:wsp>
                      <wps:wsp>
                        <wps:cNvPr id="1744671841" name="Graphic 18"/>
                        <wps:cNvSpPr/>
                        <wps:spPr>
                          <a:xfrm>
                            <a:off x="0" y="894600"/>
                            <a:ext cx="5835650" cy="251460"/>
                          </a:xfrm>
                          <a:custGeom>
                            <a:avLst/>
                            <a:gdLst/>
                            <a:ahLst/>
                            <a:cxnLst/>
                            <a:rect l="l" t="t" r="r" b="b"/>
                            <a:pathLst>
                              <a:path w="5835650" h="251460">
                                <a:moveTo>
                                  <a:pt x="6096" y="0"/>
                                </a:moveTo>
                                <a:lnTo>
                                  <a:pt x="0" y="0"/>
                                </a:lnTo>
                                <a:lnTo>
                                  <a:pt x="0" y="251460"/>
                                </a:lnTo>
                                <a:lnTo>
                                  <a:pt x="6096" y="251460"/>
                                </a:lnTo>
                                <a:lnTo>
                                  <a:pt x="6096" y="0"/>
                                </a:lnTo>
                                <a:close/>
                              </a:path>
                              <a:path w="5835650" h="251460">
                                <a:moveTo>
                                  <a:pt x="5835396" y="0"/>
                                </a:moveTo>
                                <a:lnTo>
                                  <a:pt x="5829300" y="0"/>
                                </a:lnTo>
                                <a:lnTo>
                                  <a:pt x="5829300" y="251460"/>
                                </a:lnTo>
                                <a:lnTo>
                                  <a:pt x="5835396" y="251460"/>
                                </a:lnTo>
                                <a:lnTo>
                                  <a:pt x="5835396" y="0"/>
                                </a:lnTo>
                                <a:close/>
                              </a:path>
                            </a:pathLst>
                          </a:custGeom>
                          <a:solidFill>
                            <a:srgbClr val="000000"/>
                          </a:solidFill>
                        </wps:spPr>
                        <wps:bodyPr wrap="square" lIns="0" tIns="0" rIns="0" bIns="0" rtlCol="0">
                          <a:prstTxWarp prst="textNoShape">
                            <a:avLst/>
                          </a:prstTxWarp>
                          <a:noAutofit/>
                        </wps:bodyPr>
                      </wps:wsp>
                      <wps:wsp>
                        <wps:cNvPr id="50607443" name="Graphic 19"/>
                        <wps:cNvSpPr/>
                        <wps:spPr>
                          <a:xfrm>
                            <a:off x="6095" y="1146060"/>
                            <a:ext cx="5823585" cy="175260"/>
                          </a:xfrm>
                          <a:custGeom>
                            <a:avLst/>
                            <a:gdLst/>
                            <a:ahLst/>
                            <a:cxnLst/>
                            <a:rect l="l" t="t" r="r" b="b"/>
                            <a:pathLst>
                              <a:path w="5823585" h="175260">
                                <a:moveTo>
                                  <a:pt x="5823203" y="0"/>
                                </a:moveTo>
                                <a:lnTo>
                                  <a:pt x="0" y="0"/>
                                </a:lnTo>
                                <a:lnTo>
                                  <a:pt x="0" y="175260"/>
                                </a:lnTo>
                                <a:lnTo>
                                  <a:pt x="5823203" y="175260"/>
                                </a:lnTo>
                                <a:lnTo>
                                  <a:pt x="5823203" y="0"/>
                                </a:lnTo>
                                <a:close/>
                              </a:path>
                            </a:pathLst>
                          </a:custGeom>
                          <a:solidFill>
                            <a:srgbClr val="D9D9D9"/>
                          </a:solidFill>
                        </wps:spPr>
                        <wps:bodyPr wrap="square" lIns="0" tIns="0" rIns="0" bIns="0" rtlCol="0">
                          <a:prstTxWarp prst="textNoShape">
                            <a:avLst/>
                          </a:prstTxWarp>
                          <a:noAutofit/>
                        </wps:bodyPr>
                      </wps:wsp>
                      <wps:wsp>
                        <wps:cNvPr id="175312720" name="Graphic 20"/>
                        <wps:cNvSpPr/>
                        <wps:spPr>
                          <a:xfrm>
                            <a:off x="0" y="1146060"/>
                            <a:ext cx="5835650" cy="175260"/>
                          </a:xfrm>
                          <a:custGeom>
                            <a:avLst/>
                            <a:gdLst/>
                            <a:ahLst/>
                            <a:cxnLst/>
                            <a:rect l="l" t="t" r="r" b="b"/>
                            <a:pathLst>
                              <a:path w="5835650" h="175260">
                                <a:moveTo>
                                  <a:pt x="6096" y="0"/>
                                </a:moveTo>
                                <a:lnTo>
                                  <a:pt x="0" y="0"/>
                                </a:lnTo>
                                <a:lnTo>
                                  <a:pt x="0" y="175260"/>
                                </a:lnTo>
                                <a:lnTo>
                                  <a:pt x="6096" y="175260"/>
                                </a:lnTo>
                                <a:lnTo>
                                  <a:pt x="6096" y="0"/>
                                </a:lnTo>
                                <a:close/>
                              </a:path>
                              <a:path w="5835650" h="175260">
                                <a:moveTo>
                                  <a:pt x="5835396" y="0"/>
                                </a:moveTo>
                                <a:lnTo>
                                  <a:pt x="5829300" y="0"/>
                                </a:lnTo>
                                <a:lnTo>
                                  <a:pt x="5829300" y="175260"/>
                                </a:lnTo>
                                <a:lnTo>
                                  <a:pt x="5835396" y="175260"/>
                                </a:lnTo>
                                <a:lnTo>
                                  <a:pt x="5835396" y="0"/>
                                </a:lnTo>
                                <a:close/>
                              </a:path>
                            </a:pathLst>
                          </a:custGeom>
                          <a:solidFill>
                            <a:srgbClr val="000000"/>
                          </a:solidFill>
                        </wps:spPr>
                        <wps:bodyPr wrap="square" lIns="0" tIns="0" rIns="0" bIns="0" rtlCol="0">
                          <a:prstTxWarp prst="textNoShape">
                            <a:avLst/>
                          </a:prstTxWarp>
                          <a:noAutofit/>
                        </wps:bodyPr>
                      </wps:wsp>
                      <wps:wsp>
                        <wps:cNvPr id="2112010954" name="Graphic 21"/>
                        <wps:cNvSpPr/>
                        <wps:spPr>
                          <a:xfrm>
                            <a:off x="6095" y="1321320"/>
                            <a:ext cx="5823585" cy="175260"/>
                          </a:xfrm>
                          <a:custGeom>
                            <a:avLst/>
                            <a:gdLst/>
                            <a:ahLst/>
                            <a:cxnLst/>
                            <a:rect l="l" t="t" r="r" b="b"/>
                            <a:pathLst>
                              <a:path w="5823585" h="175260">
                                <a:moveTo>
                                  <a:pt x="5823203" y="0"/>
                                </a:moveTo>
                                <a:lnTo>
                                  <a:pt x="0" y="0"/>
                                </a:lnTo>
                                <a:lnTo>
                                  <a:pt x="0" y="175259"/>
                                </a:lnTo>
                                <a:lnTo>
                                  <a:pt x="5823203" y="175259"/>
                                </a:lnTo>
                                <a:lnTo>
                                  <a:pt x="5823203" y="0"/>
                                </a:lnTo>
                                <a:close/>
                              </a:path>
                            </a:pathLst>
                          </a:custGeom>
                          <a:solidFill>
                            <a:srgbClr val="D9D9D9"/>
                          </a:solidFill>
                        </wps:spPr>
                        <wps:bodyPr wrap="square" lIns="0" tIns="0" rIns="0" bIns="0" rtlCol="0">
                          <a:prstTxWarp prst="textNoShape">
                            <a:avLst/>
                          </a:prstTxWarp>
                          <a:noAutofit/>
                        </wps:bodyPr>
                      </wps:wsp>
                      <wps:wsp>
                        <wps:cNvPr id="2089725385" name="Graphic 22"/>
                        <wps:cNvSpPr/>
                        <wps:spPr>
                          <a:xfrm>
                            <a:off x="0" y="1321307"/>
                            <a:ext cx="5835650" cy="175895"/>
                          </a:xfrm>
                          <a:custGeom>
                            <a:avLst/>
                            <a:gdLst/>
                            <a:ahLst/>
                            <a:cxnLst/>
                            <a:rect l="l" t="t" r="r" b="b"/>
                            <a:pathLst>
                              <a:path w="5835650" h="175895">
                                <a:moveTo>
                                  <a:pt x="6096" y="0"/>
                                </a:moveTo>
                                <a:lnTo>
                                  <a:pt x="0" y="0"/>
                                </a:lnTo>
                                <a:lnTo>
                                  <a:pt x="0" y="175272"/>
                                </a:lnTo>
                                <a:lnTo>
                                  <a:pt x="6096" y="175272"/>
                                </a:lnTo>
                                <a:lnTo>
                                  <a:pt x="6096" y="0"/>
                                </a:lnTo>
                                <a:close/>
                              </a:path>
                              <a:path w="5835650" h="175895">
                                <a:moveTo>
                                  <a:pt x="5835396" y="0"/>
                                </a:moveTo>
                                <a:lnTo>
                                  <a:pt x="5829300" y="0"/>
                                </a:lnTo>
                                <a:lnTo>
                                  <a:pt x="5829300" y="175272"/>
                                </a:lnTo>
                                <a:lnTo>
                                  <a:pt x="5835396" y="175272"/>
                                </a:lnTo>
                                <a:lnTo>
                                  <a:pt x="5835396" y="0"/>
                                </a:lnTo>
                                <a:close/>
                              </a:path>
                            </a:pathLst>
                          </a:custGeom>
                          <a:solidFill>
                            <a:srgbClr val="000000"/>
                          </a:solidFill>
                        </wps:spPr>
                        <wps:bodyPr wrap="square" lIns="0" tIns="0" rIns="0" bIns="0" rtlCol="0">
                          <a:prstTxWarp prst="textNoShape">
                            <a:avLst/>
                          </a:prstTxWarp>
                          <a:noAutofit/>
                        </wps:bodyPr>
                      </wps:wsp>
                      <wps:wsp>
                        <wps:cNvPr id="1956634152" name="Graphic 23"/>
                        <wps:cNvSpPr/>
                        <wps:spPr>
                          <a:xfrm>
                            <a:off x="6095" y="1496580"/>
                            <a:ext cx="5823585" cy="175260"/>
                          </a:xfrm>
                          <a:custGeom>
                            <a:avLst/>
                            <a:gdLst/>
                            <a:ahLst/>
                            <a:cxnLst/>
                            <a:rect l="l" t="t" r="r" b="b"/>
                            <a:pathLst>
                              <a:path w="5823585" h="175260">
                                <a:moveTo>
                                  <a:pt x="5823203" y="0"/>
                                </a:moveTo>
                                <a:lnTo>
                                  <a:pt x="0" y="0"/>
                                </a:lnTo>
                                <a:lnTo>
                                  <a:pt x="0" y="175260"/>
                                </a:lnTo>
                                <a:lnTo>
                                  <a:pt x="5823203" y="175260"/>
                                </a:lnTo>
                                <a:lnTo>
                                  <a:pt x="5823203" y="0"/>
                                </a:lnTo>
                                <a:close/>
                              </a:path>
                            </a:pathLst>
                          </a:custGeom>
                          <a:solidFill>
                            <a:srgbClr val="D9D9D9"/>
                          </a:solidFill>
                        </wps:spPr>
                        <wps:bodyPr wrap="square" lIns="0" tIns="0" rIns="0" bIns="0" rtlCol="0">
                          <a:prstTxWarp prst="textNoShape">
                            <a:avLst/>
                          </a:prstTxWarp>
                          <a:noAutofit/>
                        </wps:bodyPr>
                      </wps:wsp>
                      <wps:wsp>
                        <wps:cNvPr id="239922787" name="Graphic 24"/>
                        <wps:cNvSpPr/>
                        <wps:spPr>
                          <a:xfrm>
                            <a:off x="0" y="1496580"/>
                            <a:ext cx="5835650" cy="175260"/>
                          </a:xfrm>
                          <a:custGeom>
                            <a:avLst/>
                            <a:gdLst/>
                            <a:ahLst/>
                            <a:cxnLst/>
                            <a:rect l="l" t="t" r="r" b="b"/>
                            <a:pathLst>
                              <a:path w="5835650" h="175260">
                                <a:moveTo>
                                  <a:pt x="6096" y="0"/>
                                </a:moveTo>
                                <a:lnTo>
                                  <a:pt x="0" y="0"/>
                                </a:lnTo>
                                <a:lnTo>
                                  <a:pt x="0" y="175260"/>
                                </a:lnTo>
                                <a:lnTo>
                                  <a:pt x="6096" y="175260"/>
                                </a:lnTo>
                                <a:lnTo>
                                  <a:pt x="6096" y="0"/>
                                </a:lnTo>
                                <a:close/>
                              </a:path>
                              <a:path w="5835650" h="175260">
                                <a:moveTo>
                                  <a:pt x="5835396" y="0"/>
                                </a:moveTo>
                                <a:lnTo>
                                  <a:pt x="5829300" y="0"/>
                                </a:lnTo>
                                <a:lnTo>
                                  <a:pt x="5829300" y="175260"/>
                                </a:lnTo>
                                <a:lnTo>
                                  <a:pt x="5835396" y="175260"/>
                                </a:lnTo>
                                <a:lnTo>
                                  <a:pt x="5835396" y="0"/>
                                </a:lnTo>
                                <a:close/>
                              </a:path>
                            </a:pathLst>
                          </a:custGeom>
                          <a:solidFill>
                            <a:srgbClr val="000000"/>
                          </a:solidFill>
                        </wps:spPr>
                        <wps:bodyPr wrap="square" lIns="0" tIns="0" rIns="0" bIns="0" rtlCol="0">
                          <a:prstTxWarp prst="textNoShape">
                            <a:avLst/>
                          </a:prstTxWarp>
                          <a:noAutofit/>
                        </wps:bodyPr>
                      </wps:wsp>
                      <wps:wsp>
                        <wps:cNvPr id="2123292602" name="Textbox 25"/>
                        <wps:cNvSpPr txBox="1"/>
                        <wps:spPr>
                          <a:xfrm>
                            <a:off x="6095" y="6108"/>
                            <a:ext cx="5823585" cy="1666238"/>
                          </a:xfrm>
                          <a:prstGeom prst="rect">
                            <a:avLst/>
                          </a:prstGeom>
                        </wps:spPr>
                        <wps:txbx>
                          <w:txbxContent>
                            <w:p w14:paraId="71B7F64A" w14:textId="77777777" w:rsidR="00E6279B" w:rsidRPr="00F93B31" w:rsidRDefault="00E6279B" w:rsidP="00E6279B">
                              <w:pPr>
                                <w:spacing w:before="19"/>
                                <w:ind w:left="109" w:right="106"/>
                                <w:jc w:val="both"/>
                                <w:rPr>
                                  <w:sz w:val="24"/>
                                  <w:szCs w:val="24"/>
                                  <w:lang w:val="sq-AL"/>
                                </w:rPr>
                              </w:pPr>
                              <w:r w:rsidRPr="00F93B31">
                                <w:rPr>
                                  <w:sz w:val="24"/>
                                  <w:szCs w:val="24"/>
                                  <w:lang w:val="sq-AL"/>
                                </w:rPr>
                                <w:t xml:space="preserve">Shqipëria ka një </w:t>
                              </w:r>
                              <w:r w:rsidRPr="00F93B31">
                                <w:rPr>
                                  <w:b/>
                                  <w:bCs/>
                                  <w:sz w:val="24"/>
                                  <w:szCs w:val="24"/>
                                  <w:lang w:val="sq-AL"/>
                                </w:rPr>
                                <w:t xml:space="preserve">nivel të mirë dhe mesatar të përgatitjes </w:t>
                              </w:r>
                              <w:r w:rsidRPr="00F93B31">
                                <w:rPr>
                                  <w:bCs/>
                                  <w:sz w:val="24"/>
                                  <w:szCs w:val="24"/>
                                  <w:lang w:val="sq-AL"/>
                                </w:rPr>
                                <w:t xml:space="preserve">për të përafruar </w:t>
                              </w:r>
                              <w:proofErr w:type="spellStart"/>
                              <w:r w:rsidRPr="00F93B31">
                                <w:rPr>
                                  <w:i/>
                                  <w:sz w:val="24"/>
                                  <w:szCs w:val="24"/>
                                  <w:lang w:val="sq-AL"/>
                                </w:rPr>
                                <w:t>acquis</w:t>
                              </w:r>
                              <w:proofErr w:type="spellEnd"/>
                              <w:r w:rsidRPr="00F93B31">
                                <w:rPr>
                                  <w:i/>
                                  <w:sz w:val="24"/>
                                  <w:szCs w:val="24"/>
                                  <w:lang w:val="sq-AL"/>
                                </w:rPr>
                                <w:t>-</w:t>
                              </w:r>
                              <w:r w:rsidRPr="00F93B31">
                                <w:rPr>
                                  <w:iCs/>
                                  <w:sz w:val="24"/>
                                  <w:szCs w:val="24"/>
                                  <w:lang w:val="sq-AL"/>
                                </w:rPr>
                                <w:t xml:space="preserve">në e BE-së në fushën e drejtësisë, lirisë dhe sigurisë. Është arritur </w:t>
                              </w:r>
                              <w:r w:rsidRPr="00F93B31">
                                <w:rPr>
                                  <w:b/>
                                  <w:bCs/>
                                  <w:iCs/>
                                  <w:sz w:val="24"/>
                                  <w:szCs w:val="24"/>
                                  <w:lang w:val="sq-AL"/>
                                </w:rPr>
                                <w:t xml:space="preserve">progres i mirë </w:t>
                              </w:r>
                              <w:r w:rsidRPr="00F93B31">
                                <w:rPr>
                                  <w:iCs/>
                                  <w:sz w:val="24"/>
                                  <w:szCs w:val="24"/>
                                  <w:lang w:val="sq-AL"/>
                                </w:rPr>
                                <w:t xml:space="preserve">në përgjithësi. Struktura e Posaçme kundër Krimit të Organizuar dhe Korrupsionit (SPAK) po krijon një historik fillestar të rasteve të zbatimit të ligjit, megjithatë duhet të ketë më shumë përpjekje. </w:t>
                              </w:r>
                              <w:r w:rsidRPr="00F93B31">
                                <w:rPr>
                                  <w:sz w:val="24"/>
                                  <w:szCs w:val="24"/>
                                  <w:lang w:val="sq-AL"/>
                                </w:rPr>
                                <w:t xml:space="preserve">SPAK ka vazhduar të ketë një nivel të mirë bashkëpunimi me BE-në dhe agjencitë </w:t>
                              </w:r>
                              <w:proofErr w:type="spellStart"/>
                              <w:r w:rsidRPr="00F93B31">
                                <w:rPr>
                                  <w:sz w:val="24"/>
                                  <w:szCs w:val="24"/>
                                  <w:lang w:val="sq-AL"/>
                                </w:rPr>
                                <w:t>ligjzbatuese</w:t>
                              </w:r>
                              <w:proofErr w:type="spellEnd"/>
                              <w:r w:rsidRPr="00F93B31">
                                <w:rPr>
                                  <w:sz w:val="24"/>
                                  <w:szCs w:val="24"/>
                                  <w:lang w:val="sq-AL"/>
                                </w:rPr>
                                <w:t xml:space="preserve"> të vendeve anëtare. </w:t>
                              </w:r>
                            </w:p>
                            <w:p w14:paraId="397063DA" w14:textId="77777777" w:rsidR="00E6279B" w:rsidRPr="00F93B31" w:rsidRDefault="00E6279B" w:rsidP="00E6279B">
                              <w:pPr>
                                <w:spacing w:before="120"/>
                                <w:ind w:left="109" w:right="105"/>
                                <w:jc w:val="both"/>
                                <w:rPr>
                                  <w:sz w:val="24"/>
                                  <w:szCs w:val="24"/>
                                  <w:lang w:val="sq-AL"/>
                                </w:rPr>
                              </w:pPr>
                              <w:r w:rsidRPr="00F93B31">
                                <w:rPr>
                                  <w:sz w:val="24"/>
                                  <w:szCs w:val="24"/>
                                  <w:lang w:val="sq-AL"/>
                                </w:rPr>
                                <w:t xml:space="preserve">Historiku për rastet e pastrimit të parave dhe korrupsionit të nivelit të lartë mbetet i pamjaftueshëm, dhe hetimet financiare duhet të zhvillohen më tej. Megjithatë, ka patur progres në zbatimin e rekomandimeve të </w:t>
                              </w:r>
                              <w:proofErr w:type="spellStart"/>
                              <w:r w:rsidRPr="00F93B31">
                                <w:rPr>
                                  <w:sz w:val="24"/>
                                  <w:szCs w:val="24"/>
                                  <w:lang w:val="sq-AL"/>
                                </w:rPr>
                                <w:t>Moneyval</w:t>
                              </w:r>
                              <w:proofErr w:type="spellEnd"/>
                              <w:r w:rsidRPr="00F93B31">
                                <w:rPr>
                                  <w:sz w:val="24"/>
                                  <w:szCs w:val="24"/>
                                  <w:lang w:val="sq-AL"/>
                                </w:rPr>
                                <w:t xml:space="preserve"> dhe të </w:t>
                              </w:r>
                              <w:proofErr w:type="spellStart"/>
                              <w:r w:rsidRPr="00F93B31">
                                <w:rPr>
                                  <w:sz w:val="24"/>
                                  <w:szCs w:val="24"/>
                                  <w:lang w:val="sq-AL"/>
                                </w:rPr>
                                <w:t>Task</w:t>
                              </w:r>
                              <w:proofErr w:type="spellEnd"/>
                              <w:r w:rsidRPr="00F93B31">
                                <w:rPr>
                                  <w:sz w:val="24"/>
                                  <w:szCs w:val="24"/>
                                  <w:lang w:val="sq-AL"/>
                                </w:rPr>
                                <w:t xml:space="preserve"> Forcës së Veprimit </w:t>
                              </w:r>
                            </w:p>
                            <w:p w14:paraId="22A8F1E3" w14:textId="77777777" w:rsidR="00F93B31" w:rsidRPr="00F93B31" w:rsidRDefault="00F93B31" w:rsidP="00F93B31">
                              <w:pPr>
                                <w:spacing w:before="120"/>
                                <w:ind w:left="109" w:right="105"/>
                                <w:jc w:val="both"/>
                                <w:rPr>
                                  <w:sz w:val="24"/>
                                  <w:szCs w:val="24"/>
                                  <w:lang w:val="sq-AL"/>
                                </w:rPr>
                              </w:pPr>
                              <w:r w:rsidRPr="00F93B31">
                                <w:rPr>
                                  <w:sz w:val="24"/>
                                  <w:szCs w:val="24"/>
                                  <w:lang w:val="sq-AL"/>
                                </w:rPr>
                                <w:t xml:space="preserve">Financiar (FATF), duke qenë se në qershor 2023 FATF-ja vendosi të bëjë një vizitë në terren, e cila u krye në gusht dhe çoi në heqjen e Shqipërisë nga lista në muajin tetor. Megjithatë, Shqipëria duhet të garantojë që çdo ligj i ardhshëm për pajtueshmërinë vullnetare të taksave (përfshi amnistitë penale të mundshme) të jetë në përputhje me </w:t>
                              </w:r>
                              <w:proofErr w:type="spellStart"/>
                              <w:r w:rsidRPr="00F93B31">
                                <w:rPr>
                                  <w:i/>
                                  <w:iCs/>
                                  <w:sz w:val="24"/>
                                  <w:szCs w:val="24"/>
                                  <w:lang w:val="sq-AL"/>
                                </w:rPr>
                                <w:t>acquis</w:t>
                              </w:r>
                              <w:proofErr w:type="spellEnd"/>
                              <w:r w:rsidRPr="00F93B31">
                                <w:rPr>
                                  <w:i/>
                                  <w:iCs/>
                                  <w:sz w:val="24"/>
                                  <w:szCs w:val="24"/>
                                  <w:lang w:val="sq-AL"/>
                                </w:rPr>
                                <w:t>-</w:t>
                              </w:r>
                              <w:r w:rsidRPr="00F93B31">
                                <w:rPr>
                                  <w:sz w:val="24"/>
                                  <w:szCs w:val="24"/>
                                  <w:lang w:val="sq-AL"/>
                                </w:rPr>
                                <w:t xml:space="preserve">në e BE-së dhe standardet ndërkombëtare. Shqipëria vazhdon të tregojë angazhim për të luftuar prodhimin e paligjshëm dhe trafikimin e kanabisit. Në kuadër të ligjit të miratuar për kontrollin e kultivimit dhe përpunimit të kanabisit, dhe të prodhimit të nënprodukteve të tij për qëllime mjekësore dhe industriale, Shqipëria duhet të garantojë ekzistencën e mekanizmave për të parandaluar në mënyrë efektive që kanabisi të përdoret për qëllime të tjera. </w:t>
                              </w:r>
                            </w:p>
                            <w:p w14:paraId="46546456" w14:textId="77777777" w:rsidR="00F93B31" w:rsidRPr="00F93B31" w:rsidRDefault="00F93B31" w:rsidP="00F93B31">
                              <w:pPr>
                                <w:spacing w:before="120"/>
                                <w:ind w:left="109" w:right="105"/>
                                <w:jc w:val="both"/>
                                <w:rPr>
                                  <w:sz w:val="24"/>
                                  <w:szCs w:val="24"/>
                                  <w:lang w:val="sq-AL"/>
                                </w:rPr>
                              </w:pPr>
                              <w:r w:rsidRPr="00F93B31">
                                <w:rPr>
                                  <w:sz w:val="24"/>
                                  <w:szCs w:val="24"/>
                                  <w:lang w:val="sq-AL"/>
                                </w:rPr>
                                <w:t xml:space="preserve">Shqipëria ka vazhduar angazhimin e saj pozitiv me agjencitë e BE-së për Drejtësinë dhe Çështjet e Brendshme. Shqipëria ka kontribuar në menaxhimin e flukseve të përziera të migrimit drejt BE-së përmes bashkëpunimit për zbatimin e Planit të Veprimit të BE-së për vendet e Ballkanit Perëndimor. Ajo nënshkroi një Marrëveshje Status </w:t>
                              </w:r>
                              <w:proofErr w:type="spellStart"/>
                              <w:r w:rsidRPr="00F93B31">
                                <w:rPr>
                                  <w:sz w:val="24"/>
                                  <w:szCs w:val="24"/>
                                  <w:lang w:val="sq-AL"/>
                                </w:rPr>
                                <w:t>Frontex</w:t>
                              </w:r>
                              <w:proofErr w:type="spellEnd"/>
                              <w:r w:rsidRPr="00F93B31">
                                <w:rPr>
                                  <w:sz w:val="24"/>
                                  <w:szCs w:val="24"/>
                                  <w:lang w:val="sq-AL"/>
                                </w:rPr>
                                <w:t xml:space="preserve"> në muajin shtator. Referimet dhe qasja në procedurat e azilit mbeten për tu adresuar, dhe ka ende mangësi në proceduat e kthimit. Numri i aplikimeve për azil i depozituar nga shtetasit shqiptarë në Vendet Anëtare të BE-së dhe në vendet </w:t>
                              </w:r>
                              <w:proofErr w:type="spellStart"/>
                              <w:r w:rsidRPr="00F93B31">
                                <w:rPr>
                                  <w:sz w:val="24"/>
                                  <w:szCs w:val="24"/>
                                  <w:lang w:val="sq-AL"/>
                                </w:rPr>
                                <w:t>Shengen</w:t>
                              </w:r>
                              <w:proofErr w:type="spellEnd"/>
                              <w:r w:rsidRPr="00F93B31">
                                <w:rPr>
                                  <w:sz w:val="24"/>
                                  <w:szCs w:val="24"/>
                                  <w:lang w:val="sq-AL"/>
                                </w:rPr>
                                <w:t xml:space="preserve"> mbetet më i ulët se niveli para pandemisë, por është rritur më tej në vitin 2022. Adresimi i këtij fenomeni kërkon ende përpjekje të vazhdueshme. Në lidhje me emigracionin nga vendet e treta, Shqipëria duhet të marrë masa konkrete për të adresuar nevojat e të miturve të pashoqëruar. Politika e vizave e Shqipërisë duhet të harmonizohet më tej me atë të BE-së.</w:t>
                              </w:r>
                            </w:p>
                            <w:p w14:paraId="2E9A0D09" w14:textId="77777777" w:rsidR="00F93B31" w:rsidRPr="00F93B31" w:rsidRDefault="00F93B31" w:rsidP="00F93B31">
                              <w:pPr>
                                <w:spacing w:before="120"/>
                                <w:ind w:left="109" w:right="105"/>
                                <w:jc w:val="both"/>
                                <w:rPr>
                                  <w:sz w:val="24"/>
                                  <w:szCs w:val="24"/>
                                  <w:lang w:val="sq-AL"/>
                                </w:rPr>
                              </w:pPr>
                              <w:r w:rsidRPr="00F93B31">
                                <w:rPr>
                                  <w:sz w:val="24"/>
                                  <w:szCs w:val="24"/>
                                  <w:lang w:val="sq-AL"/>
                                </w:rPr>
                                <w:t>Rekomandimet për vitin 2022 janë adresuar vetëm pjesërisht. Në vitin e ardhshëm, Shqipëria duhet veçanërisht të:</w:t>
                              </w:r>
                            </w:p>
                            <w:p w14:paraId="66F2EB48" w14:textId="77777777" w:rsidR="00F93B31" w:rsidRPr="00F93B31" w:rsidRDefault="00F93B31" w:rsidP="00F93B31">
                              <w:pPr>
                                <w:spacing w:before="120"/>
                                <w:ind w:left="109" w:right="105"/>
                                <w:jc w:val="both"/>
                                <w:rPr>
                                  <w:sz w:val="24"/>
                                  <w:szCs w:val="24"/>
                                  <w:lang w:val="sq-AL"/>
                                </w:rPr>
                              </w:pPr>
                              <w:r w:rsidRPr="00F93B31">
                                <w:rPr>
                                  <w:sz w:val="24"/>
                                  <w:szCs w:val="24"/>
                                  <w:lang w:val="sq-AL"/>
                                </w:rPr>
                                <w:t> vazhdojë të zhvillojë përdorimin sistematik të hetimeve paralele financiare kur trajton raste të krimit të organizuar, trafikut të paligjshëm, terrorizmit dhe pastrimit të parave;</w:t>
                              </w:r>
                            </w:p>
                            <w:p w14:paraId="10392145" w14:textId="77777777" w:rsidR="00F93B31" w:rsidRPr="00F93B31" w:rsidRDefault="00F93B31" w:rsidP="00F93B31">
                              <w:pPr>
                                <w:spacing w:before="120"/>
                                <w:ind w:left="109" w:right="105"/>
                                <w:jc w:val="both"/>
                                <w:rPr>
                                  <w:sz w:val="24"/>
                                  <w:szCs w:val="24"/>
                                  <w:lang w:val="sq-AL"/>
                                </w:rPr>
                              </w:pPr>
                              <w:r w:rsidRPr="00F93B31">
                                <w:rPr>
                                  <w:sz w:val="24"/>
                                  <w:szCs w:val="24"/>
                                  <w:lang w:val="sq-AL"/>
                                </w:rPr>
                                <w:t xml:space="preserve"> garantojë që çdo taksë vullnetare dhe çdo legjislacion përputhshmërie (përfshi amnistitë) është në përputhje me </w:t>
                              </w:r>
                              <w:proofErr w:type="spellStart"/>
                              <w:r w:rsidRPr="00F93B31">
                                <w:rPr>
                                  <w:sz w:val="24"/>
                                  <w:szCs w:val="24"/>
                                  <w:lang w:val="sq-AL"/>
                                </w:rPr>
                                <w:t>acquis</w:t>
                              </w:r>
                              <w:proofErr w:type="spellEnd"/>
                              <w:r w:rsidRPr="00F93B31">
                                <w:rPr>
                                  <w:sz w:val="24"/>
                                  <w:szCs w:val="24"/>
                                  <w:lang w:val="sq-AL"/>
                                </w:rPr>
                                <w:t xml:space="preserve">-në përkatëse të BE-së dhe standardet ndërkombëtare të përcaktuara nga </w:t>
                              </w:r>
                              <w:proofErr w:type="spellStart"/>
                              <w:r w:rsidRPr="00F93B31">
                                <w:rPr>
                                  <w:sz w:val="24"/>
                                  <w:szCs w:val="24"/>
                                  <w:lang w:val="sq-AL"/>
                                </w:rPr>
                                <w:t>Moneyval</w:t>
                              </w:r>
                              <w:proofErr w:type="spellEnd"/>
                              <w:r w:rsidRPr="00F93B31">
                                <w:rPr>
                                  <w:sz w:val="24"/>
                                  <w:szCs w:val="24"/>
                                  <w:lang w:val="sq-AL"/>
                                </w:rPr>
                                <w:t xml:space="preserve"> dhe </w:t>
                              </w:r>
                              <w:proofErr w:type="spellStart"/>
                              <w:r w:rsidRPr="00F93B31">
                                <w:rPr>
                                  <w:sz w:val="24"/>
                                  <w:szCs w:val="24"/>
                                  <w:lang w:val="sq-AL"/>
                                </w:rPr>
                                <w:t>Task</w:t>
                              </w:r>
                              <w:proofErr w:type="spellEnd"/>
                              <w:r w:rsidRPr="00F93B31">
                                <w:rPr>
                                  <w:sz w:val="24"/>
                                  <w:szCs w:val="24"/>
                                  <w:lang w:val="sq-AL"/>
                                </w:rPr>
                                <w:t xml:space="preserve"> Forca e Veprimit Financiar (FATF);</w:t>
                              </w:r>
                            </w:p>
                            <w:p w14:paraId="7ABE0E0F" w14:textId="77777777" w:rsidR="00F93B31" w:rsidRPr="00F93B31" w:rsidRDefault="00F93B31" w:rsidP="00F93B31">
                              <w:pPr>
                                <w:spacing w:before="120"/>
                                <w:ind w:left="109" w:right="105"/>
                                <w:jc w:val="both"/>
                                <w:rPr>
                                  <w:sz w:val="24"/>
                                  <w:szCs w:val="24"/>
                                  <w:lang w:val="sq-AL"/>
                                </w:rPr>
                              </w:pPr>
                              <w:r w:rsidRPr="00F93B31">
                                <w:rPr>
                                  <w:sz w:val="24"/>
                                  <w:szCs w:val="24"/>
                                  <w:lang w:val="sq-AL"/>
                                </w:rPr>
                                <w:t xml:space="preserve"> të zbatojë në mënyrë efektive ligjin për azilin dhe të përmirësojë referimet dhe qasjen në procedurën e azilit; të adresojë mangësitë në procedurat e kthimit; të rifillojë ofrimin e rregullt dhe në kohë të </w:t>
                              </w:r>
                              <w:proofErr w:type="spellStart"/>
                              <w:r w:rsidRPr="00F93B31">
                                <w:rPr>
                                  <w:sz w:val="24"/>
                                  <w:szCs w:val="24"/>
                                  <w:lang w:val="sq-AL"/>
                                </w:rPr>
                                <w:t>të</w:t>
                              </w:r>
                              <w:proofErr w:type="spellEnd"/>
                              <w:r w:rsidRPr="00F93B31">
                                <w:rPr>
                                  <w:sz w:val="24"/>
                                  <w:szCs w:val="24"/>
                                  <w:lang w:val="sq-AL"/>
                                </w:rPr>
                                <w:t xml:space="preserve"> dhënave mbi flukset e migracionit dhe azilit; të vazhdojë të adresojë çështjen e kërkesave të pabazuara për azil; dhe të harmonizoj më tej politikën e saj të vizave me atë të BE-së. </w:t>
                              </w:r>
                            </w:p>
                            <w:p w14:paraId="6B4A441D" w14:textId="77777777" w:rsidR="00F93B31" w:rsidRDefault="00F93B31" w:rsidP="00E6279B">
                              <w:pPr>
                                <w:spacing w:before="120"/>
                                <w:ind w:left="109" w:right="105"/>
                                <w:jc w:val="both"/>
                                <w:rPr>
                                  <w:lang w:val="sq-AL"/>
                                </w:rPr>
                              </w:pPr>
                            </w:p>
                            <w:p w14:paraId="50D002FE" w14:textId="77777777" w:rsidR="00F93B31" w:rsidRPr="00117E20" w:rsidRDefault="00F93B31" w:rsidP="00E6279B">
                              <w:pPr>
                                <w:spacing w:before="120"/>
                                <w:ind w:left="109" w:right="105"/>
                                <w:jc w:val="both"/>
                                <w:rPr>
                                  <w:sz w:val="24"/>
                                  <w:lang w:val="sq-AL"/>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3AB7A36C" id="Group 615065130" o:spid="_x0000_s1026" style="position:absolute;margin-left:66pt;margin-top:6.25pt;width:459.5pt;height:630.75pt;z-index:-251651072;mso-wrap-distance-left:0;mso-wrap-distance-right:0;mso-position-horizontal-relative:page;mso-height-relative:margin" coordsize="58356,16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">
                <v:shape id="Graphic 7" o:spid="_x0000_s1027" style="position:absolute;left:60;top:61;width:58236;height:1879;visibility:visible;mso-wrap-style:square;v-text-anchor:top" coordsize="5823585,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" path="m5823203,l,,,187452r5823203,l5823203,xe" fillcolor="#d9d9d9" stroked="f">
                  <v:path arrowok="t"/>
                </v:shape>
                <v:shape id="Graphic 8" o:spid="_x0000_s1028" style="position:absolute;width:58356;height:1936;visibility:visible;mso-wrap-style:square;v-text-anchor:top" coordsize="5835650,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" path="m5835396,r-6096,l6096,,,,,6108,,193560r6096,l6096,6108r5823204,l5829300,193560r6096,l5835396,6108r,-6108xe" fillcolor="black" stroked="f">
                  <v:path arrowok="t"/>
                </v:shape>
                <v:shape id="Graphic 9" o:spid="_x0000_s1029" style="position:absolute;left:60;top:1935;width:58236;height:1753;visibility:visible;mso-wrap-style:square;v-text-anchor:top" coordsize="582358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" path="m5823203,l,,,175260r5823203,l5823203,xe" fillcolor="#d9d9d9" stroked="f">
                  <v:path arrowok="t"/>
                </v:shape>
                <v:shape id="Graphic 10" o:spid="_x0000_s1030" style="position:absolute;top:1935;width:58356;height:1753;visibility:visible;mso-wrap-style:square;v-text-anchor:top" coordsize="583565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" path="m6096,l,,,175260r6096,l6096,xem5835396,r-6096,l5829300,175260r6096,l5835396,xe" fillcolor="black" stroked="f">
                  <v:path arrowok="t"/>
                </v:shape>
                <v:shape id="Graphic 11" o:spid="_x0000_s1031" style="position:absolute;left:60;top:3688;width:58236;height:1752;visibility:visible;mso-wrap-style:square;v-text-anchor:top" coordsize="582358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" path="m5823203,l,,,175259r5823203,l5823203,xe" fillcolor="#d9d9d9" stroked="f">
                  <v:path arrowok="t"/>
                </v:shape>
                <v:shape id="Graphic 12" o:spid="_x0000_s1032" style="position:absolute;top:3688;width:58356;height:1752;visibility:visible;mso-wrap-style:square;v-text-anchor:top" coordsize="583565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" path="m6096,l,,,175260r6096,l6096,xem5835396,r-6096,l5829300,175260r6096,l5835396,xe" fillcolor="black" stroked="f">
                  <v:path arrowok="t"/>
                </v:shape>
                <v:shape id="Graphic 13" o:spid="_x0000_s1033" style="position:absolute;left:60;top:5440;width:58236;height:1753;visibility:visible;mso-wrap-style:square;v-text-anchor:top" coordsize="582358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" path="m5823203,l,,,175260r5823203,l5823203,xe" fillcolor="#d9d9d9" stroked="f">
                  <v:path arrowok="t"/>
                </v:shape>
                <v:shape id="Graphic 14" o:spid="_x0000_s1034" style="position:absolute;top:5440;width:58356;height:1759;visibility:visible;mso-wrap-style:square;v-text-anchor:top" coordsize="583565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" path="m6096,l,,,175272r6096,l6096,xem5835396,r-6096,l5829300,175272r6096,l5835396,xe" fillcolor="black" stroked="f">
                  <v:path arrowok="t"/>
                </v:shape>
                <v:shape id="Graphic 15" o:spid="_x0000_s1035" style="position:absolute;left:60;top:7193;width:58236;height:1753;visibility:visible;mso-wrap-style:square;v-text-anchor:top" coordsize="582358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" path="m5823203,l,,,175260r5823203,l5823203,xe" fillcolor="#d9d9d9" stroked="f">
                  <v:path arrowok="t"/>
                </v:shape>
                <v:shape id="Graphic 16" o:spid="_x0000_s1036" style="position:absolute;top:7193;width:58356;height:1753;visibility:visible;mso-wrap-style:square;v-text-anchor:top" coordsize="583565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" path="m6096,l,,,175260r6096,l6096,xem5835396,r-6096,l5829300,175260r6096,l5835396,xe" fillcolor="black" stroked="f">
                  <v:path arrowok="t"/>
                </v:shape>
                <v:shape id="Graphic 17" o:spid="_x0000_s1037" style="position:absolute;left:60;top:8946;width:58236;height:2514;visibility:visible;mso-wrap-style:square;v-text-anchor:top" coordsize="582358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" path="m5823203,l,,,251459r5823203,l5823203,xe" fillcolor="#d9d9d9" stroked="f">
                  <v:path arrowok="t"/>
                </v:shape>
                <v:shape id="Graphic 18" o:spid="_x0000_s1038" style="position:absolute;top:8946;width:58356;height:2514;visibility:visible;mso-wrap-style:square;v-text-anchor:top" coordsize="583565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" path="m6096,l,,,251460r6096,l6096,xem5835396,r-6096,l5829300,251460r6096,l5835396,xe" fillcolor="black" stroked="f">
                  <v:path arrowok="t"/>
                </v:shape>
                <v:shape id="Graphic 19" o:spid="_x0000_s1039" style="position:absolute;left:60;top:11460;width:58236;height:1753;visibility:visible;mso-wrap-style:square;v-text-anchor:top" coordsize="582358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" path="m5823203,l,,,175260r5823203,l5823203,xe" fillcolor="#d9d9d9" stroked="f">
                  <v:path arrowok="t"/>
                </v:shape>
                <v:shape id="Graphic 20" o:spid="_x0000_s1040" style="position:absolute;top:11460;width:58356;height:1753;visibility:visible;mso-wrap-style:square;v-text-anchor:top" coordsize="583565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" path="m6096,l,,,175260r6096,l6096,xem5835396,r-6096,l5829300,175260r6096,l5835396,xe" fillcolor="black" stroked="f">
                  <v:path arrowok="t"/>
                </v:shape>
                <v:shape id="Graphic 21" o:spid="_x0000_s1041" style="position:absolute;left:60;top:13213;width:58236;height:1752;visibility:visible;mso-wrap-style:square;v-text-anchor:top" coordsize="582358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" path="m5823203,l,,,175259r5823203,l5823203,xe" fillcolor="#d9d9d9" stroked="f">
                  <v:path arrowok="t"/>
                </v:shape>
                <v:shape id="Graphic 22" o:spid="_x0000_s1042" style="position:absolute;top:13213;width:58356;height:1759;visibility:visible;mso-wrap-style:square;v-text-anchor:top" coordsize="583565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" path="m6096,l,,,175272r6096,l6096,xem5835396,r-6096,l5829300,175272r6096,l5835396,xe" fillcolor="black" stroked="f">
                  <v:path arrowok="t"/>
                </v:shape>
                <v:shape id="Graphic 23" o:spid="_x0000_s1043" style="position:absolute;left:60;top:14965;width:58236;height:1753;visibility:visible;mso-wrap-style:square;v-text-anchor:top" coordsize="582358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" path="m5823203,l,,,175260r5823203,l5823203,xe" fillcolor="#d9d9d9" stroked="f">
                  <v:path arrowok="t"/>
                </v:shape>
                <v:shape id="Graphic 24" o:spid="_x0000_s1044" style="position:absolute;top:14965;width:58356;height:1753;visibility:visible;mso-wrap-style:square;v-text-anchor:top" coordsize="583565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" path="m6096,l,,,175260r6096,l6096,xem5835396,r-6096,l5829300,175260r6096,l5835396,xe" fillcolor="black" stroked="f">
                  <v:path arrowok="t"/>
                </v:shape>
                <v:shapetype id="_x0000_t202" coordsize="21600,21600" o:spt="202" path="m,l,21600r21600,l21600,xe">
                  <v:stroke joinstyle="miter"/>
                  <v:path gradientshapeok="t" o:connecttype="rect"/>
                </v:shapetype>
                <v:shape id="Textbox 25" o:spid="_x0000_s1045" type="#_x0000_t202" style="position:absolute;left:60;top:61;width:58236;height:16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" filled="f" stroked="f">
                  <v:textbox inset="0,0,0,0">
                    <w:txbxContent>
                      <w:p w14:paraId="71B7F64A" w14:textId="77777777" w:rsidR="00E6279B" w:rsidRPr="00F93B31" w:rsidRDefault="00E6279B" w:rsidP="00E6279B">
                        <w:pPr>
                          <w:spacing w:before="19"/>
                          <w:ind w:left="109" w:right="106"/>
                          <w:jc w:val="both"/>
                          <w:rPr>
                            <w:sz w:val="24"/>
                            <w:szCs w:val="24"/>
                            <w:lang w:val="sq-AL"/>
                          </w:rPr>
                        </w:pPr>
                        <w:r w:rsidRPr="00F93B31">
                          <w:rPr>
                            <w:sz w:val="24"/>
                            <w:szCs w:val="24"/>
                            <w:lang w:val="sq-AL"/>
                          </w:rPr>
                          <w:t xml:space="preserve">Shqipëria ka një </w:t>
                        </w:r>
                        <w:r w:rsidRPr="00F93B31">
                          <w:rPr>
                            <w:b/>
                            <w:bCs/>
                            <w:sz w:val="24"/>
                            <w:szCs w:val="24"/>
                            <w:lang w:val="sq-AL"/>
                          </w:rPr>
                          <w:t xml:space="preserve">nivel të mirë dhe mesatar të përgatitjes </w:t>
                        </w:r>
                        <w:r w:rsidRPr="00F93B31">
                          <w:rPr>
                            <w:bCs/>
                            <w:sz w:val="24"/>
                            <w:szCs w:val="24"/>
                            <w:lang w:val="sq-AL"/>
                          </w:rPr>
                          <w:t xml:space="preserve">për të përafruar </w:t>
                        </w:r>
                        <w:proofErr w:type="spellStart"/>
                        <w:r w:rsidRPr="00F93B31">
                          <w:rPr>
                            <w:i/>
                            <w:sz w:val="24"/>
                            <w:szCs w:val="24"/>
                            <w:lang w:val="sq-AL"/>
                          </w:rPr>
                          <w:t>acquis</w:t>
                        </w:r>
                        <w:proofErr w:type="spellEnd"/>
                        <w:r w:rsidRPr="00F93B31">
                          <w:rPr>
                            <w:i/>
                            <w:sz w:val="24"/>
                            <w:szCs w:val="24"/>
                            <w:lang w:val="sq-AL"/>
                          </w:rPr>
                          <w:t>-</w:t>
                        </w:r>
                        <w:r w:rsidRPr="00F93B31">
                          <w:rPr>
                            <w:iCs/>
                            <w:sz w:val="24"/>
                            <w:szCs w:val="24"/>
                            <w:lang w:val="sq-AL"/>
                          </w:rPr>
                          <w:t xml:space="preserve">në e BE-së në fushën e drejtësisë, lirisë dhe sigurisë. Është arritur </w:t>
                        </w:r>
                        <w:r w:rsidRPr="00F93B31">
                          <w:rPr>
                            <w:b/>
                            <w:bCs/>
                            <w:iCs/>
                            <w:sz w:val="24"/>
                            <w:szCs w:val="24"/>
                            <w:lang w:val="sq-AL"/>
                          </w:rPr>
                          <w:t xml:space="preserve">progres i mirë </w:t>
                        </w:r>
                        <w:r w:rsidRPr="00F93B31">
                          <w:rPr>
                            <w:iCs/>
                            <w:sz w:val="24"/>
                            <w:szCs w:val="24"/>
                            <w:lang w:val="sq-AL"/>
                          </w:rPr>
                          <w:t xml:space="preserve">në përgjithësi. Struktura e Posaçme kundër Krimit të Organizuar dhe Korrupsionit (SPAK) po krijon një historik fillestar të rasteve të zbatimit të ligjit, megjithatë duhet të ketë më shumë përpjekje. </w:t>
                        </w:r>
                        <w:r w:rsidRPr="00F93B31">
                          <w:rPr>
                            <w:sz w:val="24"/>
                            <w:szCs w:val="24"/>
                            <w:lang w:val="sq-AL"/>
                          </w:rPr>
                          <w:t xml:space="preserve">SPAK ka vazhduar të ketë një nivel të mirë bashkëpunimi me BE-në dhe agjencitë </w:t>
                        </w:r>
                        <w:proofErr w:type="spellStart"/>
                        <w:r w:rsidRPr="00F93B31">
                          <w:rPr>
                            <w:sz w:val="24"/>
                            <w:szCs w:val="24"/>
                            <w:lang w:val="sq-AL"/>
                          </w:rPr>
                          <w:t>ligjzbatuese</w:t>
                        </w:r>
                        <w:proofErr w:type="spellEnd"/>
                        <w:r w:rsidRPr="00F93B31">
                          <w:rPr>
                            <w:sz w:val="24"/>
                            <w:szCs w:val="24"/>
                            <w:lang w:val="sq-AL"/>
                          </w:rPr>
                          <w:t xml:space="preserve"> të vendeve anëtare. </w:t>
                        </w:r>
                      </w:p>
                      <w:p w14:paraId="397063DA" w14:textId="77777777" w:rsidR="00E6279B" w:rsidRPr="00F93B31" w:rsidRDefault="00E6279B" w:rsidP="00E6279B">
                        <w:pPr>
                          <w:spacing w:before="120"/>
                          <w:ind w:left="109" w:right="105"/>
                          <w:jc w:val="both"/>
                          <w:rPr>
                            <w:sz w:val="24"/>
                            <w:szCs w:val="24"/>
                            <w:lang w:val="sq-AL"/>
                          </w:rPr>
                        </w:pPr>
                        <w:r w:rsidRPr="00F93B31">
                          <w:rPr>
                            <w:sz w:val="24"/>
                            <w:szCs w:val="24"/>
                            <w:lang w:val="sq-AL"/>
                          </w:rPr>
                          <w:t xml:space="preserve">Historiku për rastet e pastrimit të parave dhe korrupsionit të nivelit të lartë mbetet i pamjaftueshëm, dhe hetimet financiare duhet të zhvillohen më tej. Megjithatë, ka patur progres në zbatimin e rekomandimeve të </w:t>
                        </w:r>
                        <w:proofErr w:type="spellStart"/>
                        <w:r w:rsidRPr="00F93B31">
                          <w:rPr>
                            <w:sz w:val="24"/>
                            <w:szCs w:val="24"/>
                            <w:lang w:val="sq-AL"/>
                          </w:rPr>
                          <w:t>Moneyval</w:t>
                        </w:r>
                        <w:proofErr w:type="spellEnd"/>
                        <w:r w:rsidRPr="00F93B31">
                          <w:rPr>
                            <w:sz w:val="24"/>
                            <w:szCs w:val="24"/>
                            <w:lang w:val="sq-AL"/>
                          </w:rPr>
                          <w:t xml:space="preserve"> dhe të </w:t>
                        </w:r>
                        <w:proofErr w:type="spellStart"/>
                        <w:r w:rsidRPr="00F93B31">
                          <w:rPr>
                            <w:sz w:val="24"/>
                            <w:szCs w:val="24"/>
                            <w:lang w:val="sq-AL"/>
                          </w:rPr>
                          <w:t>Task</w:t>
                        </w:r>
                        <w:proofErr w:type="spellEnd"/>
                        <w:r w:rsidRPr="00F93B31">
                          <w:rPr>
                            <w:sz w:val="24"/>
                            <w:szCs w:val="24"/>
                            <w:lang w:val="sq-AL"/>
                          </w:rPr>
                          <w:t xml:space="preserve"> Forcës së Veprimit </w:t>
                        </w:r>
                      </w:p>
                      <w:p w14:paraId="22A8F1E3" w14:textId="77777777" w:rsidR="00F93B31" w:rsidRPr="00F93B31" w:rsidRDefault="00F93B31" w:rsidP="00F93B31">
                        <w:pPr>
                          <w:spacing w:before="120"/>
                          <w:ind w:left="109" w:right="105"/>
                          <w:jc w:val="both"/>
                          <w:rPr>
                            <w:sz w:val="24"/>
                            <w:szCs w:val="24"/>
                            <w:lang w:val="sq-AL"/>
                          </w:rPr>
                        </w:pPr>
                        <w:r w:rsidRPr="00F93B31">
                          <w:rPr>
                            <w:sz w:val="24"/>
                            <w:szCs w:val="24"/>
                            <w:lang w:val="sq-AL"/>
                          </w:rPr>
                          <w:t xml:space="preserve">Financiar (FATF), duke qenë se në qershor 2023 FATF-ja vendosi të bëjë një vizitë në terren, e cila u krye në gusht dhe çoi në heqjen e Shqipërisë nga lista në muajin tetor. Megjithatë, Shqipëria duhet të garantojë që çdo ligj i ardhshëm për pajtueshmërinë vullnetare të taksave (përfshi amnistitë penale të mundshme) të jetë në përputhje me </w:t>
                        </w:r>
                        <w:proofErr w:type="spellStart"/>
                        <w:r w:rsidRPr="00F93B31">
                          <w:rPr>
                            <w:i/>
                            <w:iCs/>
                            <w:sz w:val="24"/>
                            <w:szCs w:val="24"/>
                            <w:lang w:val="sq-AL"/>
                          </w:rPr>
                          <w:t>acquis</w:t>
                        </w:r>
                        <w:proofErr w:type="spellEnd"/>
                        <w:r w:rsidRPr="00F93B31">
                          <w:rPr>
                            <w:i/>
                            <w:iCs/>
                            <w:sz w:val="24"/>
                            <w:szCs w:val="24"/>
                            <w:lang w:val="sq-AL"/>
                          </w:rPr>
                          <w:t>-</w:t>
                        </w:r>
                        <w:r w:rsidRPr="00F93B31">
                          <w:rPr>
                            <w:sz w:val="24"/>
                            <w:szCs w:val="24"/>
                            <w:lang w:val="sq-AL"/>
                          </w:rPr>
                          <w:t xml:space="preserve">në e BE-së dhe standardet ndërkombëtare. Shqipëria vazhdon të tregojë angazhim për të luftuar prodhimin e paligjshëm dhe trafikimin e kanabisit. Në kuadër të ligjit të miratuar për kontrollin e kultivimit dhe përpunimit të kanabisit, dhe të prodhimit të nënprodukteve të tij për qëllime mjekësore dhe industriale, Shqipëria duhet të garantojë ekzistencën e mekanizmave për të parandaluar në mënyrë efektive që kanabisi të përdoret për qëllime të tjera. </w:t>
                        </w:r>
                      </w:p>
                      <w:p w14:paraId="46546456" w14:textId="77777777" w:rsidR="00F93B31" w:rsidRPr="00F93B31" w:rsidRDefault="00F93B31" w:rsidP="00F93B31">
                        <w:pPr>
                          <w:spacing w:before="120"/>
                          <w:ind w:left="109" w:right="105"/>
                          <w:jc w:val="both"/>
                          <w:rPr>
                            <w:sz w:val="24"/>
                            <w:szCs w:val="24"/>
                            <w:lang w:val="sq-AL"/>
                          </w:rPr>
                        </w:pPr>
                        <w:r w:rsidRPr="00F93B31">
                          <w:rPr>
                            <w:sz w:val="24"/>
                            <w:szCs w:val="24"/>
                            <w:lang w:val="sq-AL"/>
                          </w:rPr>
                          <w:t xml:space="preserve">Shqipëria ka vazhduar angazhimin e saj pozitiv me agjencitë e BE-së për Drejtësinë dhe Çështjet e Brendshme. Shqipëria ka kontribuar në menaxhimin e flukseve të përziera të migrimit drejt BE-së përmes bashkëpunimit për zbatimin e Planit të Veprimit të BE-së për vendet e Ballkanit Perëndimor. Ajo nënshkroi një Marrëveshje Status </w:t>
                        </w:r>
                        <w:proofErr w:type="spellStart"/>
                        <w:r w:rsidRPr="00F93B31">
                          <w:rPr>
                            <w:sz w:val="24"/>
                            <w:szCs w:val="24"/>
                            <w:lang w:val="sq-AL"/>
                          </w:rPr>
                          <w:t>Frontex</w:t>
                        </w:r>
                        <w:proofErr w:type="spellEnd"/>
                        <w:r w:rsidRPr="00F93B31">
                          <w:rPr>
                            <w:sz w:val="24"/>
                            <w:szCs w:val="24"/>
                            <w:lang w:val="sq-AL"/>
                          </w:rPr>
                          <w:t xml:space="preserve"> në muajin shtator. Referimet dhe qasja në procedurat e azilit mbeten për tu adresuar, dhe ka ende mangësi në proceduat e kthimit. Numri i aplikimeve për azil i depozituar nga shtetasit shqiptarë në Vendet Anëtare të BE-së dhe në vendet </w:t>
                        </w:r>
                        <w:proofErr w:type="spellStart"/>
                        <w:r w:rsidRPr="00F93B31">
                          <w:rPr>
                            <w:sz w:val="24"/>
                            <w:szCs w:val="24"/>
                            <w:lang w:val="sq-AL"/>
                          </w:rPr>
                          <w:t>Shengen</w:t>
                        </w:r>
                        <w:proofErr w:type="spellEnd"/>
                        <w:r w:rsidRPr="00F93B31">
                          <w:rPr>
                            <w:sz w:val="24"/>
                            <w:szCs w:val="24"/>
                            <w:lang w:val="sq-AL"/>
                          </w:rPr>
                          <w:t xml:space="preserve"> mbetet më i ulët se niveli para pandemisë, por është rritur më tej në vitin 2022. Adresimi i këtij fenomeni kërkon ende përpjekje të vazhdueshme. Në lidhje me emigracionin nga vendet e treta, Shqipëria duhet të marrë masa konkrete për të adresuar nevojat e të miturve të pashoqëruar. Politika e vizave e Shqipërisë duhet të harmonizohet më tej me atë të BE-së.</w:t>
                        </w:r>
                      </w:p>
                      <w:p w14:paraId="2E9A0D09" w14:textId="77777777" w:rsidR="00F93B31" w:rsidRPr="00F93B31" w:rsidRDefault="00F93B31" w:rsidP="00F93B31">
                        <w:pPr>
                          <w:spacing w:before="120"/>
                          <w:ind w:left="109" w:right="105"/>
                          <w:jc w:val="both"/>
                          <w:rPr>
                            <w:sz w:val="24"/>
                            <w:szCs w:val="24"/>
                            <w:lang w:val="sq-AL"/>
                          </w:rPr>
                        </w:pPr>
                        <w:r w:rsidRPr="00F93B31">
                          <w:rPr>
                            <w:sz w:val="24"/>
                            <w:szCs w:val="24"/>
                            <w:lang w:val="sq-AL"/>
                          </w:rPr>
                          <w:t>Rekomandimet për vitin 2022 janë adresuar vetëm pjesërisht. Në vitin e ardhshëm, Shqipëria duhet veçanërisht të:</w:t>
                        </w:r>
                      </w:p>
                      <w:p w14:paraId="66F2EB48" w14:textId="77777777" w:rsidR="00F93B31" w:rsidRPr="00F93B31" w:rsidRDefault="00F93B31" w:rsidP="00F93B31">
                        <w:pPr>
                          <w:spacing w:before="120"/>
                          <w:ind w:left="109" w:right="105"/>
                          <w:jc w:val="both"/>
                          <w:rPr>
                            <w:sz w:val="24"/>
                            <w:szCs w:val="24"/>
                            <w:lang w:val="sq-AL"/>
                          </w:rPr>
                        </w:pPr>
                        <w:r w:rsidRPr="00F93B31">
                          <w:rPr>
                            <w:sz w:val="24"/>
                            <w:szCs w:val="24"/>
                            <w:lang w:val="sq-AL"/>
                          </w:rPr>
                          <w:t> vazhdojë të zhvillojë përdorimin sistematik të hetimeve paralele financiare kur trajton raste të krimit të organizuar, trafikut të paligjshëm, terrorizmit dhe pastrimit të parave;</w:t>
                        </w:r>
                      </w:p>
                      <w:p w14:paraId="10392145" w14:textId="77777777" w:rsidR="00F93B31" w:rsidRPr="00F93B31" w:rsidRDefault="00F93B31" w:rsidP="00F93B31">
                        <w:pPr>
                          <w:spacing w:before="120"/>
                          <w:ind w:left="109" w:right="105"/>
                          <w:jc w:val="both"/>
                          <w:rPr>
                            <w:sz w:val="24"/>
                            <w:szCs w:val="24"/>
                            <w:lang w:val="sq-AL"/>
                          </w:rPr>
                        </w:pPr>
                        <w:r w:rsidRPr="00F93B31">
                          <w:rPr>
                            <w:sz w:val="24"/>
                            <w:szCs w:val="24"/>
                            <w:lang w:val="sq-AL"/>
                          </w:rPr>
                          <w:t xml:space="preserve"> garantojë që çdo taksë vullnetare dhe çdo legjislacion përputhshmërie (përfshi amnistitë) është në përputhje me </w:t>
                        </w:r>
                        <w:proofErr w:type="spellStart"/>
                        <w:r w:rsidRPr="00F93B31">
                          <w:rPr>
                            <w:sz w:val="24"/>
                            <w:szCs w:val="24"/>
                            <w:lang w:val="sq-AL"/>
                          </w:rPr>
                          <w:t>acquis</w:t>
                        </w:r>
                        <w:proofErr w:type="spellEnd"/>
                        <w:r w:rsidRPr="00F93B31">
                          <w:rPr>
                            <w:sz w:val="24"/>
                            <w:szCs w:val="24"/>
                            <w:lang w:val="sq-AL"/>
                          </w:rPr>
                          <w:t xml:space="preserve">-në përkatëse të BE-së dhe standardet ndërkombëtare të përcaktuara nga </w:t>
                        </w:r>
                        <w:proofErr w:type="spellStart"/>
                        <w:r w:rsidRPr="00F93B31">
                          <w:rPr>
                            <w:sz w:val="24"/>
                            <w:szCs w:val="24"/>
                            <w:lang w:val="sq-AL"/>
                          </w:rPr>
                          <w:t>Moneyval</w:t>
                        </w:r>
                        <w:proofErr w:type="spellEnd"/>
                        <w:r w:rsidRPr="00F93B31">
                          <w:rPr>
                            <w:sz w:val="24"/>
                            <w:szCs w:val="24"/>
                            <w:lang w:val="sq-AL"/>
                          </w:rPr>
                          <w:t xml:space="preserve"> dhe </w:t>
                        </w:r>
                        <w:proofErr w:type="spellStart"/>
                        <w:r w:rsidRPr="00F93B31">
                          <w:rPr>
                            <w:sz w:val="24"/>
                            <w:szCs w:val="24"/>
                            <w:lang w:val="sq-AL"/>
                          </w:rPr>
                          <w:t>Task</w:t>
                        </w:r>
                        <w:proofErr w:type="spellEnd"/>
                        <w:r w:rsidRPr="00F93B31">
                          <w:rPr>
                            <w:sz w:val="24"/>
                            <w:szCs w:val="24"/>
                            <w:lang w:val="sq-AL"/>
                          </w:rPr>
                          <w:t xml:space="preserve"> Forca e Veprimit Financiar (FATF);</w:t>
                        </w:r>
                      </w:p>
                      <w:p w14:paraId="7ABE0E0F" w14:textId="77777777" w:rsidR="00F93B31" w:rsidRPr="00F93B31" w:rsidRDefault="00F93B31" w:rsidP="00F93B31">
                        <w:pPr>
                          <w:spacing w:before="120"/>
                          <w:ind w:left="109" w:right="105"/>
                          <w:jc w:val="both"/>
                          <w:rPr>
                            <w:sz w:val="24"/>
                            <w:szCs w:val="24"/>
                            <w:lang w:val="sq-AL"/>
                          </w:rPr>
                        </w:pPr>
                        <w:r w:rsidRPr="00F93B31">
                          <w:rPr>
                            <w:sz w:val="24"/>
                            <w:szCs w:val="24"/>
                            <w:lang w:val="sq-AL"/>
                          </w:rPr>
                          <w:t xml:space="preserve"> të zbatojë në mënyrë efektive ligjin për azilin dhe të përmirësojë referimet dhe qasjen në procedurën e azilit; të adresojë mangësitë në procedurat e kthimit; të rifillojë ofrimin e rregullt dhe në kohë të </w:t>
                        </w:r>
                        <w:proofErr w:type="spellStart"/>
                        <w:r w:rsidRPr="00F93B31">
                          <w:rPr>
                            <w:sz w:val="24"/>
                            <w:szCs w:val="24"/>
                            <w:lang w:val="sq-AL"/>
                          </w:rPr>
                          <w:t>të</w:t>
                        </w:r>
                        <w:proofErr w:type="spellEnd"/>
                        <w:r w:rsidRPr="00F93B31">
                          <w:rPr>
                            <w:sz w:val="24"/>
                            <w:szCs w:val="24"/>
                            <w:lang w:val="sq-AL"/>
                          </w:rPr>
                          <w:t xml:space="preserve"> dhënave mbi flukset e migracionit dhe azilit; të vazhdojë të adresojë çështjen e kërkesave të pabazuara për azil; dhe të harmonizoj më tej politikën e saj të vizave me atë të BE-së. </w:t>
                        </w:r>
                      </w:p>
                      <w:p w14:paraId="6B4A441D" w14:textId="77777777" w:rsidR="00F93B31" w:rsidRDefault="00F93B31" w:rsidP="00E6279B">
                        <w:pPr>
                          <w:spacing w:before="120"/>
                          <w:ind w:left="109" w:right="105"/>
                          <w:jc w:val="both"/>
                          <w:rPr>
                            <w:lang w:val="sq-AL"/>
                          </w:rPr>
                        </w:pPr>
                      </w:p>
                      <w:p w14:paraId="50D002FE" w14:textId="77777777" w:rsidR="00F93B31" w:rsidRPr="00117E20" w:rsidRDefault="00F93B31" w:rsidP="00E6279B">
                        <w:pPr>
                          <w:spacing w:before="120"/>
                          <w:ind w:left="109" w:right="105"/>
                          <w:jc w:val="both"/>
                          <w:rPr>
                            <w:sz w:val="24"/>
                            <w:lang w:val="sq-AL"/>
                          </w:rPr>
                        </w:pPr>
                      </w:p>
                    </w:txbxContent>
                  </v:textbox>
                </v:shape>
                <w10:wrap type="topAndBottom" anchorx="page"/>
              </v:group>
            </w:pict>
          </mc:Fallback>
        </mc:AlternateContent>
      </w:r>
    </w:p>
    <w:p w14:paraId="48F16CF0" w14:textId="77777777" w:rsidR="00F93B31" w:rsidRPr="0032048B" w:rsidRDefault="00F93B31" w:rsidP="00F93B31">
      <w:pPr>
        <w:spacing w:before="143"/>
        <w:ind w:left="900" w:right="1000"/>
        <w:jc w:val="both"/>
        <w:rPr>
          <w:spacing w:val="-2"/>
          <w:sz w:val="24"/>
          <w:szCs w:val="24"/>
          <w:u w:val="single"/>
          <w:lang w:val="sq-AL"/>
        </w:rPr>
      </w:pPr>
      <w:r w:rsidRPr="0032048B">
        <w:rPr>
          <w:spacing w:val="-2"/>
          <w:sz w:val="24"/>
          <w:szCs w:val="24"/>
          <w:u w:val="single"/>
          <w:lang w:val="sq-AL"/>
        </w:rPr>
        <w:lastRenderedPageBreak/>
        <w:t>Lufta kundër krimit të organizuar</w:t>
      </w:r>
    </w:p>
    <w:p w14:paraId="4279012D" w14:textId="77777777" w:rsidR="00CC77B5" w:rsidRPr="0032048B" w:rsidRDefault="00CC77B5" w:rsidP="00CC77B5">
      <w:pPr>
        <w:spacing w:before="143"/>
        <w:ind w:right="1000"/>
        <w:jc w:val="both"/>
        <w:rPr>
          <w:spacing w:val="-2"/>
          <w:sz w:val="24"/>
          <w:szCs w:val="24"/>
          <w:lang w:val="sq-AL"/>
        </w:rPr>
      </w:pPr>
    </w:p>
    <w:tbl>
      <w:tblPr>
        <w:tblStyle w:val="TableGrid"/>
        <w:tblW w:w="0" w:type="auto"/>
        <w:tblInd w:w="900" w:type="dxa"/>
        <w:shd w:val="clear" w:color="auto" w:fill="D9D9D9" w:themeFill="background1" w:themeFillShade="D9"/>
        <w:tblLook w:val="04A0" w:firstRow="1" w:lastRow="0" w:firstColumn="1" w:lastColumn="0" w:noHBand="0" w:noVBand="1"/>
      </w:tblPr>
      <w:tblGrid>
        <w:gridCol w:w="9175"/>
      </w:tblGrid>
      <w:tr w:rsidR="00CC77B5" w:rsidRPr="0032048B" w14:paraId="2BB5FF39" w14:textId="77777777" w:rsidTr="00CC77B5">
        <w:tc>
          <w:tcPr>
            <w:tcW w:w="9175" w:type="dxa"/>
            <w:shd w:val="clear" w:color="auto" w:fill="D9D9D9" w:themeFill="background1" w:themeFillShade="D9"/>
          </w:tcPr>
          <w:p w14:paraId="4C894FD5" w14:textId="77777777" w:rsidR="00CC77B5" w:rsidRPr="0032048B" w:rsidRDefault="00CC77B5" w:rsidP="00CC77B5">
            <w:pPr>
              <w:spacing w:before="143"/>
              <w:ind w:left="-30" w:right="76"/>
              <w:jc w:val="both"/>
              <w:rPr>
                <w:spacing w:val="-2"/>
                <w:sz w:val="24"/>
                <w:szCs w:val="24"/>
                <w:lang w:val="sq-AL"/>
              </w:rPr>
            </w:pPr>
            <w:r w:rsidRPr="0032048B">
              <w:rPr>
                <w:spacing w:val="-2"/>
                <w:sz w:val="24"/>
                <w:szCs w:val="24"/>
                <w:lang w:val="sq-AL"/>
              </w:rPr>
              <w:t xml:space="preserve">Vendi ka përgatitje të mjaftueshme për zbatimin e </w:t>
            </w:r>
            <w:proofErr w:type="spellStart"/>
            <w:r w:rsidRPr="0032048B">
              <w:rPr>
                <w:spacing w:val="-2"/>
                <w:sz w:val="24"/>
                <w:szCs w:val="24"/>
                <w:lang w:val="sq-AL"/>
              </w:rPr>
              <w:t>acquis</w:t>
            </w:r>
            <w:proofErr w:type="spellEnd"/>
            <w:r w:rsidRPr="0032048B">
              <w:rPr>
                <w:spacing w:val="-2"/>
                <w:sz w:val="24"/>
                <w:szCs w:val="24"/>
                <w:lang w:val="sq-AL"/>
              </w:rPr>
              <w:t xml:space="preserve">-së të BE-së në këtë fushë. Vendi ka bërë progres të mirë në zbatimin e rekomandimeve të vitit të kaluar. Shqipëria vazhdon të ketë një nivel të mirë bashkëpunimi me Vendet Anëtare të BE-së, </w:t>
            </w:r>
            <w:proofErr w:type="spellStart"/>
            <w:r w:rsidRPr="0032048B">
              <w:rPr>
                <w:spacing w:val="-2"/>
                <w:sz w:val="24"/>
                <w:szCs w:val="24"/>
                <w:lang w:val="sq-AL"/>
              </w:rPr>
              <w:t>Europol</w:t>
            </w:r>
            <w:proofErr w:type="spellEnd"/>
            <w:r w:rsidRPr="0032048B">
              <w:rPr>
                <w:spacing w:val="-2"/>
                <w:sz w:val="24"/>
                <w:szCs w:val="24"/>
                <w:lang w:val="sq-AL"/>
              </w:rPr>
              <w:t xml:space="preserve">-in dhe </w:t>
            </w:r>
            <w:proofErr w:type="spellStart"/>
            <w:r w:rsidRPr="0032048B">
              <w:rPr>
                <w:spacing w:val="-2"/>
                <w:sz w:val="24"/>
                <w:szCs w:val="24"/>
                <w:lang w:val="sq-AL"/>
              </w:rPr>
              <w:t>Eurojust</w:t>
            </w:r>
            <w:proofErr w:type="spellEnd"/>
            <w:r w:rsidRPr="0032048B">
              <w:rPr>
                <w:spacing w:val="-2"/>
                <w:sz w:val="24"/>
                <w:szCs w:val="24"/>
                <w:lang w:val="sq-AL"/>
              </w:rPr>
              <w:t xml:space="preserve">-in, dhe ka marrë pjesë në një sërë operacionesh ndërkombëtare </w:t>
            </w:r>
            <w:proofErr w:type="spellStart"/>
            <w:r w:rsidRPr="0032048B">
              <w:rPr>
                <w:spacing w:val="-2"/>
                <w:sz w:val="24"/>
                <w:szCs w:val="24"/>
                <w:lang w:val="sq-AL"/>
              </w:rPr>
              <w:t>ligjzbatuese</w:t>
            </w:r>
            <w:proofErr w:type="spellEnd"/>
            <w:r w:rsidRPr="0032048B">
              <w:rPr>
                <w:spacing w:val="-2"/>
                <w:sz w:val="24"/>
                <w:szCs w:val="24"/>
                <w:lang w:val="sq-AL"/>
              </w:rPr>
              <w:t xml:space="preserve">. Njëfarë progresi është bërë në lidhje me kapjen dhe konfiskimin e </w:t>
            </w:r>
            <w:proofErr w:type="spellStart"/>
            <w:r w:rsidRPr="0032048B">
              <w:rPr>
                <w:spacing w:val="-2"/>
                <w:sz w:val="24"/>
                <w:szCs w:val="24"/>
                <w:lang w:val="sq-AL"/>
              </w:rPr>
              <w:t>aseteve</w:t>
            </w:r>
            <w:proofErr w:type="spellEnd"/>
            <w:r w:rsidRPr="0032048B">
              <w:rPr>
                <w:spacing w:val="-2"/>
                <w:sz w:val="24"/>
                <w:szCs w:val="24"/>
                <w:lang w:val="sq-AL"/>
              </w:rPr>
              <w:t xml:space="preserve"> që lidhen me krimin e organizuar, gjë që duhet të vazhdojë në të ardhmen. Kërkohen përpjekje të vazhdueshme për të pasur më shumë ndjekje penale dhe dënime përfundimtare, veçanërisht të nivelit të lartë, dhe krijimin e një zyre të kthimit të pasurisë. Kërkohen më tepër rezultate në luftën kundër krimit </w:t>
            </w:r>
            <w:proofErr w:type="spellStart"/>
            <w:r w:rsidRPr="0032048B">
              <w:rPr>
                <w:spacing w:val="-2"/>
                <w:sz w:val="24"/>
                <w:szCs w:val="24"/>
                <w:lang w:val="sq-AL"/>
              </w:rPr>
              <w:t>kibernetik</w:t>
            </w:r>
            <w:proofErr w:type="spellEnd"/>
            <w:r w:rsidRPr="0032048B">
              <w:rPr>
                <w:spacing w:val="-2"/>
                <w:sz w:val="24"/>
                <w:szCs w:val="24"/>
                <w:lang w:val="sq-AL"/>
              </w:rPr>
              <w:t>, pastrimit të parave, dhe parandalimit dhe luftës kundër trafikimit të qenieve njerëzore. Të gjitha format e abuzimit seksual të fëmijëve në internet duhet të shpallen vepra penale dhe të ndiqen penalisht.</w:t>
            </w:r>
          </w:p>
          <w:p w14:paraId="4AC88CC9" w14:textId="77777777" w:rsidR="00CC77B5" w:rsidRPr="0032048B" w:rsidRDefault="00CC77B5" w:rsidP="00CC77B5">
            <w:pPr>
              <w:spacing w:before="143"/>
              <w:ind w:left="-30"/>
              <w:jc w:val="both"/>
              <w:rPr>
                <w:spacing w:val="-2"/>
                <w:sz w:val="24"/>
                <w:szCs w:val="24"/>
                <w:lang w:val="sq-AL"/>
              </w:rPr>
            </w:pPr>
            <w:r w:rsidRPr="0032048B">
              <w:rPr>
                <w:spacing w:val="-2"/>
                <w:sz w:val="24"/>
                <w:szCs w:val="24"/>
                <w:lang w:val="sq-AL"/>
              </w:rPr>
              <w:t>Rekomandimet e vitit të kaluar janë ende të vlefshme, ndaj në vitin e ardhshëm Shqipëria duhet veçanërisht të:</w:t>
            </w:r>
          </w:p>
          <w:p w14:paraId="0ACDDA7B" w14:textId="6029C99C" w:rsidR="00CC77B5" w:rsidRPr="0032048B" w:rsidRDefault="00CC77B5" w:rsidP="00CC77B5">
            <w:pPr>
              <w:pStyle w:val="ListParagraph"/>
              <w:numPr>
                <w:ilvl w:val="0"/>
                <w:numId w:val="12"/>
              </w:numPr>
              <w:spacing w:before="143"/>
              <w:jc w:val="both"/>
              <w:rPr>
                <w:spacing w:val="-2"/>
                <w:sz w:val="24"/>
                <w:szCs w:val="24"/>
                <w:lang w:val="sq-AL"/>
              </w:rPr>
            </w:pPr>
            <w:r w:rsidRPr="0032048B">
              <w:rPr>
                <w:spacing w:val="-2"/>
                <w:sz w:val="24"/>
                <w:szCs w:val="24"/>
                <w:lang w:val="sq-AL"/>
              </w:rPr>
              <w:t xml:space="preserve">forcojë luftën kundër krimit të organizuar, përfshirë përmes bashkëpunimit me Shtetet Anëtare të BE-së dhe agjencitë e BE-së (duke përfshirë </w:t>
            </w:r>
            <w:proofErr w:type="spellStart"/>
            <w:r w:rsidRPr="0032048B">
              <w:rPr>
                <w:spacing w:val="-2"/>
                <w:sz w:val="24"/>
                <w:szCs w:val="24"/>
                <w:lang w:val="sq-AL"/>
              </w:rPr>
              <w:t>Europol</w:t>
            </w:r>
            <w:proofErr w:type="spellEnd"/>
            <w:r w:rsidRPr="0032048B">
              <w:rPr>
                <w:spacing w:val="-2"/>
                <w:sz w:val="24"/>
                <w:szCs w:val="24"/>
                <w:lang w:val="sq-AL"/>
              </w:rPr>
              <w:t xml:space="preserve">-in dhe </w:t>
            </w:r>
            <w:proofErr w:type="spellStart"/>
            <w:r w:rsidRPr="0032048B">
              <w:rPr>
                <w:spacing w:val="-2"/>
                <w:sz w:val="24"/>
                <w:szCs w:val="24"/>
                <w:lang w:val="sq-AL"/>
              </w:rPr>
              <w:t>Eurojust</w:t>
            </w:r>
            <w:proofErr w:type="spellEnd"/>
            <w:r w:rsidRPr="0032048B">
              <w:rPr>
                <w:spacing w:val="-2"/>
                <w:sz w:val="24"/>
                <w:szCs w:val="24"/>
                <w:lang w:val="sq-AL"/>
              </w:rPr>
              <w:t xml:space="preserve">-in), dhe të rrisë </w:t>
            </w:r>
            <w:proofErr w:type="spellStart"/>
            <w:r w:rsidRPr="0032048B">
              <w:rPr>
                <w:spacing w:val="-2"/>
                <w:sz w:val="24"/>
                <w:szCs w:val="24"/>
                <w:lang w:val="sq-AL"/>
              </w:rPr>
              <w:t>aksesin</w:t>
            </w:r>
            <w:proofErr w:type="spellEnd"/>
            <w:r w:rsidRPr="0032048B">
              <w:rPr>
                <w:spacing w:val="-2"/>
                <w:sz w:val="24"/>
                <w:szCs w:val="24"/>
                <w:lang w:val="sq-AL"/>
              </w:rPr>
              <w:t xml:space="preserve"> në Aplikacionin e Sigurt të Rrjetit të Shkëmbimit të Informacionit (SIENA) të </w:t>
            </w:r>
            <w:proofErr w:type="spellStart"/>
            <w:r w:rsidRPr="0032048B">
              <w:rPr>
                <w:spacing w:val="-2"/>
                <w:sz w:val="24"/>
                <w:szCs w:val="24"/>
                <w:lang w:val="sq-AL"/>
              </w:rPr>
              <w:t>Europolit</w:t>
            </w:r>
            <w:proofErr w:type="spellEnd"/>
            <w:r w:rsidRPr="0032048B">
              <w:rPr>
                <w:spacing w:val="-2"/>
                <w:sz w:val="24"/>
                <w:szCs w:val="24"/>
                <w:lang w:val="sq-AL"/>
              </w:rPr>
              <w:t xml:space="preserve"> për të gjitha agjencitë </w:t>
            </w:r>
            <w:proofErr w:type="spellStart"/>
            <w:r w:rsidRPr="0032048B">
              <w:rPr>
                <w:spacing w:val="-2"/>
                <w:sz w:val="24"/>
                <w:szCs w:val="24"/>
                <w:lang w:val="sq-AL"/>
              </w:rPr>
              <w:t>ligjzbatuese</w:t>
            </w:r>
            <w:proofErr w:type="spellEnd"/>
            <w:r w:rsidRPr="0032048B">
              <w:rPr>
                <w:spacing w:val="-2"/>
                <w:sz w:val="24"/>
                <w:szCs w:val="24"/>
                <w:lang w:val="sq-AL"/>
              </w:rPr>
              <w:t xml:space="preserve"> përkatëse;</w:t>
            </w:r>
          </w:p>
          <w:p w14:paraId="164363E6" w14:textId="2B16562F" w:rsidR="00CC77B5" w:rsidRPr="0032048B" w:rsidRDefault="00CC77B5" w:rsidP="00CC77B5">
            <w:pPr>
              <w:pStyle w:val="ListParagraph"/>
              <w:numPr>
                <w:ilvl w:val="0"/>
                <w:numId w:val="12"/>
              </w:numPr>
              <w:spacing w:before="143"/>
              <w:jc w:val="both"/>
              <w:rPr>
                <w:spacing w:val="-2"/>
                <w:sz w:val="24"/>
                <w:szCs w:val="24"/>
                <w:lang w:val="sq-AL"/>
              </w:rPr>
            </w:pPr>
            <w:r w:rsidRPr="0032048B">
              <w:rPr>
                <w:spacing w:val="-2"/>
                <w:sz w:val="24"/>
                <w:szCs w:val="24"/>
                <w:lang w:val="sq-AL"/>
              </w:rPr>
              <w:t xml:space="preserve">ngrejë pa vonesë një zyrë të kthimit të pasurisë në përputhje me </w:t>
            </w:r>
            <w:proofErr w:type="spellStart"/>
            <w:r w:rsidRPr="0032048B">
              <w:rPr>
                <w:spacing w:val="-2"/>
                <w:sz w:val="24"/>
                <w:szCs w:val="24"/>
                <w:lang w:val="sq-AL"/>
              </w:rPr>
              <w:t>acquis</w:t>
            </w:r>
            <w:proofErr w:type="spellEnd"/>
            <w:r w:rsidRPr="0032048B">
              <w:rPr>
                <w:spacing w:val="-2"/>
                <w:sz w:val="24"/>
                <w:szCs w:val="24"/>
                <w:lang w:val="sq-AL"/>
              </w:rPr>
              <w:t>-në e BE-së, që do të jetë përgjegjëse për identifikimin dhe gjurmimin e pasurive kriminale, siç parashikohet nga legjislacioni kombëtar;</w:t>
            </w:r>
          </w:p>
          <w:p w14:paraId="325C1F69" w14:textId="74137FAF" w:rsidR="00CC77B5" w:rsidRPr="0032048B" w:rsidRDefault="00CC77B5" w:rsidP="00CC77B5">
            <w:pPr>
              <w:pStyle w:val="ListParagraph"/>
              <w:numPr>
                <w:ilvl w:val="0"/>
                <w:numId w:val="12"/>
              </w:numPr>
              <w:spacing w:before="143"/>
              <w:jc w:val="both"/>
              <w:rPr>
                <w:spacing w:val="-2"/>
                <w:sz w:val="24"/>
                <w:szCs w:val="24"/>
                <w:lang w:val="sq-AL"/>
              </w:rPr>
            </w:pPr>
            <w:r w:rsidRPr="0032048B">
              <w:rPr>
                <w:spacing w:val="-2"/>
                <w:sz w:val="24"/>
                <w:szCs w:val="24"/>
                <w:lang w:val="sq-AL"/>
              </w:rPr>
              <w:t xml:space="preserve">sigurojë se Prokuroria e Posaçme dhe Byroja Kombëtare e Hetimit të përdorin në mënyrë efikase bazat e të dhënave ku tashmë kanë </w:t>
            </w:r>
            <w:proofErr w:type="spellStart"/>
            <w:r w:rsidRPr="0032048B">
              <w:rPr>
                <w:spacing w:val="-2"/>
                <w:sz w:val="24"/>
                <w:szCs w:val="24"/>
                <w:lang w:val="sq-AL"/>
              </w:rPr>
              <w:t>akses</w:t>
            </w:r>
            <w:proofErr w:type="spellEnd"/>
            <w:r w:rsidRPr="0032048B">
              <w:rPr>
                <w:spacing w:val="-2"/>
                <w:sz w:val="24"/>
                <w:szCs w:val="24"/>
                <w:lang w:val="sq-AL"/>
              </w:rPr>
              <w:t>, dhe të përmirësojnë analizën e tyre penale dhe aftësitë e inteligjencës</w:t>
            </w:r>
          </w:p>
          <w:p w14:paraId="6F83BB51" w14:textId="77777777" w:rsidR="00CC77B5" w:rsidRPr="0032048B" w:rsidRDefault="00CC77B5" w:rsidP="00CC77B5">
            <w:pPr>
              <w:spacing w:before="143"/>
              <w:ind w:right="1000"/>
              <w:jc w:val="both"/>
              <w:rPr>
                <w:spacing w:val="-2"/>
                <w:sz w:val="24"/>
                <w:szCs w:val="24"/>
                <w:lang w:val="sq-AL"/>
              </w:rPr>
            </w:pPr>
          </w:p>
        </w:tc>
      </w:tr>
    </w:tbl>
    <w:p w14:paraId="59299174" w14:textId="77777777" w:rsidR="00F93B31" w:rsidRPr="0032048B" w:rsidRDefault="00F93B31" w:rsidP="00F93B31">
      <w:pPr>
        <w:spacing w:before="143"/>
        <w:jc w:val="both"/>
        <w:rPr>
          <w:spacing w:val="-2"/>
          <w:sz w:val="24"/>
          <w:szCs w:val="24"/>
          <w:u w:val="single"/>
          <w:lang w:val="sq-AL"/>
        </w:rPr>
      </w:pPr>
    </w:p>
    <w:p w14:paraId="60CF81C5" w14:textId="7CEE330E" w:rsidR="00E6279B" w:rsidRPr="0032048B" w:rsidRDefault="00E6279B" w:rsidP="00CC77B5">
      <w:pPr>
        <w:spacing w:before="143"/>
        <w:ind w:left="810"/>
        <w:jc w:val="both"/>
        <w:rPr>
          <w:sz w:val="24"/>
          <w:szCs w:val="24"/>
          <w:lang w:val="sq-AL"/>
        </w:rPr>
      </w:pPr>
      <w:r w:rsidRPr="0032048B">
        <w:rPr>
          <w:spacing w:val="-2"/>
          <w:sz w:val="24"/>
          <w:szCs w:val="24"/>
          <w:u w:val="single"/>
          <w:lang w:val="sq-AL"/>
        </w:rPr>
        <w:t>Organizimi institucional dhe harmonizimi ligjor</w:t>
      </w:r>
    </w:p>
    <w:p w14:paraId="6C74EDAD" w14:textId="77777777" w:rsidR="00CC77B5" w:rsidRPr="0032048B" w:rsidRDefault="00E6279B" w:rsidP="00CC77B5">
      <w:pPr>
        <w:spacing w:before="120"/>
        <w:ind w:left="810" w:right="976"/>
        <w:jc w:val="both"/>
        <w:rPr>
          <w:spacing w:val="-2"/>
          <w:sz w:val="24"/>
          <w:szCs w:val="24"/>
          <w:lang w:val="sq-AL"/>
        </w:rPr>
      </w:pPr>
      <w:r w:rsidRPr="0032048B">
        <w:rPr>
          <w:spacing w:val="-2"/>
          <w:sz w:val="24"/>
          <w:szCs w:val="24"/>
          <w:lang w:val="sq-AL"/>
        </w:rPr>
        <w:t>Policia e Shtetit (ASP) ka në total 11 932 oficerë, e barasvlershme me 260 oficerë për 100 000 banorë, krahasuar me mesataren e BE-së prej 335,3 për 100 000 banorë (</w:t>
      </w:r>
      <w:proofErr w:type="spellStart"/>
      <w:r w:rsidRPr="0032048B">
        <w:rPr>
          <w:spacing w:val="-2"/>
          <w:sz w:val="24"/>
          <w:szCs w:val="24"/>
          <w:lang w:val="sq-AL"/>
        </w:rPr>
        <w:t>Eurostat</w:t>
      </w:r>
      <w:proofErr w:type="spellEnd"/>
      <w:r w:rsidRPr="0032048B">
        <w:rPr>
          <w:spacing w:val="-2"/>
          <w:sz w:val="24"/>
          <w:szCs w:val="24"/>
          <w:lang w:val="sq-AL"/>
        </w:rPr>
        <w:t>, 2019-2021). Ministria e Punëve të Brendshme miratoi reformën organizative dhe strukturore të Policisë së Shtetit në nivel qendror dhe lokal në prill të vitit 2023, dhe zbatimi i saj filloi në maj të vitit 2023. Në kuadër të reformës, ASP-ja u angazhua të adresojë nivelin e lartë të rotacionit të stafit të saj. Pas transferimit të përgjegjësive për pastrimin e parave, financimin e terrorizmit, krimet financiare dhe hetimin e pronës nga ish Prokuroria e Krimeve të Rënda tek Prokuroritë e Rretheve Gjyqësore, prokurorët dhe oficerët e policisë gjyqësore kanë nevojë për trajnim të mëtejshëm. Shqipëria duhet t’i pajisë institucionet përkatëse me burimet njerëzore të duhura, përfshi këtu ekspertizën e jashtme, dhe me qasje në bazat e të dhënave përkatëse dhe sistemet e inteligjencës penale për të garantuar efikasitet në luftën kundër krimit të organizuar.</w:t>
      </w:r>
    </w:p>
    <w:p w14:paraId="555476EF" w14:textId="77777777" w:rsidR="00CC77B5" w:rsidRPr="0032048B" w:rsidRDefault="00E6279B" w:rsidP="00CC77B5">
      <w:pPr>
        <w:spacing w:before="120"/>
        <w:ind w:left="810" w:right="976"/>
        <w:jc w:val="both"/>
        <w:rPr>
          <w:spacing w:val="-2"/>
          <w:sz w:val="24"/>
          <w:szCs w:val="24"/>
          <w:lang w:val="sq-AL"/>
        </w:rPr>
      </w:pPr>
      <w:r w:rsidRPr="0032048B">
        <w:rPr>
          <w:sz w:val="24"/>
          <w:szCs w:val="24"/>
          <w:lang w:val="sq-AL"/>
        </w:rPr>
        <w:t xml:space="preserve">Strukturat e Posaçme të </w:t>
      </w:r>
      <w:proofErr w:type="spellStart"/>
      <w:r w:rsidRPr="0032048B">
        <w:rPr>
          <w:sz w:val="24"/>
          <w:szCs w:val="24"/>
          <w:lang w:val="sq-AL"/>
        </w:rPr>
        <w:t>Antikorrupsionit</w:t>
      </w:r>
      <w:proofErr w:type="spellEnd"/>
      <w:r w:rsidRPr="0032048B">
        <w:rPr>
          <w:sz w:val="24"/>
          <w:szCs w:val="24"/>
          <w:lang w:val="sq-AL"/>
        </w:rPr>
        <w:t xml:space="preserve"> dhe Krimit të Organizuar (SPAK) ka 17 prokurorë, nga 20 që u miratuan nga Këshilli i Lartë i Prokurorisë. Një prokuror është transferuar përkohësisht në SPAK nga Zyra e Prokurorit të Përgjithshëm në mars të vitit 2023 për një periudhë një vjeçare. 74 pozicione administrative janë plotësuar dhe 17 janë vakante. Puna e njësisë së hetimit financiar në Prokurorinë e Posaçme filloi pas rekrutimit të 12 hetuesve në muajt prill dhe maj të vitit 2023, ndërkohë që rekrutimi i 4 hetuesve të tjerë është në proces. 60 hetuesit e Byrosë </w:t>
      </w:r>
      <w:r w:rsidRPr="0032048B">
        <w:rPr>
          <w:sz w:val="24"/>
          <w:szCs w:val="24"/>
          <w:lang w:val="sq-AL"/>
        </w:rPr>
        <w:lastRenderedPageBreak/>
        <w:t xml:space="preserve">Kombëtare të Hetimit (BKH) dhe disa prokurorë të tjerë të veçantë kanë ndjekur trajnime mbi tema të ndryshme me mbështetjen e aktorëve ndërkombëtarë (kryesisht BE dhe SHBA). Numri i bazave të </w:t>
      </w:r>
      <w:proofErr w:type="spellStart"/>
      <w:r w:rsidRPr="0032048B">
        <w:rPr>
          <w:sz w:val="24"/>
          <w:szCs w:val="24"/>
          <w:lang w:val="sq-AL"/>
        </w:rPr>
        <w:t>të</w:t>
      </w:r>
      <w:proofErr w:type="spellEnd"/>
      <w:r w:rsidRPr="0032048B">
        <w:rPr>
          <w:sz w:val="24"/>
          <w:szCs w:val="24"/>
          <w:lang w:val="sq-AL"/>
        </w:rPr>
        <w:t xml:space="preserve"> dhënave në të cilat Prokuroria e Posaçme dhe BKH-ja kanë </w:t>
      </w:r>
      <w:proofErr w:type="spellStart"/>
      <w:r w:rsidRPr="0032048B">
        <w:rPr>
          <w:sz w:val="24"/>
          <w:szCs w:val="24"/>
          <w:lang w:val="sq-AL"/>
        </w:rPr>
        <w:t>akses</w:t>
      </w:r>
      <w:proofErr w:type="spellEnd"/>
      <w:r w:rsidRPr="0032048B">
        <w:rPr>
          <w:sz w:val="24"/>
          <w:szCs w:val="24"/>
          <w:lang w:val="sq-AL"/>
        </w:rPr>
        <w:t xml:space="preserve"> është rritur tashmë, dhe tani përfshihen Sistemi i Statusit Civil, baza e të dhënave të Agjencisë Shtetërore të Kadastrës (ASHK), baza e të dhënave të Drejtorisë së Burgjeve, Regjistri i Llogarive Bankare, sistemi elektronik i Ministrisë së Drejtësisë për kontrollin e statusit ligjor të qytetarëve, baza e të dhënave e Drejtorisë së Përgjithshme të Shërbimeve të Transportit Rrugor (DPSHTRR), Regjistri Noterial Shqiptar, Regjistri i Pronarëve Përfitues, dhe sistemet e policisë së shtetit ADAM, gjobat elektronike, raporte-statistika dhe Sistemi i Menaxhimit total të Informacionit (TIMS). Megjithatë, nevojitet ende një zgjidhje për të mundësuar </w:t>
      </w:r>
      <w:proofErr w:type="spellStart"/>
      <w:r w:rsidRPr="0032048B">
        <w:rPr>
          <w:sz w:val="24"/>
          <w:szCs w:val="24"/>
          <w:lang w:val="sq-AL"/>
        </w:rPr>
        <w:t>aksesin</w:t>
      </w:r>
      <w:proofErr w:type="spellEnd"/>
      <w:r w:rsidRPr="0032048B">
        <w:rPr>
          <w:sz w:val="24"/>
          <w:szCs w:val="24"/>
          <w:lang w:val="sq-AL"/>
        </w:rPr>
        <w:t xml:space="preserve"> e njëkohshëm në të gjitha bazat e të dhënave. Rekrutimi i oficerëve për Shërbimet e Policisë Gjyqësore tek BKH-ja duhet të paraprihet nga sqarimi i roleve të tyre funksionale dhe kritereve të përzgjedhjes, në përputhje me legjislacionin e SPAK.</w:t>
      </w:r>
    </w:p>
    <w:p w14:paraId="0EF7DC54" w14:textId="77777777" w:rsidR="00CC77B5" w:rsidRPr="0032048B" w:rsidRDefault="00E6279B" w:rsidP="00CC77B5">
      <w:pPr>
        <w:spacing w:before="120"/>
        <w:ind w:left="810" w:right="976"/>
        <w:jc w:val="both"/>
        <w:rPr>
          <w:spacing w:val="-2"/>
          <w:sz w:val="24"/>
          <w:szCs w:val="24"/>
          <w:lang w:val="sq-AL"/>
        </w:rPr>
      </w:pPr>
      <w:r w:rsidRPr="0032048B">
        <w:rPr>
          <w:b/>
          <w:bCs/>
          <w:sz w:val="24"/>
          <w:szCs w:val="24"/>
          <w:lang w:val="sq-AL"/>
        </w:rPr>
        <w:t>Kuadri strategjik</w:t>
      </w:r>
      <w:r w:rsidRPr="0032048B">
        <w:rPr>
          <w:sz w:val="24"/>
          <w:szCs w:val="24"/>
          <w:lang w:val="sq-AL"/>
        </w:rPr>
        <w:t xml:space="preserve"> përbëhet nga Strategjia kundër Krimit të Organizuar dhe Krimeve të Rënda 2021-2025. Në shkurt të vitit 2023, u miratua Plani i Veprimit për vitet 2023-2025. Janë miratuar Plane Veprimi vjetore të njëpasnjëshme të Policisë së Shtetit për parandalimin dhe ndalimin e aktivitetit kriminal të kultivimit të bimëve narkotike; i fundit në vitin 2023. Gjithashtu, ekziston Strategjia </w:t>
      </w:r>
      <w:proofErr w:type="spellStart"/>
      <w:r w:rsidRPr="0032048B">
        <w:rPr>
          <w:sz w:val="24"/>
          <w:szCs w:val="24"/>
          <w:lang w:val="sq-AL"/>
        </w:rPr>
        <w:t>Ndërsektoriale</w:t>
      </w:r>
      <w:proofErr w:type="spellEnd"/>
      <w:r w:rsidRPr="0032048B">
        <w:rPr>
          <w:sz w:val="24"/>
          <w:szCs w:val="24"/>
          <w:lang w:val="sq-AL"/>
        </w:rPr>
        <w:t xml:space="preserve"> kundër Korrupsionit 2015-2023 dhe plani i saj i veprimit për vitet 2020-2023. Plani i Veprimit 2021-2023 për luftën kundër trafikimit të qenieve njerëzore u miratua në nëntor të vitit 2021. Janë krijuar gjithashtu një strategji për kontrollin e armëve të vogla dhe të lehta, municioneve dhe eksplozivëve dhe plani i veprimit për vitet 2022-2024. </w:t>
      </w:r>
    </w:p>
    <w:p w14:paraId="4F5B1218" w14:textId="77777777" w:rsidR="00CC77B5" w:rsidRPr="0032048B" w:rsidRDefault="00E6279B" w:rsidP="00CC77B5">
      <w:pPr>
        <w:spacing w:before="120"/>
        <w:ind w:left="810" w:right="976"/>
        <w:jc w:val="both"/>
        <w:rPr>
          <w:spacing w:val="-2"/>
          <w:sz w:val="24"/>
          <w:szCs w:val="24"/>
          <w:lang w:val="sq-AL"/>
        </w:rPr>
      </w:pPr>
      <w:r w:rsidRPr="0032048B">
        <w:rPr>
          <w:b/>
          <w:bCs/>
          <w:sz w:val="24"/>
          <w:szCs w:val="24"/>
          <w:lang w:val="sq-AL"/>
        </w:rPr>
        <w:t xml:space="preserve">Kuadri ligjor </w:t>
      </w:r>
      <w:r w:rsidRPr="0032048B">
        <w:rPr>
          <w:sz w:val="24"/>
          <w:szCs w:val="24"/>
          <w:lang w:val="sq-AL"/>
        </w:rPr>
        <w:t xml:space="preserve">është harmonizuar më tej me </w:t>
      </w:r>
      <w:proofErr w:type="spellStart"/>
      <w:r w:rsidRPr="0032048B">
        <w:rPr>
          <w:sz w:val="24"/>
          <w:szCs w:val="24"/>
          <w:lang w:val="sq-AL"/>
        </w:rPr>
        <w:t>acquis</w:t>
      </w:r>
      <w:proofErr w:type="spellEnd"/>
      <w:r w:rsidRPr="0032048B">
        <w:rPr>
          <w:sz w:val="24"/>
          <w:szCs w:val="24"/>
          <w:lang w:val="sq-AL"/>
        </w:rPr>
        <w:t xml:space="preserve">-në e BE-së, veçanërisht në fushën kundër pastrimit të parave. Në raportin e 4-t të zgjeruar për Shqipërinë, i cili dolli në qershor të vitit 2023, </w:t>
      </w:r>
      <w:proofErr w:type="spellStart"/>
      <w:r w:rsidRPr="0032048B">
        <w:rPr>
          <w:sz w:val="24"/>
          <w:szCs w:val="24"/>
          <w:lang w:val="sq-AL"/>
        </w:rPr>
        <w:t>Moneyval</w:t>
      </w:r>
      <w:proofErr w:type="spellEnd"/>
      <w:r w:rsidRPr="0032048B">
        <w:rPr>
          <w:sz w:val="24"/>
          <w:szCs w:val="24"/>
          <w:lang w:val="sq-AL"/>
        </w:rPr>
        <w:t xml:space="preserve"> arriti në përfundimin se Shqipëria ka përmirësuar masat për trajtimin e pastrimit të parave dhe financimeve terroriste, ka forcuar transparencën e marrëveshjeve ligjore dhe ka përmirësuar rregullimin dhe mbikëqyrjen e institucioneve jo financiare. Megjithatë, Shqipëria vazhdoi të qëndronte në listën e juridiksionit të FATF-së nën monitorim të shtuar pavarësisht vlerësimit të FATF-së që vendi kishte përmbushur në mënyrë domethënëse planin e veprimit për vitet 2020-2023. Kjo për shkak të shqetësimeve të FATF-së në lidhje me planet e Shqipërisë për të miratuar dhe zbatuar ligjin për pajtueshmërinë vullnetare të taksave, përshi këtu një amnisti penale. Në qershor të vitit 2023, FATF-ja vendosi të bëjë një vizitë në terren, e cila u krye në muajin gusht dhe çoi në heqjen e Shqipërisë nga lista në muajin tetor. Megjithatë, Shqipëria duhet të garantojë se çdo ligj i ardhshëm për pajtueshmërinë vullnetare të taksave (përshi këtu amnisti penale të mundshme) të jetë në përputhje me </w:t>
      </w:r>
      <w:proofErr w:type="spellStart"/>
      <w:r w:rsidRPr="0032048B">
        <w:rPr>
          <w:sz w:val="24"/>
          <w:szCs w:val="24"/>
          <w:lang w:val="sq-AL"/>
        </w:rPr>
        <w:t>acquis</w:t>
      </w:r>
      <w:proofErr w:type="spellEnd"/>
      <w:r w:rsidRPr="0032048B">
        <w:rPr>
          <w:sz w:val="24"/>
          <w:szCs w:val="24"/>
          <w:lang w:val="sq-AL"/>
        </w:rPr>
        <w:t>-në e BE-së dhe standardet ndërkombëtare. (</w:t>
      </w:r>
      <w:r w:rsidRPr="0032048B">
        <w:rPr>
          <w:i/>
          <w:iCs/>
          <w:sz w:val="24"/>
          <w:szCs w:val="24"/>
          <w:lang w:val="sq-AL"/>
        </w:rPr>
        <w:t>shih gjithashtu Kapitulli 4 – Lëvizja e lirë e Kapitalit dhe Kapitulli 16 – Taksimi).</w:t>
      </w:r>
    </w:p>
    <w:p w14:paraId="5CF7E53F" w14:textId="77777777" w:rsidR="00CC77B5" w:rsidRPr="0032048B" w:rsidRDefault="00E6279B" w:rsidP="00CC77B5">
      <w:pPr>
        <w:spacing w:before="120"/>
        <w:ind w:left="810" w:right="976"/>
        <w:jc w:val="both"/>
        <w:rPr>
          <w:spacing w:val="-2"/>
          <w:sz w:val="24"/>
          <w:szCs w:val="24"/>
          <w:lang w:val="sq-AL"/>
        </w:rPr>
      </w:pPr>
      <w:r w:rsidRPr="0032048B">
        <w:rPr>
          <w:sz w:val="24"/>
          <w:szCs w:val="24"/>
          <w:lang w:val="sq-AL"/>
        </w:rPr>
        <w:t xml:space="preserve">Në lidhje me regjistrin e pronarëve përfitues (PP), i cili hyri në fuqi në vitit 2021, që nga muaji korrik 2022 janë vendosur sanksione për subjektet që nuk përmbushin detyrimet e regjistrimit të pronarëve përfitues. Zbatimi i mëtejshëm i sanksioneve administrative kundër entiteteve për shkelje të detyrimeve për transparencë duhet të monitorohet. Regjistri qendror i llogarive bankare, i cili u bë funksional në fund të muajit korrik 2021, ka mundësuar kryerjen më të shpejtë të hetimeve. </w:t>
      </w:r>
    </w:p>
    <w:p w14:paraId="1C78A33B" w14:textId="77777777" w:rsidR="00CC77B5" w:rsidRPr="0032048B" w:rsidRDefault="00E6279B" w:rsidP="00CC77B5">
      <w:pPr>
        <w:spacing w:before="120"/>
        <w:ind w:left="810" w:right="976"/>
        <w:jc w:val="both"/>
        <w:rPr>
          <w:spacing w:val="-2"/>
          <w:sz w:val="24"/>
          <w:szCs w:val="24"/>
          <w:lang w:val="sq-AL"/>
        </w:rPr>
      </w:pPr>
      <w:r w:rsidRPr="0032048B">
        <w:rPr>
          <w:sz w:val="24"/>
          <w:szCs w:val="24"/>
          <w:lang w:val="sq-AL"/>
        </w:rPr>
        <w:t xml:space="preserve">Shqipëria ka bërë progres të kufizuar në harmonizimin e legjislacionit për armët e zjarrit dhe lëndët plasëse me </w:t>
      </w:r>
      <w:proofErr w:type="spellStart"/>
      <w:r w:rsidRPr="0032048B">
        <w:rPr>
          <w:sz w:val="24"/>
          <w:szCs w:val="24"/>
          <w:lang w:val="sq-AL"/>
        </w:rPr>
        <w:t>acquis</w:t>
      </w:r>
      <w:proofErr w:type="spellEnd"/>
      <w:r w:rsidRPr="0032048B">
        <w:rPr>
          <w:sz w:val="24"/>
          <w:szCs w:val="24"/>
          <w:lang w:val="sq-AL"/>
        </w:rPr>
        <w:t xml:space="preserve">-në e BE-së. Ajo ka miratuar disa pjesë të legjislacionit për zbatimin e ligjin të ndryshuar për armët, dhe ka transformuar pikën </w:t>
      </w:r>
      <w:proofErr w:type="spellStart"/>
      <w:r w:rsidRPr="0032048B">
        <w:rPr>
          <w:sz w:val="24"/>
          <w:szCs w:val="24"/>
          <w:lang w:val="sq-AL"/>
        </w:rPr>
        <w:t>fokale</w:t>
      </w:r>
      <w:proofErr w:type="spellEnd"/>
      <w:r w:rsidRPr="0032048B">
        <w:rPr>
          <w:sz w:val="24"/>
          <w:szCs w:val="24"/>
          <w:lang w:val="sq-AL"/>
        </w:rPr>
        <w:t xml:space="preserve"> të armëve të zjarrit nga një njësi virtuale në një sektor në Departamentin e Policisë Kriminale. Shqipëria duhet të harmonizojë më tej kuadrin e saj ligjor, përfshi atë që lidhet me </w:t>
      </w:r>
      <w:proofErr w:type="spellStart"/>
      <w:r w:rsidRPr="0032048B">
        <w:rPr>
          <w:sz w:val="24"/>
          <w:szCs w:val="24"/>
          <w:lang w:val="sq-AL"/>
        </w:rPr>
        <w:t>prekursorët</w:t>
      </w:r>
      <w:proofErr w:type="spellEnd"/>
      <w:r w:rsidRPr="0032048B">
        <w:rPr>
          <w:sz w:val="24"/>
          <w:szCs w:val="24"/>
          <w:lang w:val="sq-AL"/>
        </w:rPr>
        <w:t xml:space="preserve"> e eksplozivëve. Përpjekje të mëtejshme nevojiten për shtimin e ndërgjegjësimit, hapjen ndaj publikut dhe edukimin mbi rreziqet dhe </w:t>
      </w:r>
      <w:proofErr w:type="spellStart"/>
      <w:r w:rsidRPr="0032048B">
        <w:rPr>
          <w:sz w:val="24"/>
          <w:szCs w:val="24"/>
          <w:lang w:val="sq-AL"/>
        </w:rPr>
        <w:t>risqet</w:t>
      </w:r>
      <w:proofErr w:type="spellEnd"/>
      <w:r w:rsidRPr="0032048B">
        <w:rPr>
          <w:sz w:val="24"/>
          <w:szCs w:val="24"/>
          <w:lang w:val="sq-AL"/>
        </w:rPr>
        <w:t xml:space="preserve"> që lidhen me keqpërdorimin, posedimin e paligjshëm dhe trafikimin e armëve të zjarrit/SALW (armë të vogla dhe të lehta), si dhe për reduktimin e armëve të zjarrit të </w:t>
      </w:r>
      <w:r w:rsidRPr="0032048B">
        <w:rPr>
          <w:sz w:val="24"/>
          <w:szCs w:val="24"/>
          <w:lang w:val="sq-AL"/>
        </w:rPr>
        <w:lastRenderedPageBreak/>
        <w:t>paligjshme përmes legjislacionit, dorëzimit vullnetar dhe çaktivizimit. Progresi është i nevojshëm për të krijuar infrastrukturën e nevojshme për qëllimet e përmendura.</w:t>
      </w:r>
    </w:p>
    <w:p w14:paraId="0E22B141" w14:textId="77777777" w:rsidR="00CC77B5" w:rsidRPr="0032048B" w:rsidRDefault="00E6279B" w:rsidP="00CC77B5">
      <w:pPr>
        <w:spacing w:before="120"/>
        <w:ind w:left="810" w:right="976"/>
        <w:jc w:val="both"/>
        <w:rPr>
          <w:spacing w:val="-2"/>
          <w:sz w:val="24"/>
          <w:szCs w:val="24"/>
          <w:lang w:val="sq-AL"/>
        </w:rPr>
      </w:pPr>
      <w:r w:rsidRPr="0032048B">
        <w:rPr>
          <w:sz w:val="24"/>
          <w:szCs w:val="24"/>
          <w:lang w:val="sq-AL"/>
        </w:rPr>
        <w:t>Ndërkohë që Shqipëria ka një kuadër ligjor gjithëpërfshirës për konfiskimin e produkteve të krimit, zyra për rikuperimin e pasurive nuk është krijuar ende, siç kërkohet nga ligji për administrimin e pasurive të sekuestruara dhe konfiskuara i vitit 2019, dhe është tashmë shumë e vonuar.</w:t>
      </w:r>
    </w:p>
    <w:p w14:paraId="15BCD014" w14:textId="77777777" w:rsidR="00CC77B5" w:rsidRPr="0032048B" w:rsidRDefault="00E6279B" w:rsidP="00CC77B5">
      <w:pPr>
        <w:spacing w:before="120"/>
        <w:ind w:left="810" w:right="976"/>
        <w:jc w:val="both"/>
        <w:rPr>
          <w:spacing w:val="-2"/>
          <w:sz w:val="24"/>
          <w:szCs w:val="24"/>
          <w:lang w:val="sq-AL"/>
        </w:rPr>
      </w:pPr>
      <w:r w:rsidRPr="0032048B">
        <w:rPr>
          <w:sz w:val="24"/>
          <w:szCs w:val="24"/>
          <w:lang w:val="sq-AL"/>
        </w:rPr>
        <w:t xml:space="preserve">Në luftën kundër krimit të organizuar dhe pastrimit të parave, Shqipëria duhet të nxitojë në zbatimin e ligjit </w:t>
      </w:r>
      <w:proofErr w:type="spellStart"/>
      <w:r w:rsidRPr="0032048B">
        <w:rPr>
          <w:sz w:val="24"/>
          <w:szCs w:val="24"/>
          <w:lang w:val="sq-AL"/>
        </w:rPr>
        <w:t>antimafia</w:t>
      </w:r>
      <w:proofErr w:type="spellEnd"/>
      <w:r w:rsidRPr="0032048B">
        <w:rPr>
          <w:sz w:val="24"/>
          <w:szCs w:val="24"/>
          <w:lang w:val="sq-AL"/>
        </w:rPr>
        <w:t xml:space="preserve"> mbi sekuestrimin dhe konfiskimin parandalues të </w:t>
      </w:r>
      <w:proofErr w:type="spellStart"/>
      <w:r w:rsidRPr="0032048B">
        <w:rPr>
          <w:sz w:val="24"/>
          <w:szCs w:val="24"/>
          <w:lang w:val="sq-AL"/>
        </w:rPr>
        <w:t>aseteve</w:t>
      </w:r>
      <w:proofErr w:type="spellEnd"/>
      <w:r w:rsidRPr="0032048B">
        <w:rPr>
          <w:sz w:val="24"/>
          <w:szCs w:val="24"/>
          <w:lang w:val="sq-AL"/>
        </w:rPr>
        <w:t xml:space="preserve"> – përfshi konfiskimet jo të bazuara në dënime dhe konfiskimet e palëve të treta– në ngrirjen e </w:t>
      </w:r>
      <w:proofErr w:type="spellStart"/>
      <w:r w:rsidRPr="0032048B">
        <w:rPr>
          <w:sz w:val="24"/>
          <w:szCs w:val="24"/>
          <w:lang w:val="sq-AL"/>
        </w:rPr>
        <w:t>aseteve</w:t>
      </w:r>
      <w:proofErr w:type="spellEnd"/>
      <w:r w:rsidRPr="0032048B">
        <w:rPr>
          <w:sz w:val="24"/>
          <w:szCs w:val="24"/>
          <w:lang w:val="sq-AL"/>
        </w:rPr>
        <w:t xml:space="preserve"> që lidhen me aktivitete kriminale dhe promovimin e ripërdorimit të tyre social. Shqipëria duhet gjithashtu të lejojë që “raportet për transaksione të dyshimta” të përdoren si prova në gjykatë.</w:t>
      </w:r>
    </w:p>
    <w:p w14:paraId="75CF45B4" w14:textId="77777777" w:rsidR="00CC77B5" w:rsidRPr="0032048B" w:rsidRDefault="00E6279B" w:rsidP="00CC77B5">
      <w:pPr>
        <w:spacing w:before="120"/>
        <w:ind w:left="810" w:right="976"/>
        <w:jc w:val="both"/>
        <w:rPr>
          <w:spacing w:val="-2"/>
          <w:sz w:val="24"/>
          <w:szCs w:val="24"/>
          <w:lang w:val="sq-AL"/>
        </w:rPr>
      </w:pPr>
      <w:r w:rsidRPr="0032048B">
        <w:rPr>
          <w:sz w:val="24"/>
          <w:szCs w:val="24"/>
          <w:lang w:val="sq-AL"/>
        </w:rPr>
        <w:t xml:space="preserve">Shqipëria është palë e Konventës së Budapestit për krimin </w:t>
      </w:r>
      <w:proofErr w:type="spellStart"/>
      <w:r w:rsidRPr="0032048B">
        <w:rPr>
          <w:sz w:val="24"/>
          <w:szCs w:val="24"/>
          <w:lang w:val="sq-AL"/>
        </w:rPr>
        <w:t>kibernetik</w:t>
      </w:r>
      <w:proofErr w:type="spellEnd"/>
      <w:r w:rsidRPr="0032048B">
        <w:rPr>
          <w:sz w:val="24"/>
          <w:szCs w:val="24"/>
          <w:lang w:val="sq-AL"/>
        </w:rPr>
        <w:t xml:space="preserve"> dhe në shkurt të vitit 2023 firmosi Protokollin e Dytë Shtesë të Konventës për intensifikimin e bashkëpunimit dhe prezantimin e evidencave elektronike. Në bazë të Strategjisë Kombëtare për Sigurinë Kibernetike 2020-2025, duhet të miratohen aktet e reja ligjore dhe nënligjore për krimin </w:t>
      </w:r>
      <w:proofErr w:type="spellStart"/>
      <w:r w:rsidRPr="0032048B">
        <w:rPr>
          <w:sz w:val="24"/>
          <w:szCs w:val="24"/>
          <w:lang w:val="sq-AL"/>
        </w:rPr>
        <w:t>kibernetik</w:t>
      </w:r>
      <w:proofErr w:type="spellEnd"/>
      <w:r w:rsidRPr="0032048B">
        <w:rPr>
          <w:sz w:val="24"/>
          <w:szCs w:val="24"/>
          <w:lang w:val="sq-AL"/>
        </w:rPr>
        <w:t xml:space="preserve">. Në korrik 2022, Shqipëria ishte viktimë e një sulmi </w:t>
      </w:r>
      <w:proofErr w:type="spellStart"/>
      <w:r w:rsidRPr="0032048B">
        <w:rPr>
          <w:sz w:val="24"/>
          <w:szCs w:val="24"/>
          <w:lang w:val="sq-AL"/>
        </w:rPr>
        <w:t>kibernetik</w:t>
      </w:r>
      <w:proofErr w:type="spellEnd"/>
      <w:r w:rsidRPr="0032048B">
        <w:rPr>
          <w:sz w:val="24"/>
          <w:szCs w:val="24"/>
          <w:lang w:val="sq-AL"/>
        </w:rPr>
        <w:t xml:space="preserve"> në përmasa të mëdha, i cili çoi në ndërprerjen e përkohshme të pjesës më të madhe të shërbimeve publike </w:t>
      </w:r>
      <w:proofErr w:type="spellStart"/>
      <w:r w:rsidRPr="0032048B">
        <w:rPr>
          <w:sz w:val="24"/>
          <w:szCs w:val="24"/>
          <w:lang w:val="sq-AL"/>
        </w:rPr>
        <w:t>online</w:t>
      </w:r>
      <w:proofErr w:type="spellEnd"/>
      <w:r w:rsidRPr="0032048B">
        <w:rPr>
          <w:sz w:val="24"/>
          <w:szCs w:val="24"/>
          <w:lang w:val="sq-AL"/>
        </w:rPr>
        <w:t xml:space="preserve">. (Shihni gjithashtu Kapitulli 31 - </w:t>
      </w:r>
      <w:r w:rsidRPr="0032048B">
        <w:rPr>
          <w:i/>
          <w:iCs/>
          <w:sz w:val="24"/>
          <w:szCs w:val="24"/>
          <w:lang w:val="sq-AL"/>
        </w:rPr>
        <w:t>Politika e Jashtme, e Sigurisë dhe e Mbrojtjes dhe Kapitulli 10 – Shoqëria e Informacionit dhe Media</w:t>
      </w:r>
      <w:r w:rsidRPr="0032048B">
        <w:rPr>
          <w:sz w:val="24"/>
          <w:szCs w:val="24"/>
          <w:lang w:val="sq-AL"/>
        </w:rPr>
        <w:t>)</w:t>
      </w:r>
    </w:p>
    <w:p w14:paraId="79CBBB31" w14:textId="77777777" w:rsidR="00CC77B5" w:rsidRPr="0032048B" w:rsidRDefault="00E6279B" w:rsidP="00CC77B5">
      <w:pPr>
        <w:spacing w:before="120"/>
        <w:ind w:left="810" w:right="976"/>
        <w:jc w:val="both"/>
        <w:rPr>
          <w:spacing w:val="-2"/>
          <w:sz w:val="24"/>
          <w:szCs w:val="24"/>
          <w:lang w:val="sq-AL"/>
        </w:rPr>
      </w:pPr>
      <w:r w:rsidRPr="0032048B">
        <w:rPr>
          <w:sz w:val="24"/>
          <w:szCs w:val="24"/>
          <w:lang w:val="sq-AL"/>
        </w:rPr>
        <w:t xml:space="preserve">Duhet ende të miratohen ndryshime ligjore për të shpallur si vepër penale të gjitha format e abuzimit seksual me fëmijët </w:t>
      </w:r>
      <w:proofErr w:type="spellStart"/>
      <w:r w:rsidRPr="0032048B">
        <w:rPr>
          <w:sz w:val="24"/>
          <w:szCs w:val="24"/>
          <w:lang w:val="sq-AL"/>
        </w:rPr>
        <w:t>online</w:t>
      </w:r>
      <w:proofErr w:type="spellEnd"/>
      <w:r w:rsidRPr="0032048B">
        <w:rPr>
          <w:sz w:val="24"/>
          <w:szCs w:val="24"/>
          <w:lang w:val="sq-AL"/>
        </w:rPr>
        <w:t xml:space="preserve">. </w:t>
      </w:r>
    </w:p>
    <w:p w14:paraId="6457C6AD" w14:textId="77777777" w:rsidR="00CC77B5" w:rsidRPr="0032048B" w:rsidRDefault="00E6279B" w:rsidP="00CC77B5">
      <w:pPr>
        <w:spacing w:before="120"/>
        <w:ind w:left="810" w:right="976"/>
        <w:jc w:val="both"/>
        <w:rPr>
          <w:spacing w:val="-2"/>
          <w:sz w:val="24"/>
          <w:szCs w:val="24"/>
          <w:lang w:val="sq-AL"/>
        </w:rPr>
      </w:pPr>
      <w:r w:rsidRPr="0032048B">
        <w:rPr>
          <w:spacing w:val="-2"/>
          <w:sz w:val="24"/>
          <w:szCs w:val="24"/>
          <w:u w:val="single"/>
          <w:lang w:val="sq-AL"/>
        </w:rPr>
        <w:t>Zbatimi dhe kapaciteti zbatues</w:t>
      </w:r>
    </w:p>
    <w:p w14:paraId="0388A01E" w14:textId="77777777" w:rsidR="00CC77B5" w:rsidRPr="0032048B" w:rsidRDefault="00E6279B" w:rsidP="00CC77B5">
      <w:pPr>
        <w:spacing w:before="120"/>
        <w:ind w:left="810" w:right="976"/>
        <w:jc w:val="both"/>
        <w:rPr>
          <w:spacing w:val="-2"/>
          <w:sz w:val="24"/>
          <w:szCs w:val="24"/>
          <w:lang w:val="sq-AL"/>
        </w:rPr>
      </w:pPr>
      <w:r w:rsidRPr="0032048B">
        <w:rPr>
          <w:sz w:val="24"/>
          <w:szCs w:val="24"/>
          <w:lang w:val="sq-AL"/>
        </w:rPr>
        <w:t xml:space="preserve">Shqipëria ka vazhduar përpjekjet e saj për të përmirësuar krijimin e një </w:t>
      </w:r>
      <w:r w:rsidRPr="0032048B">
        <w:rPr>
          <w:b/>
          <w:bCs/>
          <w:sz w:val="24"/>
          <w:szCs w:val="24"/>
          <w:lang w:val="sq-AL"/>
        </w:rPr>
        <w:t>historiku</w:t>
      </w:r>
      <w:r w:rsidRPr="0032048B">
        <w:rPr>
          <w:sz w:val="24"/>
          <w:szCs w:val="24"/>
          <w:lang w:val="sq-AL"/>
        </w:rPr>
        <w:t xml:space="preserve"> për luftimin e krimit të organizuar. Në vitin 2022, në prokurori u referuan 54 çështje të reja (nga 41 në 2021). Nga këto çështje, 18 padi për një grup kriminal të strukturuar u mbyllën në vitin 2022. 98 persona u dënuan me vendime të formës së prerë të apelit (krahasuar me 75 persona në 2021). </w:t>
      </w:r>
    </w:p>
    <w:p w14:paraId="6A6DC1C1" w14:textId="77777777" w:rsidR="00CC77B5" w:rsidRPr="0032048B" w:rsidRDefault="00E6279B" w:rsidP="00CC77B5">
      <w:pPr>
        <w:spacing w:before="120"/>
        <w:ind w:left="810" w:right="976"/>
        <w:jc w:val="both"/>
        <w:rPr>
          <w:spacing w:val="-2"/>
          <w:sz w:val="24"/>
          <w:szCs w:val="24"/>
          <w:lang w:val="sq-AL"/>
        </w:rPr>
      </w:pPr>
      <w:r w:rsidRPr="0032048B">
        <w:rPr>
          <w:sz w:val="24"/>
          <w:szCs w:val="24"/>
          <w:lang w:val="sq-AL"/>
        </w:rPr>
        <w:t xml:space="preserve">Në vitin 2022, Prokuroria e Posaçme shtoi numrin e hetimeve </w:t>
      </w:r>
      <w:proofErr w:type="spellStart"/>
      <w:r w:rsidRPr="0032048B">
        <w:rPr>
          <w:i/>
          <w:sz w:val="24"/>
          <w:szCs w:val="24"/>
          <w:lang w:val="sq-AL"/>
        </w:rPr>
        <w:t>ex</w:t>
      </w:r>
      <w:proofErr w:type="spellEnd"/>
      <w:r w:rsidRPr="0032048B">
        <w:rPr>
          <w:i/>
          <w:sz w:val="24"/>
          <w:szCs w:val="24"/>
          <w:lang w:val="sq-AL"/>
        </w:rPr>
        <w:t xml:space="preserve"> </w:t>
      </w:r>
      <w:proofErr w:type="spellStart"/>
      <w:r w:rsidRPr="0032048B">
        <w:rPr>
          <w:i/>
          <w:sz w:val="24"/>
          <w:szCs w:val="24"/>
          <w:lang w:val="sq-AL"/>
        </w:rPr>
        <w:t>officio</w:t>
      </w:r>
      <w:proofErr w:type="spellEnd"/>
      <w:r w:rsidRPr="0032048B">
        <w:rPr>
          <w:i/>
          <w:sz w:val="24"/>
          <w:szCs w:val="24"/>
          <w:lang w:val="sq-AL"/>
        </w:rPr>
        <w:t xml:space="preserve"> </w:t>
      </w:r>
      <w:r w:rsidRPr="0032048B">
        <w:rPr>
          <w:sz w:val="24"/>
          <w:szCs w:val="24"/>
          <w:lang w:val="sq-AL"/>
        </w:rPr>
        <w:t xml:space="preserve">në 28 (nga 18 në 2021), nga 257 procedime penale të reja – 79 prej të cilave për krimin e organizuar. SPAK mori pjesë në 142 çështje penale ku u përfshinë 626 persona të akuzuar, krahasuar me 128 çështje penale dhe 418 persona të akuzuar në vitin 2021. Në vitin 2022, u morën 55 vendime të formës së prerë dhe u dënuan 207 të pandehur. Prej tyre, 18 vendime u bënë vendime të formës së prerë në gjykatën e shkallës së parë dhe 37 në gjykatën e posaçme të apelit. Në nivel apeli kishte 15 çështje me 47 të pandehur të akuzuar për krim të organizuar dhe 22 çështje penale me 80 të pandehur të akuzuar për korrupsion dhe vepra të tjera penale. </w:t>
      </w:r>
    </w:p>
    <w:p w14:paraId="7E5842EB" w14:textId="77777777" w:rsidR="00CC77B5" w:rsidRPr="0032048B" w:rsidRDefault="00E6279B" w:rsidP="00CC77B5">
      <w:pPr>
        <w:spacing w:before="120"/>
        <w:ind w:left="810" w:right="976"/>
        <w:jc w:val="both"/>
        <w:rPr>
          <w:spacing w:val="-2"/>
          <w:sz w:val="24"/>
          <w:szCs w:val="24"/>
          <w:lang w:val="sq-AL"/>
        </w:rPr>
      </w:pPr>
      <w:r w:rsidRPr="0032048B">
        <w:rPr>
          <w:sz w:val="24"/>
          <w:szCs w:val="24"/>
          <w:lang w:val="sq-AL"/>
        </w:rPr>
        <w:t xml:space="preserve">Ka pasur një rënie të krimeve të rënda në vitin 2022, me 3 816 raste të reja të referuara së bashku në SPAK dhe Prokurorinë e Përgjithshme (krahasuar me 3 913 raste të reja në 2021), me një rritje në referimin e rasteve për pastrimin e parave (503 referime në 2022 krahasuar me 423 në 2021), rasteve të krimit të organizuar (13 referime më shumë se në 2021) dhe rasteve të krimit </w:t>
      </w:r>
      <w:proofErr w:type="spellStart"/>
      <w:r w:rsidRPr="0032048B">
        <w:rPr>
          <w:sz w:val="24"/>
          <w:szCs w:val="24"/>
          <w:lang w:val="sq-AL"/>
        </w:rPr>
        <w:t>kibernetik</w:t>
      </w:r>
      <w:proofErr w:type="spellEnd"/>
      <w:r w:rsidRPr="0032048B">
        <w:rPr>
          <w:sz w:val="24"/>
          <w:szCs w:val="24"/>
          <w:lang w:val="sq-AL"/>
        </w:rPr>
        <w:t xml:space="preserve"> (65% rritje në 2022). Referimet e reja për trafikimin e armëve dhe terrorizmin qëndruan në nivele të njëjta në vitin 2022, ndërkohë që referimet për trafikimin e drogës ranë në 2 876, krahasuar me 3 078 në vitin 2021. Për krimet e rënda, 820 raste rezultuan në padi në vitin 2022, krahasuar me 791 raste në 2021. Në vitin 2022, kishte 560 persona të dënuar me vendim të formës së prerë për krime të rënda krahasuar me 375 në vitin 2021. Përdorimi i teknikave të veçanta të hetimit dhe hetimet </w:t>
      </w:r>
      <w:proofErr w:type="spellStart"/>
      <w:r w:rsidRPr="0032048B">
        <w:rPr>
          <w:sz w:val="24"/>
          <w:szCs w:val="24"/>
          <w:lang w:val="sq-AL"/>
        </w:rPr>
        <w:t>proaktive</w:t>
      </w:r>
      <w:proofErr w:type="spellEnd"/>
      <w:r w:rsidRPr="0032048B">
        <w:rPr>
          <w:sz w:val="24"/>
          <w:szCs w:val="24"/>
          <w:lang w:val="sq-AL"/>
        </w:rPr>
        <w:t xml:space="preserve"> duhet të intensifikohen.</w:t>
      </w:r>
    </w:p>
    <w:p w14:paraId="23BE8563" w14:textId="77777777" w:rsidR="00CC77B5" w:rsidRPr="0032048B" w:rsidRDefault="00E6279B" w:rsidP="00CC77B5">
      <w:pPr>
        <w:spacing w:before="120"/>
        <w:ind w:left="810" w:right="976"/>
        <w:jc w:val="both"/>
        <w:rPr>
          <w:spacing w:val="-2"/>
          <w:sz w:val="24"/>
          <w:szCs w:val="24"/>
          <w:lang w:val="sq-AL"/>
        </w:rPr>
      </w:pPr>
      <w:r w:rsidRPr="0032048B">
        <w:rPr>
          <w:sz w:val="24"/>
          <w:szCs w:val="24"/>
          <w:lang w:val="sq-AL"/>
        </w:rPr>
        <w:t xml:space="preserve">Lidhur me </w:t>
      </w:r>
      <w:r w:rsidRPr="0032048B">
        <w:rPr>
          <w:b/>
          <w:bCs/>
          <w:sz w:val="24"/>
          <w:szCs w:val="24"/>
          <w:lang w:val="sq-AL"/>
        </w:rPr>
        <w:t>bashkëpunimin policor ndërkombëtar</w:t>
      </w:r>
      <w:r w:rsidRPr="0032048B">
        <w:rPr>
          <w:sz w:val="24"/>
          <w:szCs w:val="24"/>
          <w:lang w:val="sq-AL"/>
        </w:rPr>
        <w:t xml:space="preserve">, Shqipëria vendosi një Oficer të dytë Ndërlidhës të </w:t>
      </w:r>
      <w:proofErr w:type="spellStart"/>
      <w:r w:rsidRPr="0032048B">
        <w:rPr>
          <w:sz w:val="24"/>
          <w:szCs w:val="24"/>
          <w:lang w:val="sq-AL"/>
        </w:rPr>
        <w:t>Europolit</w:t>
      </w:r>
      <w:proofErr w:type="spellEnd"/>
      <w:r w:rsidRPr="0032048B">
        <w:rPr>
          <w:sz w:val="24"/>
          <w:szCs w:val="24"/>
          <w:lang w:val="sq-AL"/>
        </w:rPr>
        <w:t xml:space="preserve"> në shkurt të vitit 2023. Në vitin 2022, kishte një rritje të numrit të </w:t>
      </w:r>
      <w:r w:rsidRPr="0032048B">
        <w:rPr>
          <w:sz w:val="24"/>
          <w:szCs w:val="24"/>
          <w:lang w:val="sq-AL"/>
        </w:rPr>
        <w:lastRenderedPageBreak/>
        <w:t xml:space="preserve">operacioneve policore që u kryen në bashkëpunim me partnerët ndërkombëtarë: 90 prej tyre ishin në fushën e lëndëve narkotike (nga 78 në 2021) dhe 19 në fushën e trafikimit të paligjshëm (nga 14). </w:t>
      </w:r>
    </w:p>
    <w:p w14:paraId="705CD9A9" w14:textId="77777777" w:rsidR="00CC77B5" w:rsidRPr="0032048B" w:rsidRDefault="00E6279B" w:rsidP="00CC77B5">
      <w:pPr>
        <w:spacing w:before="120"/>
        <w:ind w:left="810" w:right="976"/>
        <w:jc w:val="both"/>
        <w:rPr>
          <w:spacing w:val="-2"/>
          <w:sz w:val="24"/>
          <w:szCs w:val="24"/>
          <w:lang w:val="sq-AL"/>
        </w:rPr>
      </w:pPr>
      <w:r w:rsidRPr="0032048B">
        <w:rPr>
          <w:sz w:val="24"/>
          <w:szCs w:val="24"/>
          <w:lang w:val="sq-AL"/>
        </w:rPr>
        <w:t>Në vitin 2022, kishte 16 ekipe të përbashkëta hetimi (EPH). Tetë EPH filluan veprimtarinë në vitin 2021 dhe tetë në vitin 2022. Shumica e EPT-ve (11) veprojnë në fushën e lëndëve narkotike.</w:t>
      </w:r>
    </w:p>
    <w:p w14:paraId="637D9806" w14:textId="2C5F6553" w:rsidR="00CC77B5" w:rsidRPr="0032048B" w:rsidRDefault="00E6279B" w:rsidP="00CC77B5">
      <w:pPr>
        <w:spacing w:before="120"/>
        <w:ind w:left="810" w:right="976"/>
        <w:jc w:val="both"/>
        <w:rPr>
          <w:spacing w:val="-2"/>
          <w:sz w:val="24"/>
          <w:szCs w:val="24"/>
          <w:lang w:val="sq-AL"/>
        </w:rPr>
      </w:pPr>
      <w:r w:rsidRPr="0032048B">
        <w:rPr>
          <w:sz w:val="24"/>
          <w:szCs w:val="24"/>
          <w:lang w:val="sq-AL"/>
        </w:rPr>
        <w:t>Ka pasur një rritje prej 16,9% në mesazhet e ndara nga Policia e Shtetit me partnerët ndërkombëtarë në Aplikacionin e Sigurt të Rrjetit të Shkëmbimit të Informacionit (SIENA), nga 5</w:t>
      </w:r>
      <w:r w:rsidRPr="0032048B">
        <w:rPr>
          <w:spacing w:val="-1"/>
          <w:sz w:val="24"/>
          <w:szCs w:val="24"/>
          <w:lang w:val="sq-AL"/>
        </w:rPr>
        <w:t xml:space="preserve"> </w:t>
      </w:r>
      <w:r w:rsidRPr="0032048B">
        <w:rPr>
          <w:sz w:val="24"/>
          <w:szCs w:val="24"/>
          <w:lang w:val="sq-AL"/>
        </w:rPr>
        <w:t>686 në vitin 2021 në 6</w:t>
      </w:r>
      <w:r w:rsidRPr="0032048B">
        <w:rPr>
          <w:spacing w:val="-1"/>
          <w:sz w:val="24"/>
          <w:szCs w:val="24"/>
          <w:lang w:val="sq-AL"/>
        </w:rPr>
        <w:t xml:space="preserve"> </w:t>
      </w:r>
      <w:r w:rsidRPr="0032048B">
        <w:rPr>
          <w:sz w:val="24"/>
          <w:szCs w:val="24"/>
          <w:lang w:val="sq-AL"/>
        </w:rPr>
        <w:t xml:space="preserve">645 mesazhe në vitin 2022. Gjatë janar-gusht të vitit 2023, numri i mesazheve SIENA të këmbyer u rrit me 39,1% krahasuar me të njëjtën periudhë në vitin 2022. Në janar të vitit 2021 u nënshkrua një marrëveshje mes Policisë së Shtetit dhe autoriteteve doganore për të lejuar qasje në SIENA. Megjithatë, këto lidhje nuk janë bërë ende funksionale. Kjo duhet të trajtohet si çështje </w:t>
      </w:r>
      <w:proofErr w:type="spellStart"/>
      <w:r w:rsidRPr="0032048B">
        <w:rPr>
          <w:sz w:val="24"/>
          <w:szCs w:val="24"/>
          <w:lang w:val="sq-AL"/>
        </w:rPr>
        <w:t>prioritare</w:t>
      </w:r>
      <w:proofErr w:type="spellEnd"/>
      <w:r w:rsidRPr="0032048B">
        <w:rPr>
          <w:sz w:val="24"/>
          <w:szCs w:val="24"/>
          <w:lang w:val="sq-AL"/>
        </w:rPr>
        <w:t xml:space="preserve"> nga aktorët e përfshirë. Drejtoria e Përgjithshme e Tatimeve dhe Njësia e Inteligjencës Financiare nuk kanë ndërmarrë hapat e nevojshme</w:t>
      </w:r>
      <w:r w:rsidR="004D53EC">
        <w:rPr>
          <w:sz w:val="24"/>
          <w:szCs w:val="24"/>
          <w:lang w:val="sq-AL"/>
        </w:rPr>
        <w:t xml:space="preserve"> </w:t>
      </w:r>
      <w:r w:rsidRPr="0032048B">
        <w:rPr>
          <w:sz w:val="24"/>
          <w:szCs w:val="24"/>
          <w:lang w:val="sq-AL"/>
        </w:rPr>
        <w:t xml:space="preserve">për të përfituar qasje në SIENA. Qasja në SIENA është thelbësor për të lejuar ndarjen e informacionit </w:t>
      </w:r>
      <w:proofErr w:type="spellStart"/>
      <w:r w:rsidRPr="0032048B">
        <w:rPr>
          <w:sz w:val="24"/>
          <w:szCs w:val="24"/>
          <w:lang w:val="sq-AL"/>
        </w:rPr>
        <w:t>sensitiv</w:t>
      </w:r>
      <w:proofErr w:type="spellEnd"/>
      <w:r w:rsidRPr="0032048B">
        <w:rPr>
          <w:sz w:val="24"/>
          <w:szCs w:val="24"/>
          <w:lang w:val="sq-AL"/>
        </w:rPr>
        <w:t xml:space="preserve"> në kohë me homologët e vendeve të BE-së. </w:t>
      </w:r>
    </w:p>
    <w:p w14:paraId="0AEC5B8D" w14:textId="77777777" w:rsidR="00CC77B5" w:rsidRPr="0032048B" w:rsidRDefault="00E6279B" w:rsidP="00CC77B5">
      <w:pPr>
        <w:spacing w:before="120"/>
        <w:ind w:left="810" w:right="976"/>
        <w:jc w:val="both"/>
        <w:rPr>
          <w:spacing w:val="-2"/>
          <w:sz w:val="24"/>
          <w:szCs w:val="24"/>
          <w:lang w:val="sq-AL"/>
        </w:rPr>
      </w:pPr>
      <w:r w:rsidRPr="0032048B">
        <w:rPr>
          <w:sz w:val="24"/>
          <w:szCs w:val="24"/>
          <w:lang w:val="sq-AL"/>
        </w:rPr>
        <w:t xml:space="preserve">Shqipëria vazhdoi të bashkëpunonte me shërbimet policore të BE-së nëpërmjet Rrjetit Evropian të Ekipeve Aktive të Kërkimit të </w:t>
      </w:r>
      <w:proofErr w:type="spellStart"/>
      <w:r w:rsidRPr="0032048B">
        <w:rPr>
          <w:sz w:val="24"/>
          <w:szCs w:val="24"/>
          <w:lang w:val="sq-AL"/>
        </w:rPr>
        <w:t>të</w:t>
      </w:r>
      <w:proofErr w:type="spellEnd"/>
      <w:r w:rsidRPr="0032048B">
        <w:rPr>
          <w:sz w:val="24"/>
          <w:szCs w:val="24"/>
          <w:lang w:val="sq-AL"/>
        </w:rPr>
        <w:t xml:space="preserve"> Arratisurve (ENFAST), në të cilin ka statusin e vëzhguesit.</w:t>
      </w:r>
    </w:p>
    <w:p w14:paraId="7EE00F21" w14:textId="77777777" w:rsidR="00CC77B5" w:rsidRPr="0032048B" w:rsidRDefault="00E6279B" w:rsidP="00CC77B5">
      <w:pPr>
        <w:spacing w:before="120"/>
        <w:ind w:left="810" w:right="976"/>
        <w:jc w:val="both"/>
        <w:rPr>
          <w:spacing w:val="-2"/>
          <w:sz w:val="24"/>
          <w:szCs w:val="24"/>
          <w:lang w:val="sq-AL"/>
        </w:rPr>
      </w:pPr>
      <w:r w:rsidRPr="0032048B">
        <w:rPr>
          <w:sz w:val="24"/>
          <w:szCs w:val="24"/>
          <w:lang w:val="sq-AL"/>
        </w:rPr>
        <w:t xml:space="preserve">Shqipëria është një ndër vendet e treta më aktive pjesëmarrëse në Platformën Evropiane </w:t>
      </w:r>
      <w:proofErr w:type="spellStart"/>
      <w:r w:rsidRPr="0032048B">
        <w:rPr>
          <w:sz w:val="24"/>
          <w:szCs w:val="24"/>
          <w:lang w:val="sq-AL"/>
        </w:rPr>
        <w:t>Multidisiplinore</w:t>
      </w:r>
      <w:proofErr w:type="spellEnd"/>
      <w:r w:rsidRPr="0032048B">
        <w:rPr>
          <w:sz w:val="24"/>
          <w:szCs w:val="24"/>
          <w:lang w:val="sq-AL"/>
        </w:rPr>
        <w:t xml:space="preserve"> kundër Kërcënimeve Kriminale (EMPACT). Në vitin 2022, Shqipëria u angazhua të merrte pjesë në 119 veprime </w:t>
      </w:r>
      <w:proofErr w:type="spellStart"/>
      <w:r w:rsidRPr="0032048B">
        <w:rPr>
          <w:sz w:val="24"/>
          <w:szCs w:val="24"/>
          <w:lang w:val="sq-AL"/>
        </w:rPr>
        <w:t>operacionale</w:t>
      </w:r>
      <w:proofErr w:type="spellEnd"/>
      <w:r w:rsidRPr="0032048B">
        <w:rPr>
          <w:sz w:val="24"/>
          <w:szCs w:val="24"/>
          <w:lang w:val="sq-AL"/>
        </w:rPr>
        <w:t xml:space="preserve"> dhe u përshi si drejtues veprimesh në dy prej tyre, Planet e Veprimit </w:t>
      </w:r>
      <w:proofErr w:type="spellStart"/>
      <w:r w:rsidRPr="0032048B">
        <w:rPr>
          <w:sz w:val="24"/>
          <w:szCs w:val="24"/>
          <w:lang w:val="sq-AL"/>
        </w:rPr>
        <w:t>Operacional</w:t>
      </w:r>
      <w:proofErr w:type="spellEnd"/>
      <w:r w:rsidRPr="0032048B">
        <w:rPr>
          <w:sz w:val="24"/>
          <w:szCs w:val="24"/>
          <w:lang w:val="sq-AL"/>
        </w:rPr>
        <w:t xml:space="preserve"> (PVO) mbi Krimin e Organizuar të Pronës dhe Sulmet Kibernetike. Shqipëria ndërmori rol </w:t>
      </w:r>
      <w:proofErr w:type="spellStart"/>
      <w:r w:rsidRPr="0032048B">
        <w:rPr>
          <w:sz w:val="24"/>
          <w:szCs w:val="24"/>
          <w:lang w:val="sq-AL"/>
        </w:rPr>
        <w:t>bashkëdrejtues</w:t>
      </w:r>
      <w:proofErr w:type="spellEnd"/>
      <w:r w:rsidRPr="0032048B">
        <w:rPr>
          <w:sz w:val="24"/>
          <w:szCs w:val="24"/>
          <w:lang w:val="sq-AL"/>
        </w:rPr>
        <w:t xml:space="preserve"> për dy veprime të tjera në PVO-të për financat kriminale: pastrimi i parave dhe rikuperimi i </w:t>
      </w:r>
      <w:proofErr w:type="spellStart"/>
      <w:r w:rsidRPr="0032048B">
        <w:rPr>
          <w:sz w:val="24"/>
          <w:szCs w:val="24"/>
          <w:lang w:val="sq-AL"/>
        </w:rPr>
        <w:t>aseteve</w:t>
      </w:r>
      <w:proofErr w:type="spellEnd"/>
      <w:r w:rsidRPr="0032048B">
        <w:rPr>
          <w:sz w:val="24"/>
          <w:szCs w:val="24"/>
          <w:lang w:val="sq-AL"/>
        </w:rPr>
        <w:t xml:space="preserve">. Në vitin 2023, Shqipëria e intensifikoi më tej pjesëmarrjen e saj në EMPACT dhe është pjesëmarrëse në 128 veprime </w:t>
      </w:r>
      <w:proofErr w:type="spellStart"/>
      <w:r w:rsidRPr="0032048B">
        <w:rPr>
          <w:sz w:val="24"/>
          <w:szCs w:val="24"/>
          <w:lang w:val="sq-AL"/>
        </w:rPr>
        <w:t>operacionale</w:t>
      </w:r>
      <w:proofErr w:type="spellEnd"/>
      <w:r w:rsidRPr="0032048B">
        <w:rPr>
          <w:sz w:val="24"/>
          <w:szCs w:val="24"/>
          <w:lang w:val="sq-AL"/>
        </w:rPr>
        <w:t xml:space="preserve">, duke vazhduar të mbetet në rol drejtues për dy veprime </w:t>
      </w:r>
      <w:proofErr w:type="spellStart"/>
      <w:r w:rsidRPr="0032048B">
        <w:rPr>
          <w:sz w:val="24"/>
          <w:szCs w:val="24"/>
          <w:lang w:val="sq-AL"/>
        </w:rPr>
        <w:t>operacionale</w:t>
      </w:r>
      <w:proofErr w:type="spellEnd"/>
      <w:r w:rsidRPr="0032048B">
        <w:rPr>
          <w:sz w:val="24"/>
          <w:szCs w:val="24"/>
          <w:lang w:val="sq-AL"/>
        </w:rPr>
        <w:t xml:space="preserve"> (në PVO-në për Krimin e Organizuar të Pronës dhe PVO-në për Sulmet Kibernetike) dhe në rol </w:t>
      </w:r>
      <w:proofErr w:type="spellStart"/>
      <w:r w:rsidRPr="0032048B">
        <w:rPr>
          <w:sz w:val="24"/>
          <w:szCs w:val="24"/>
          <w:lang w:val="sq-AL"/>
        </w:rPr>
        <w:t>bashkëdrejtues</w:t>
      </w:r>
      <w:proofErr w:type="spellEnd"/>
      <w:r w:rsidRPr="0032048B">
        <w:rPr>
          <w:sz w:val="24"/>
          <w:szCs w:val="24"/>
          <w:lang w:val="sq-AL"/>
        </w:rPr>
        <w:t xml:space="preserve"> për dy veprime </w:t>
      </w:r>
      <w:proofErr w:type="spellStart"/>
      <w:r w:rsidRPr="0032048B">
        <w:rPr>
          <w:sz w:val="24"/>
          <w:szCs w:val="24"/>
          <w:lang w:val="sq-AL"/>
        </w:rPr>
        <w:t>operacionale</w:t>
      </w:r>
      <w:proofErr w:type="spellEnd"/>
      <w:r w:rsidRPr="0032048B">
        <w:rPr>
          <w:sz w:val="24"/>
          <w:szCs w:val="24"/>
          <w:lang w:val="sq-AL"/>
        </w:rPr>
        <w:t xml:space="preserve"> (në PVO-në për </w:t>
      </w:r>
      <w:proofErr w:type="spellStart"/>
      <w:r w:rsidRPr="0032048B">
        <w:rPr>
          <w:sz w:val="24"/>
          <w:szCs w:val="24"/>
          <w:lang w:val="sq-AL"/>
        </w:rPr>
        <w:t>Kontrabandimin</w:t>
      </w:r>
      <w:proofErr w:type="spellEnd"/>
      <w:r w:rsidRPr="0032048B">
        <w:rPr>
          <w:sz w:val="24"/>
          <w:szCs w:val="24"/>
          <w:lang w:val="sq-AL"/>
        </w:rPr>
        <w:t xml:space="preserve"> e </w:t>
      </w:r>
      <w:proofErr w:type="spellStart"/>
      <w:r w:rsidRPr="0032048B">
        <w:rPr>
          <w:sz w:val="24"/>
          <w:szCs w:val="24"/>
          <w:lang w:val="sq-AL"/>
        </w:rPr>
        <w:t>Migrantëve</w:t>
      </w:r>
      <w:proofErr w:type="spellEnd"/>
      <w:r w:rsidRPr="0032048B">
        <w:rPr>
          <w:sz w:val="24"/>
          <w:szCs w:val="24"/>
          <w:lang w:val="sq-AL"/>
        </w:rPr>
        <w:t xml:space="preserve"> dhe PVO-në për Financimet Kriminale, pastrimin e parave dhe rikuperimin e </w:t>
      </w:r>
      <w:proofErr w:type="spellStart"/>
      <w:r w:rsidRPr="0032048B">
        <w:rPr>
          <w:sz w:val="24"/>
          <w:szCs w:val="24"/>
          <w:lang w:val="sq-AL"/>
        </w:rPr>
        <w:t>aseteve</w:t>
      </w:r>
      <w:proofErr w:type="spellEnd"/>
      <w:r w:rsidRPr="0032048B">
        <w:rPr>
          <w:sz w:val="24"/>
          <w:szCs w:val="24"/>
          <w:lang w:val="sq-AL"/>
        </w:rPr>
        <w:t>).</w:t>
      </w:r>
    </w:p>
    <w:p w14:paraId="6DC64E87" w14:textId="77777777" w:rsidR="00CC77B5" w:rsidRPr="0032048B" w:rsidRDefault="00E6279B" w:rsidP="00CC77B5">
      <w:pPr>
        <w:spacing w:before="120"/>
        <w:ind w:left="810" w:right="976"/>
        <w:jc w:val="both"/>
        <w:rPr>
          <w:spacing w:val="-2"/>
          <w:sz w:val="24"/>
          <w:szCs w:val="24"/>
          <w:lang w:val="sq-AL"/>
        </w:rPr>
      </w:pPr>
      <w:r w:rsidRPr="0032048B">
        <w:rPr>
          <w:sz w:val="24"/>
          <w:szCs w:val="24"/>
          <w:lang w:val="sq-AL"/>
        </w:rPr>
        <w:t xml:space="preserve">Shqipëria vazhdoi të merrte pjesë në mënyrë aktive në Ditët e Veprimit të Përbashkët të EMPACT-it që promovojnë bashkëpunimin në luftën kundër trafikimit të armëve të zjarrit, kontrabandës së </w:t>
      </w:r>
      <w:proofErr w:type="spellStart"/>
      <w:r w:rsidRPr="0032048B">
        <w:rPr>
          <w:sz w:val="24"/>
          <w:szCs w:val="24"/>
          <w:lang w:val="sq-AL"/>
        </w:rPr>
        <w:t>migrantëve</w:t>
      </w:r>
      <w:proofErr w:type="spellEnd"/>
      <w:r w:rsidRPr="0032048B">
        <w:rPr>
          <w:sz w:val="24"/>
          <w:szCs w:val="24"/>
          <w:lang w:val="sq-AL"/>
        </w:rPr>
        <w:t xml:space="preserve"> dhe trafikimit të drogës, krimit të mjeteve motorike, trafikimit të qenieve njerëzore dhe falsifikimit të dokumenteve.</w:t>
      </w:r>
    </w:p>
    <w:p w14:paraId="74B81332" w14:textId="77777777" w:rsidR="00CC77B5" w:rsidRPr="0032048B" w:rsidRDefault="00E6279B" w:rsidP="00CC77B5">
      <w:pPr>
        <w:spacing w:before="120"/>
        <w:ind w:left="810" w:right="976"/>
        <w:jc w:val="both"/>
        <w:rPr>
          <w:spacing w:val="-2"/>
          <w:sz w:val="24"/>
          <w:szCs w:val="24"/>
          <w:lang w:val="sq-AL"/>
        </w:rPr>
      </w:pPr>
      <w:r w:rsidRPr="0032048B">
        <w:rPr>
          <w:sz w:val="24"/>
          <w:szCs w:val="24"/>
          <w:lang w:val="sq-AL"/>
        </w:rPr>
        <w:t xml:space="preserve">Bashkëpunimi me Interpolin ka vazhduar të sjellë rezultate pozitive, edhe pse numri i mesazheve të marra përmes kanalit të komunikimit të policisë globale të Interpolit I-24/7 ra me 9,3% në vitin 2022. Bashkëpunimi ndërmjet Akademisë së Sigurisë dhe Agjencisë së BE-së për Trajnimin e Forcave të Zbatimit të Ligjit (CEPOL) është i </w:t>
      </w:r>
      <w:proofErr w:type="spellStart"/>
      <w:r w:rsidRPr="0032048B">
        <w:rPr>
          <w:sz w:val="24"/>
          <w:szCs w:val="24"/>
          <w:lang w:val="sq-AL"/>
        </w:rPr>
        <w:t>mirëstrukturuar</w:t>
      </w:r>
      <w:proofErr w:type="spellEnd"/>
      <w:r w:rsidRPr="0032048B">
        <w:rPr>
          <w:sz w:val="24"/>
          <w:szCs w:val="24"/>
          <w:lang w:val="sq-AL"/>
        </w:rPr>
        <w:t xml:space="preserve"> dhe bazohet në një rregullim pune. Megjithatë, rishikimi i rregullimit të punës është lënë pezull për më shumë se dy vjet dhe nuk është caktuar një Pikë Kontakti Kombëtare e re. Shqipëria vazhdon të përfitojë nga </w:t>
      </w:r>
      <w:proofErr w:type="spellStart"/>
      <w:r w:rsidRPr="0032048B">
        <w:rPr>
          <w:sz w:val="24"/>
          <w:szCs w:val="24"/>
          <w:lang w:val="sq-AL"/>
        </w:rPr>
        <w:t>aksesi</w:t>
      </w:r>
      <w:proofErr w:type="spellEnd"/>
      <w:r w:rsidRPr="0032048B">
        <w:rPr>
          <w:sz w:val="24"/>
          <w:szCs w:val="24"/>
          <w:lang w:val="sq-AL"/>
        </w:rPr>
        <w:t xml:space="preserve"> i plotë në Programin e Shkëmbimit CEPOL dhe të marrë pjesë në projektin e udhëhequr nga CEPOL-i për Partneritetin kundër Krimit dhe Terrorizmit në Ballkanin Perëndimor. Me mbështetjen e CEPOL, autoritetet duhet të projektojnë, përgatisin dhe organizojnë trajnime të posaçme për të luftuar terrorizmin dhe krimin mjedisor. </w:t>
      </w:r>
    </w:p>
    <w:p w14:paraId="046D0977" w14:textId="77777777" w:rsidR="00CC77B5" w:rsidRPr="0032048B" w:rsidRDefault="00E6279B" w:rsidP="00CC77B5">
      <w:pPr>
        <w:spacing w:before="120"/>
        <w:ind w:left="810" w:right="976"/>
        <w:jc w:val="both"/>
        <w:rPr>
          <w:spacing w:val="-2"/>
          <w:sz w:val="24"/>
          <w:szCs w:val="24"/>
          <w:lang w:val="sq-AL"/>
        </w:rPr>
      </w:pPr>
      <w:r w:rsidRPr="0032048B">
        <w:rPr>
          <w:sz w:val="24"/>
          <w:szCs w:val="24"/>
          <w:lang w:val="sq-AL"/>
        </w:rPr>
        <w:t xml:space="preserve">Lidhur me </w:t>
      </w:r>
      <w:r w:rsidRPr="0032048B">
        <w:rPr>
          <w:b/>
          <w:bCs/>
          <w:sz w:val="24"/>
          <w:szCs w:val="24"/>
          <w:lang w:val="sq-AL"/>
        </w:rPr>
        <w:t>kapacitetin e brendshëm operativ</w:t>
      </w:r>
      <w:r w:rsidRPr="0032048B">
        <w:rPr>
          <w:sz w:val="24"/>
          <w:szCs w:val="24"/>
          <w:lang w:val="sq-AL"/>
        </w:rPr>
        <w:t xml:space="preserve">, reformat ligjore dhe institucionale kanë forcuar kapacitetet e Drejtorisë </w:t>
      </w:r>
      <w:proofErr w:type="spellStart"/>
      <w:r w:rsidRPr="0032048B">
        <w:rPr>
          <w:sz w:val="24"/>
          <w:szCs w:val="24"/>
          <w:lang w:val="sq-AL"/>
        </w:rPr>
        <w:t>Operacionale</w:t>
      </w:r>
      <w:proofErr w:type="spellEnd"/>
      <w:r w:rsidRPr="0032048B">
        <w:rPr>
          <w:sz w:val="24"/>
          <w:szCs w:val="24"/>
          <w:lang w:val="sq-AL"/>
        </w:rPr>
        <w:t xml:space="preserve"> të Policisë së Shtetit. Gjatë vitit 2022, u morën masa të veçanta hetuese për 496 çështje lidhur me hetimin e trafikimit të drogës. Shqipëria duhet të vazhdojë të përdorë dhe të zhvillojë teknika të veçanta hetimi dhe hetimin </w:t>
      </w:r>
      <w:proofErr w:type="spellStart"/>
      <w:r w:rsidRPr="0032048B">
        <w:rPr>
          <w:sz w:val="24"/>
          <w:szCs w:val="24"/>
          <w:lang w:val="sq-AL"/>
        </w:rPr>
        <w:t>proaktiv</w:t>
      </w:r>
      <w:proofErr w:type="spellEnd"/>
      <w:r w:rsidRPr="0032048B">
        <w:rPr>
          <w:sz w:val="24"/>
          <w:szCs w:val="24"/>
          <w:lang w:val="sq-AL"/>
        </w:rPr>
        <w:t>.</w:t>
      </w:r>
    </w:p>
    <w:p w14:paraId="75C86433" w14:textId="77777777" w:rsidR="00CC77B5" w:rsidRPr="0032048B" w:rsidRDefault="00E6279B" w:rsidP="00CC77B5">
      <w:pPr>
        <w:spacing w:before="120"/>
        <w:ind w:left="810" w:right="976"/>
        <w:jc w:val="both"/>
        <w:rPr>
          <w:spacing w:val="-2"/>
          <w:sz w:val="24"/>
          <w:szCs w:val="24"/>
          <w:lang w:val="sq-AL"/>
        </w:rPr>
      </w:pPr>
      <w:r w:rsidRPr="0032048B">
        <w:rPr>
          <w:sz w:val="24"/>
          <w:szCs w:val="24"/>
          <w:lang w:val="sq-AL"/>
        </w:rPr>
        <w:t xml:space="preserve">Me mbështetjen e BE-së, në janar të vitit 2023, Akademia e Sigurisë u akreditua për herë të parë </w:t>
      </w:r>
      <w:r w:rsidRPr="0032048B">
        <w:rPr>
          <w:sz w:val="24"/>
          <w:szCs w:val="24"/>
          <w:lang w:val="sq-AL"/>
        </w:rPr>
        <w:lastRenderedPageBreak/>
        <w:t>si një institucion i arsimit të lartë për një periudhë 5 vjeçare. Përpara se akreditimi të rinovohet, duhet të adresohen një sërë rekomandimesh.</w:t>
      </w:r>
    </w:p>
    <w:p w14:paraId="4DA9D17D" w14:textId="77777777" w:rsidR="00CC77B5" w:rsidRPr="0032048B" w:rsidRDefault="00E6279B" w:rsidP="00CC77B5">
      <w:pPr>
        <w:spacing w:before="120"/>
        <w:ind w:left="810" w:right="976"/>
        <w:jc w:val="both"/>
        <w:rPr>
          <w:spacing w:val="-2"/>
          <w:sz w:val="24"/>
          <w:szCs w:val="24"/>
          <w:lang w:val="sq-AL"/>
        </w:rPr>
      </w:pPr>
      <w:r w:rsidRPr="0032048B">
        <w:rPr>
          <w:sz w:val="24"/>
          <w:szCs w:val="24"/>
          <w:lang w:val="sq-AL"/>
        </w:rPr>
        <w:t xml:space="preserve">Autoritetet </w:t>
      </w:r>
      <w:proofErr w:type="spellStart"/>
      <w:r w:rsidRPr="0032048B">
        <w:rPr>
          <w:sz w:val="24"/>
          <w:szCs w:val="24"/>
          <w:lang w:val="sq-AL"/>
        </w:rPr>
        <w:t>ligjzbatuese</w:t>
      </w:r>
      <w:proofErr w:type="spellEnd"/>
      <w:r w:rsidRPr="0032048B">
        <w:rPr>
          <w:sz w:val="24"/>
          <w:szCs w:val="24"/>
          <w:lang w:val="sq-AL"/>
        </w:rPr>
        <w:t xml:space="preserve"> duhet të jenë më </w:t>
      </w:r>
      <w:proofErr w:type="spellStart"/>
      <w:r w:rsidRPr="0032048B">
        <w:rPr>
          <w:sz w:val="24"/>
          <w:szCs w:val="24"/>
          <w:lang w:val="sq-AL"/>
        </w:rPr>
        <w:t>proaktive</w:t>
      </w:r>
      <w:proofErr w:type="spellEnd"/>
      <w:r w:rsidRPr="0032048B">
        <w:rPr>
          <w:sz w:val="24"/>
          <w:szCs w:val="24"/>
          <w:lang w:val="sq-AL"/>
        </w:rPr>
        <w:t xml:space="preserve"> dhe sistematike në trajtimin e krimit të organizuar, veçanërisht në hetimin e rrjeteve të mëdha kriminale. Njësitë speciale në polici dhe prokurori kanë qasje në 40 regjistra kombëtarë, por ata nuk kanë ende qasje të drejtpërdrejtë në regjistrin elektronik të abonentëve celularë dhe adresave IP nga ana e ofruesve të shërbimit të internetit.</w:t>
      </w:r>
    </w:p>
    <w:p w14:paraId="4FE6632A" w14:textId="0A788C44" w:rsidR="00E6279B" w:rsidRPr="0032048B" w:rsidRDefault="00E6279B" w:rsidP="00CC77B5">
      <w:pPr>
        <w:spacing w:before="120"/>
        <w:ind w:left="810" w:right="976"/>
        <w:jc w:val="both"/>
        <w:rPr>
          <w:spacing w:val="-2"/>
          <w:sz w:val="24"/>
          <w:szCs w:val="24"/>
          <w:lang w:val="sq-AL"/>
        </w:rPr>
      </w:pPr>
      <w:r w:rsidRPr="0032048B">
        <w:rPr>
          <w:b/>
          <w:bCs/>
          <w:sz w:val="24"/>
          <w:szCs w:val="24"/>
          <w:lang w:val="sq-AL"/>
        </w:rPr>
        <w:t>Hetimet financiare</w:t>
      </w:r>
      <w:r w:rsidRPr="0032048B">
        <w:rPr>
          <w:sz w:val="24"/>
          <w:szCs w:val="24"/>
          <w:lang w:val="sq-AL"/>
        </w:rPr>
        <w:t xml:space="preserve"> nuk shoqërojnë sistematikisht proceset penale që nga fillimi, dhe efektiviteti i tyre mbetet i kufizuar. Teknikat e hetimit financiar të policisë dhe prokurorisë kanë ende nevojë për përmirësim. Sekuestrimi i </w:t>
      </w:r>
      <w:proofErr w:type="spellStart"/>
      <w:r w:rsidRPr="0032048B">
        <w:rPr>
          <w:sz w:val="24"/>
          <w:szCs w:val="24"/>
          <w:lang w:val="sq-AL"/>
        </w:rPr>
        <w:t>aseteve</w:t>
      </w:r>
      <w:proofErr w:type="spellEnd"/>
      <w:r w:rsidRPr="0032048B">
        <w:rPr>
          <w:sz w:val="24"/>
          <w:szCs w:val="24"/>
          <w:lang w:val="sq-AL"/>
        </w:rPr>
        <w:t xml:space="preserve"> pësoi rënie në vitin 2022. Shqipëria raportoi se u sekuestruan pasuri me vlerë rreth 46 milionë euro (krahasuar me 50 milionë euro në vitin 2021). Konfiskimi i pasurive u rrit në vitin 2022 në vlerën 5,8 milionë euro, krahasuar me 150 000 euro në vitin 2021.</w:t>
      </w:r>
    </w:p>
    <w:p w14:paraId="54772CF4" w14:textId="77777777" w:rsidR="00E6279B" w:rsidRPr="0032048B" w:rsidRDefault="00E6279B" w:rsidP="004D53EC">
      <w:pPr>
        <w:spacing w:before="120"/>
        <w:ind w:left="810" w:right="977"/>
        <w:jc w:val="both"/>
        <w:rPr>
          <w:rFonts w:eastAsia="Calibri"/>
          <w:sz w:val="24"/>
          <w:szCs w:val="24"/>
          <w:lang w:val="sq-AL" w:bidi="sq-AL"/>
        </w:rPr>
      </w:pPr>
      <w:r w:rsidRPr="0032048B">
        <w:rPr>
          <w:rFonts w:eastAsia="Calibri"/>
          <w:sz w:val="24"/>
          <w:szCs w:val="24"/>
          <w:lang w:val="sq-AL" w:bidi="sq-AL"/>
        </w:rPr>
        <w:t xml:space="preserve">Nuk ka asnjë qasje strategjike apo sistematike për identifikimin dhe konfiskimin e pasurive kriminale që ndodhen jashtë vendit ose që janë të paarritshme. Shqipëria duhet të zbatojë rregulla për konfiskimin e zgjeruar dhe ngrirjen paraprake të pasurive dhe ngrirjen paraprake të pasurive, për t’i administruar ato në mënyrë efektive dhe për të parandaluar humbjen e vlerës së tyre ekonomike. </w:t>
      </w:r>
    </w:p>
    <w:p w14:paraId="7B047FA7" w14:textId="77777777" w:rsidR="00E6279B" w:rsidRPr="0032048B" w:rsidRDefault="00E6279B" w:rsidP="004D53EC">
      <w:pPr>
        <w:spacing w:before="120"/>
        <w:ind w:left="810" w:right="977"/>
        <w:jc w:val="both"/>
        <w:rPr>
          <w:sz w:val="24"/>
          <w:szCs w:val="24"/>
          <w:lang w:val="sq-AL"/>
        </w:rPr>
      </w:pPr>
      <w:r w:rsidRPr="0032048B">
        <w:rPr>
          <w:sz w:val="24"/>
          <w:szCs w:val="24"/>
          <w:lang w:val="sq-AL"/>
        </w:rPr>
        <w:t xml:space="preserve">Shqipëria vazhdon të jetë një vend origjine, transiti dhe </w:t>
      </w:r>
      <w:proofErr w:type="spellStart"/>
      <w:r w:rsidRPr="0032048B">
        <w:rPr>
          <w:sz w:val="24"/>
          <w:szCs w:val="24"/>
          <w:lang w:val="sq-AL"/>
        </w:rPr>
        <w:t>destinacioni</w:t>
      </w:r>
      <w:proofErr w:type="spellEnd"/>
      <w:r w:rsidRPr="0032048B">
        <w:rPr>
          <w:sz w:val="24"/>
          <w:szCs w:val="24"/>
          <w:lang w:val="sq-AL"/>
        </w:rPr>
        <w:t xml:space="preserve"> për </w:t>
      </w:r>
      <w:r w:rsidRPr="0032048B">
        <w:rPr>
          <w:b/>
          <w:bCs/>
          <w:sz w:val="24"/>
          <w:szCs w:val="24"/>
          <w:lang w:val="sq-AL"/>
        </w:rPr>
        <w:t>trafikimin e qenieve njerëzore</w:t>
      </w:r>
      <w:r w:rsidRPr="0032048B">
        <w:rPr>
          <w:sz w:val="24"/>
          <w:szCs w:val="24"/>
          <w:lang w:val="sq-AL"/>
        </w:rPr>
        <w:t xml:space="preserve">. Gratë dhe fëmijët shqiptarë janë subjekt i trafikimit kryesisht për shfrytëzim seksual në vendet fqinje dhe në Vendet Anëtare të BE-së, ndërkohë qëllimet e dyta dhe të treta të trafikimit janë për punë të detyruar dhe shfrytëzim kriminal. Numri i kriminelëve me kombësi shqiptare të regjistruar në BE vazhdoi të ishte i lartë në vitin 2021, ku personat me kombësi shqiptare ishin në 10-shen e parë të vendeve të origjinës që nuk janë pjesë e BE-së, si persona të dyshuar (vendi i 4-t), të ndjekur penalisht (vendi i 9) dhe të dënuar (vendi i 7). Fëmijët e vendosur në institucione dhe fëmijët nga komunitetet rome dhe egjiptiane janë veçanërisht të cenueshëm nga trafikimi. Në vitin 2022, Prokuroria regjistroi 11 procedime të reja penale për trafikim të qenieve njerëzore, krahasuar me 10 në vitin 2021. Numri i dënimeve të formës së prerë mbeti shumë i ulët, me dy çështje me shtatë dënime të formës së prerë. Mekanizmi Kombëtar i Referimit për viktimat (e mundshme) të trafikimit vazhdoi të funksiononte. Në të gjitha rastet u ofrua asistencë. Në vitin 2022, u identifikuan dhe asistuan 112 viktima apo viktima të mundshme, krahasuar me 159 në vitin 2021. Identifikimi i viktimave të mundshme mbetet i pamjaftueshëm brenda territorit shqiptar, edhe te </w:t>
      </w:r>
      <w:proofErr w:type="spellStart"/>
      <w:r w:rsidRPr="0032048B">
        <w:rPr>
          <w:sz w:val="24"/>
          <w:szCs w:val="24"/>
          <w:lang w:val="sq-AL"/>
        </w:rPr>
        <w:t>migrantët</w:t>
      </w:r>
      <w:proofErr w:type="spellEnd"/>
      <w:r w:rsidRPr="0032048B">
        <w:rPr>
          <w:sz w:val="24"/>
          <w:szCs w:val="24"/>
          <w:lang w:val="sq-AL"/>
        </w:rPr>
        <w:t xml:space="preserve"> e cenueshëm që hyjnë në Shqipëri dhe ata që strehohen në qendrat e pritjes. Zbatimi i Planit Kombëtar të Veprimit kundër Trafikimit të Qenieve Njerëzore 2021-2023 duhet të mbështetet me financim të mjaftueshëm dhe koordinim më të mirë. Strehët që drejtohen nga OFJ-të mbeten të </w:t>
      </w:r>
      <w:proofErr w:type="spellStart"/>
      <w:r w:rsidRPr="0032048B">
        <w:rPr>
          <w:sz w:val="24"/>
          <w:szCs w:val="24"/>
          <w:lang w:val="sq-AL"/>
        </w:rPr>
        <w:t>nënfinancuara</w:t>
      </w:r>
      <w:proofErr w:type="spellEnd"/>
      <w:r w:rsidRPr="0032048B">
        <w:rPr>
          <w:sz w:val="24"/>
          <w:szCs w:val="24"/>
          <w:lang w:val="sq-AL"/>
        </w:rPr>
        <w:t xml:space="preserve">. Hetimet dhe ndjekjet penale nuk janë kryer në mënyrë </w:t>
      </w:r>
      <w:proofErr w:type="spellStart"/>
      <w:r w:rsidRPr="0032048B">
        <w:rPr>
          <w:sz w:val="24"/>
          <w:szCs w:val="24"/>
          <w:lang w:val="sq-AL"/>
        </w:rPr>
        <w:t>konsistente</w:t>
      </w:r>
      <w:proofErr w:type="spellEnd"/>
      <w:r w:rsidRPr="0032048B">
        <w:rPr>
          <w:sz w:val="24"/>
          <w:szCs w:val="24"/>
          <w:lang w:val="sq-AL"/>
        </w:rPr>
        <w:t xml:space="preserve"> me në qendër viktimën. Duhet të promovohet a qasje gjinore në qasjen e viktimave në sistemin e drejtësisë. Përpjekjet kundër trafikimit duhet të shtohen, veçanërisht duke forcuar aftësinë e policisë kufitare për të identifikuar dhe referuar tek shërbimet e prokurorisë rastet e trafikimit dhe duke forcuar sistemin për mbrojtjen e fëmijës. </w:t>
      </w:r>
      <w:proofErr w:type="spellStart"/>
      <w:r w:rsidRPr="0032048B">
        <w:rPr>
          <w:sz w:val="24"/>
          <w:szCs w:val="24"/>
          <w:lang w:val="sq-AL"/>
        </w:rPr>
        <w:t>Riintegrimi</w:t>
      </w:r>
      <w:proofErr w:type="spellEnd"/>
      <w:r w:rsidRPr="0032048B">
        <w:rPr>
          <w:sz w:val="24"/>
          <w:szCs w:val="24"/>
          <w:lang w:val="sq-AL"/>
        </w:rPr>
        <w:t xml:space="preserve"> i suksesshëm mbetet i vështirë sepse shërbimet kryesore shtetërore për mbrojtjen, kujdesin dhe shërbimin social janë të pamjaftueshme.</w:t>
      </w:r>
    </w:p>
    <w:p w14:paraId="76A222E6" w14:textId="77777777" w:rsidR="00E6279B" w:rsidRPr="0032048B" w:rsidRDefault="00E6279B" w:rsidP="004D53EC">
      <w:pPr>
        <w:spacing w:before="120"/>
        <w:ind w:left="900" w:right="977"/>
        <w:jc w:val="both"/>
        <w:rPr>
          <w:sz w:val="24"/>
          <w:szCs w:val="24"/>
          <w:highlight w:val="yellow"/>
          <w:lang w:val="sq-AL"/>
        </w:rPr>
      </w:pPr>
      <w:r w:rsidRPr="0032048B">
        <w:rPr>
          <w:sz w:val="24"/>
          <w:szCs w:val="24"/>
          <w:lang w:val="sq-AL"/>
        </w:rPr>
        <w:t xml:space="preserve">Përpjekjet parandaluese, veçanërisht mbi komunikimin strategjik, duhet të shtohen. Duhet të zhvillohen fushata të dedikuara </w:t>
      </w:r>
      <w:proofErr w:type="spellStart"/>
      <w:r w:rsidRPr="0032048B">
        <w:rPr>
          <w:sz w:val="24"/>
          <w:szCs w:val="24"/>
          <w:lang w:val="sq-AL"/>
        </w:rPr>
        <w:t>ndërgjegjësuese</w:t>
      </w:r>
      <w:proofErr w:type="spellEnd"/>
      <w:r w:rsidRPr="0032048B">
        <w:rPr>
          <w:sz w:val="24"/>
          <w:szCs w:val="24"/>
          <w:lang w:val="sq-AL"/>
        </w:rPr>
        <w:t xml:space="preserve"> për të synuar komunitetet në risk për trafikim të qenieve njerëzore dhe sektorët dhe mjediset me risk të lartë. Linja telefonike 116 006 për viktimat e krimit, përfshi trafikimin, duhet të jetë funksionale. </w:t>
      </w:r>
      <w:r w:rsidRPr="0032048B">
        <w:rPr>
          <w:rFonts w:eastAsia="Calibri"/>
          <w:sz w:val="24"/>
          <w:szCs w:val="24"/>
          <w:lang w:val="sq-AL" w:bidi="sq-AL"/>
        </w:rPr>
        <w:t xml:space="preserve">Mbetet për t’u përmirësuar kuadri ligjor për viktimat, duke përfshirë ndryshimet në Kodin e Procedurës Penale. Policia, prokurorët dhe gjyqtarët duhet të marrin trajnim të dedikuar, veçanërisht për të drejtat e viktimave. </w:t>
      </w:r>
    </w:p>
    <w:p w14:paraId="4521CDDC" w14:textId="77777777" w:rsidR="00E6279B" w:rsidRPr="0032048B" w:rsidRDefault="00E6279B" w:rsidP="00E6279B">
      <w:pPr>
        <w:spacing w:before="120"/>
        <w:ind w:left="980" w:right="977"/>
        <w:jc w:val="both"/>
        <w:rPr>
          <w:sz w:val="24"/>
          <w:szCs w:val="24"/>
          <w:highlight w:val="yellow"/>
          <w:lang w:val="sq-AL"/>
        </w:rPr>
      </w:pPr>
      <w:r w:rsidRPr="0032048B">
        <w:rPr>
          <w:sz w:val="24"/>
          <w:szCs w:val="24"/>
          <w:lang w:val="sq-AL"/>
        </w:rPr>
        <w:lastRenderedPageBreak/>
        <w:t xml:space="preserve">Lidhur me </w:t>
      </w:r>
      <w:r w:rsidRPr="0032048B">
        <w:rPr>
          <w:b/>
          <w:bCs/>
          <w:sz w:val="24"/>
          <w:szCs w:val="24"/>
          <w:lang w:val="sq-AL"/>
        </w:rPr>
        <w:t>trafikimin e armëve të zjarrit</w:t>
      </w:r>
      <w:r w:rsidRPr="0032048B">
        <w:rPr>
          <w:sz w:val="24"/>
          <w:szCs w:val="24"/>
          <w:lang w:val="sq-AL"/>
        </w:rPr>
        <w:t xml:space="preserve">, në Shqipëri ka një numër të madh armësh zjarri. Ato përdoren nga </w:t>
      </w:r>
      <w:r w:rsidRPr="0032048B">
        <w:rPr>
          <w:sz w:val="24"/>
          <w:szCs w:val="24"/>
          <w:lang w:val="sq-AL" w:bidi="sq-AL"/>
        </w:rPr>
        <w:t xml:space="preserve">grupet kriminale shqiptare dhe trafikohen, kryesisht, në vendet fqinje. Shqipëria është njëkohësisht vend </w:t>
      </w:r>
      <w:proofErr w:type="spellStart"/>
      <w:r w:rsidRPr="0032048B">
        <w:rPr>
          <w:sz w:val="24"/>
          <w:szCs w:val="24"/>
          <w:lang w:val="sq-AL" w:bidi="sq-AL"/>
        </w:rPr>
        <w:t>destinacioni</w:t>
      </w:r>
      <w:proofErr w:type="spellEnd"/>
      <w:r w:rsidRPr="0032048B">
        <w:rPr>
          <w:sz w:val="24"/>
          <w:szCs w:val="24"/>
          <w:lang w:val="sq-AL" w:bidi="sq-AL"/>
        </w:rPr>
        <w:t xml:space="preserve"> dhe vend </w:t>
      </w:r>
      <w:proofErr w:type="spellStart"/>
      <w:r w:rsidRPr="0032048B">
        <w:rPr>
          <w:sz w:val="24"/>
          <w:szCs w:val="24"/>
          <w:lang w:val="sq-AL" w:bidi="sq-AL"/>
        </w:rPr>
        <w:t>tranziti</w:t>
      </w:r>
      <w:proofErr w:type="spellEnd"/>
      <w:r w:rsidRPr="0032048B">
        <w:rPr>
          <w:sz w:val="24"/>
          <w:szCs w:val="24"/>
          <w:lang w:val="sq-AL" w:bidi="sq-AL"/>
        </w:rPr>
        <w:t xml:space="preserve"> për armët e lehta. Në vitin 2022, në prokurori u regjistruan 27 çështje të reja penale, nivel i njëjtë me atë të vitit 2020, dhe 26 persona morën dënim me vendim të formës së prerë në vitin 2022, krahasuar me 20 në vitin 2021. Shkëmbimi i informacionit ndërmjet palëve të ndryshme kombëtare të interesit (agjencitë </w:t>
      </w:r>
      <w:proofErr w:type="spellStart"/>
      <w:r w:rsidRPr="0032048B">
        <w:rPr>
          <w:sz w:val="24"/>
          <w:szCs w:val="24"/>
          <w:lang w:val="sq-AL" w:bidi="sq-AL"/>
        </w:rPr>
        <w:t>ligjzbatuese</w:t>
      </w:r>
      <w:proofErr w:type="spellEnd"/>
      <w:r w:rsidRPr="0032048B">
        <w:rPr>
          <w:sz w:val="24"/>
          <w:szCs w:val="24"/>
          <w:lang w:val="sq-AL" w:bidi="sq-AL"/>
        </w:rPr>
        <w:t>, prokuroria dhe sistemi gjyqësor) është ende në nivele të ulëta, gjë që rrezikon marrjen e të dhënave të plota nga policia dhe prokuroria.</w:t>
      </w:r>
    </w:p>
    <w:p w14:paraId="3CE357F3" w14:textId="77777777" w:rsidR="00E6279B" w:rsidRPr="0032048B" w:rsidRDefault="00E6279B" w:rsidP="00E6279B">
      <w:pPr>
        <w:spacing w:before="119"/>
        <w:ind w:left="979" w:right="976"/>
        <w:jc w:val="both"/>
        <w:rPr>
          <w:sz w:val="24"/>
          <w:szCs w:val="24"/>
          <w:highlight w:val="yellow"/>
          <w:lang w:val="sq-AL"/>
        </w:rPr>
      </w:pPr>
      <w:r w:rsidRPr="0032048B">
        <w:rPr>
          <w:sz w:val="24"/>
          <w:szCs w:val="24"/>
          <w:lang w:val="sq-AL"/>
        </w:rPr>
        <w:t xml:space="preserve">Rastet e </w:t>
      </w:r>
      <w:r w:rsidRPr="0032048B">
        <w:rPr>
          <w:b/>
          <w:bCs/>
          <w:sz w:val="24"/>
          <w:szCs w:val="24"/>
          <w:lang w:val="sq-AL"/>
        </w:rPr>
        <w:t xml:space="preserve">krimit </w:t>
      </w:r>
      <w:proofErr w:type="spellStart"/>
      <w:r w:rsidRPr="0032048B">
        <w:rPr>
          <w:b/>
          <w:bCs/>
          <w:sz w:val="24"/>
          <w:szCs w:val="24"/>
          <w:lang w:val="sq-AL"/>
        </w:rPr>
        <w:t>kibernetik</w:t>
      </w:r>
      <w:proofErr w:type="spellEnd"/>
      <w:r w:rsidRPr="0032048B">
        <w:rPr>
          <w:b/>
          <w:bCs/>
          <w:sz w:val="24"/>
          <w:szCs w:val="24"/>
          <w:lang w:val="sq-AL"/>
        </w:rPr>
        <w:t xml:space="preserve"> dhe mashtrimit në internet</w:t>
      </w:r>
      <w:r w:rsidRPr="0032048B">
        <w:rPr>
          <w:sz w:val="24"/>
          <w:szCs w:val="24"/>
          <w:lang w:val="sq-AL"/>
        </w:rPr>
        <w:t xml:space="preserve"> u shtuan në vitin 2022, me 121 raste të referuara në prokurori (krahasuar me 79 në 2021) dhe 3 persona morën dënim të formës së prerë. Shqipëria duhet të krijojë një përgjigje më efektive të zbatimit të ligjit, e cila përqendrohet te zbulimi, </w:t>
      </w:r>
      <w:proofErr w:type="spellStart"/>
      <w:r w:rsidRPr="0032048B">
        <w:rPr>
          <w:sz w:val="24"/>
          <w:szCs w:val="24"/>
          <w:lang w:val="sq-AL"/>
        </w:rPr>
        <w:t>gjurmueshmëria</w:t>
      </w:r>
      <w:proofErr w:type="spellEnd"/>
      <w:r w:rsidRPr="0032048B">
        <w:rPr>
          <w:sz w:val="24"/>
          <w:szCs w:val="24"/>
          <w:lang w:val="sq-AL"/>
        </w:rPr>
        <w:t xml:space="preserve"> dhe ndjekja penale e kriminelëve kibernetikë. Shqipëria duhet të nxisë prokurorët që të përdorin më shumë rrjetin 24/7 të pikave të kontaktit, të krijuar nga Konventa e Këshillit të Evropës për Krimin </w:t>
      </w:r>
      <w:proofErr w:type="spellStart"/>
      <w:r w:rsidRPr="0032048B">
        <w:rPr>
          <w:sz w:val="24"/>
          <w:szCs w:val="24"/>
          <w:lang w:val="sq-AL"/>
        </w:rPr>
        <w:t>Kibernetik</w:t>
      </w:r>
      <w:proofErr w:type="spellEnd"/>
      <w:r w:rsidRPr="0032048B">
        <w:rPr>
          <w:sz w:val="24"/>
          <w:szCs w:val="24"/>
          <w:lang w:val="sq-AL"/>
        </w:rPr>
        <w:t xml:space="preserve">. Njësia e Krimit </w:t>
      </w:r>
      <w:proofErr w:type="spellStart"/>
      <w:r w:rsidRPr="0032048B">
        <w:rPr>
          <w:sz w:val="24"/>
          <w:szCs w:val="24"/>
          <w:lang w:val="sq-AL"/>
        </w:rPr>
        <w:t>Kibernetik</w:t>
      </w:r>
      <w:proofErr w:type="spellEnd"/>
      <w:r w:rsidRPr="0032048B">
        <w:rPr>
          <w:sz w:val="24"/>
          <w:szCs w:val="24"/>
          <w:lang w:val="sq-AL"/>
        </w:rPr>
        <w:t xml:space="preserve"> në Policinë e Shtetit ka një laborator qendror mjekoligjor, por duhet të rrisë kapacitetin e tij për trajtimin e çështjeve të tilla. Duhet të forcohen kapacitetet për hetimin dhe ndjekjen penale të krimeve të kryera kundër fëmijëve në internet.</w:t>
      </w:r>
    </w:p>
    <w:p w14:paraId="78B1D5BF" w14:textId="4FE13FC9" w:rsidR="00E6279B" w:rsidRPr="0032048B" w:rsidRDefault="00E6279B" w:rsidP="00E6279B">
      <w:pPr>
        <w:spacing w:before="119"/>
        <w:ind w:left="979" w:right="976"/>
        <w:jc w:val="both"/>
        <w:rPr>
          <w:sz w:val="24"/>
          <w:szCs w:val="24"/>
          <w:lang w:val="sq-AL"/>
        </w:rPr>
      </w:pPr>
      <w:r w:rsidRPr="0032048B">
        <w:rPr>
          <w:sz w:val="24"/>
          <w:szCs w:val="24"/>
          <w:lang w:val="sq-AL"/>
        </w:rPr>
        <w:t xml:space="preserve">Shqipëria ka një sektor të madh </w:t>
      </w:r>
      <w:proofErr w:type="spellStart"/>
      <w:r w:rsidRPr="0032048B">
        <w:rPr>
          <w:sz w:val="24"/>
          <w:szCs w:val="24"/>
          <w:lang w:val="sq-AL"/>
        </w:rPr>
        <w:t>informal</w:t>
      </w:r>
      <w:proofErr w:type="spellEnd"/>
      <w:r w:rsidRPr="0032048B">
        <w:rPr>
          <w:sz w:val="24"/>
          <w:szCs w:val="24"/>
          <w:lang w:val="sq-AL"/>
        </w:rPr>
        <w:t xml:space="preserve"> dhe ekonomia e saj është kryesisht e bazuar te transaksionet me para në dorë (</w:t>
      </w:r>
      <w:proofErr w:type="spellStart"/>
      <w:r w:rsidRPr="0032048B">
        <w:rPr>
          <w:i/>
          <w:iCs/>
          <w:sz w:val="24"/>
          <w:szCs w:val="24"/>
          <w:lang w:val="sq-AL"/>
        </w:rPr>
        <w:t>cash</w:t>
      </w:r>
      <w:proofErr w:type="spellEnd"/>
      <w:r w:rsidRPr="0032048B">
        <w:rPr>
          <w:sz w:val="24"/>
          <w:szCs w:val="24"/>
          <w:lang w:val="sq-AL"/>
        </w:rPr>
        <w:t xml:space="preserve">), edhe pse numri i transaksioneve elektronike është rritur konsiderueshëm në vitet e fundit. Krimet që </w:t>
      </w:r>
      <w:proofErr w:type="spellStart"/>
      <w:r w:rsidRPr="0032048B">
        <w:rPr>
          <w:sz w:val="24"/>
          <w:szCs w:val="24"/>
          <w:lang w:val="sq-AL"/>
        </w:rPr>
        <w:t>gjenerojnë</w:t>
      </w:r>
      <w:proofErr w:type="spellEnd"/>
      <w:r w:rsidRPr="0032048B">
        <w:rPr>
          <w:sz w:val="24"/>
          <w:szCs w:val="24"/>
          <w:lang w:val="sq-AL"/>
        </w:rPr>
        <w:t xml:space="preserve"> shuma të mëdha parash përfshijnë trafikimin e drogës, evazionin fiskal, kontrabandën dhe trafikimin e qenieve njerëzore. Lidhur me </w:t>
      </w:r>
      <w:r w:rsidRPr="0032048B">
        <w:rPr>
          <w:b/>
          <w:bCs/>
          <w:sz w:val="24"/>
          <w:szCs w:val="24"/>
          <w:lang w:val="sq-AL"/>
        </w:rPr>
        <w:t>pastrimin e parave</w:t>
      </w:r>
      <w:r w:rsidRPr="0032048B">
        <w:rPr>
          <w:sz w:val="24"/>
          <w:szCs w:val="24"/>
          <w:lang w:val="sq-AL"/>
        </w:rPr>
        <w:t xml:space="preserve">, regjistri i centralizuar i llogarive bankare dhe regjistri i pronarëve përfitues janë funksionalë. Regjistri i pronarëve përfitues është tashmë thuajse krejtësisht i plotë, ku nga muaji prill i vitit 2023 përfshihen 99% e bizneseve dhe 94% e OJF-ve </w:t>
      </w:r>
      <w:r w:rsidRPr="0032048B">
        <w:rPr>
          <w:i/>
          <w:iCs/>
          <w:sz w:val="24"/>
          <w:szCs w:val="24"/>
          <w:lang w:val="sq-AL"/>
        </w:rPr>
        <w:t>(shih Kapitulli 4)</w:t>
      </w:r>
      <w:r w:rsidRPr="0032048B">
        <w:rPr>
          <w:sz w:val="24"/>
          <w:szCs w:val="24"/>
          <w:lang w:val="sq-AL"/>
        </w:rPr>
        <w:t>. Që nga korriku i vitit 2022, janë vendosur sanksione për subjektet që nuk përmbushin detyrimet për regjistrimin e pronarëve përfitues, dhe gjatë periudhës së raportimit janë vendosur 317 gjoba. Shqipëria duhet të monitorojë më tej zbatimin e sanksioneve administrative për shkeljen e detyrimit të transparencës nga entitetet që duhet të regjistrohen. Në korrik të vitit 2021, Prokuroria e Përgjithshme prezantoi një regjistër elektronik të dedikuar (PRESTO) për</w:t>
      </w:r>
      <w:r w:rsidR="004D53EC">
        <w:rPr>
          <w:sz w:val="24"/>
          <w:szCs w:val="24"/>
          <w:lang w:val="sq-AL"/>
        </w:rPr>
        <w:t xml:space="preserve"> </w:t>
      </w:r>
      <w:r w:rsidRPr="0032048B">
        <w:rPr>
          <w:sz w:val="24"/>
          <w:szCs w:val="24"/>
          <w:lang w:val="sq-AL"/>
        </w:rPr>
        <w:t xml:space="preserve">të garantuar gjurmimin e të gjitha rasteve të pastrimit të parave, është plotësisht funksional. Shqipëria duhet gjithashtu të harmonizojë legjislacionin e saj me </w:t>
      </w:r>
      <w:proofErr w:type="spellStart"/>
      <w:r w:rsidRPr="0032048B">
        <w:rPr>
          <w:sz w:val="24"/>
          <w:szCs w:val="24"/>
          <w:lang w:val="sq-AL"/>
        </w:rPr>
        <w:t>acquis</w:t>
      </w:r>
      <w:proofErr w:type="spellEnd"/>
      <w:r w:rsidRPr="0032048B">
        <w:rPr>
          <w:sz w:val="24"/>
          <w:szCs w:val="24"/>
          <w:lang w:val="sq-AL"/>
        </w:rPr>
        <w:t>-në për luftimin e pastrimit të parave nga legjislacioni penal.</w:t>
      </w:r>
    </w:p>
    <w:p w14:paraId="596203BC" w14:textId="77777777" w:rsidR="00E6279B" w:rsidRPr="0032048B" w:rsidRDefault="00E6279B" w:rsidP="00E6279B">
      <w:pPr>
        <w:spacing w:before="119"/>
        <w:ind w:left="979" w:right="976"/>
        <w:jc w:val="both"/>
        <w:rPr>
          <w:sz w:val="24"/>
          <w:szCs w:val="24"/>
          <w:lang w:val="sq-AL"/>
        </w:rPr>
      </w:pPr>
      <w:r w:rsidRPr="0032048B">
        <w:rPr>
          <w:sz w:val="24"/>
          <w:szCs w:val="24"/>
          <w:lang w:val="sq-AL"/>
        </w:rPr>
        <w:t>Në vitin 2022, në prokurori u referuan 503 çështje të pastrimit të parave, krahasuar me 423 në vitin 2021. Numri i personave që u dënuan me vendim të formës së prerë për pastrim parash u rrit nga një në vitin 2021 në nëntë në vitin 2022.</w:t>
      </w:r>
    </w:p>
    <w:p w14:paraId="20362D2C" w14:textId="77777777" w:rsidR="00E6279B" w:rsidRPr="0032048B" w:rsidRDefault="00E6279B" w:rsidP="00E6279B">
      <w:pPr>
        <w:spacing w:before="120"/>
        <w:ind w:left="979" w:right="976"/>
        <w:jc w:val="both"/>
        <w:rPr>
          <w:sz w:val="24"/>
          <w:szCs w:val="24"/>
          <w:lang w:val="sq-AL"/>
        </w:rPr>
      </w:pPr>
      <w:r w:rsidRPr="0032048B">
        <w:rPr>
          <w:sz w:val="24"/>
          <w:szCs w:val="24"/>
          <w:lang w:val="sq-AL"/>
        </w:rPr>
        <w:t xml:space="preserve">Programi i ASP-së për </w:t>
      </w:r>
      <w:r w:rsidRPr="0032048B">
        <w:rPr>
          <w:b/>
          <w:bCs/>
          <w:sz w:val="24"/>
          <w:szCs w:val="24"/>
          <w:lang w:val="sq-AL"/>
        </w:rPr>
        <w:t>mbrojtjen e dëshmitarëve</w:t>
      </w:r>
      <w:r w:rsidRPr="0032048B">
        <w:rPr>
          <w:sz w:val="24"/>
          <w:szCs w:val="24"/>
          <w:lang w:val="sq-AL"/>
        </w:rPr>
        <w:t xml:space="preserve"> ka funksionuar në mënyrë të kënaqshme. Në vitin 2022, u realizuan 23 operacione të mbrojtjes së dëshmitarëve, një më pak se në vitin 2021.</w:t>
      </w:r>
    </w:p>
    <w:p w14:paraId="596FBDB6" w14:textId="77777777" w:rsidR="00E6279B" w:rsidRPr="0032048B" w:rsidRDefault="00E6279B" w:rsidP="00E6279B">
      <w:pPr>
        <w:spacing w:before="120"/>
        <w:ind w:left="979"/>
        <w:jc w:val="both"/>
        <w:outlineLvl w:val="0"/>
        <w:rPr>
          <w:b/>
          <w:bCs/>
          <w:sz w:val="24"/>
          <w:szCs w:val="24"/>
          <w:lang w:val="sq-AL"/>
        </w:rPr>
      </w:pPr>
      <w:r w:rsidRPr="0032048B">
        <w:rPr>
          <w:b/>
          <w:bCs/>
          <w:sz w:val="24"/>
          <w:szCs w:val="24"/>
          <w:lang w:val="sq-AL"/>
        </w:rPr>
        <w:t>Bashkëpunimi në fushën e drogës</w:t>
      </w:r>
    </w:p>
    <w:p w14:paraId="2ECDC8F5" w14:textId="77777777" w:rsidR="00E6279B" w:rsidRPr="0032048B" w:rsidRDefault="00E6279B" w:rsidP="00E6279B">
      <w:pPr>
        <w:spacing w:before="120"/>
        <w:ind w:left="980"/>
        <w:jc w:val="both"/>
        <w:rPr>
          <w:sz w:val="24"/>
          <w:szCs w:val="24"/>
          <w:lang w:val="sq-AL"/>
        </w:rPr>
      </w:pPr>
      <w:r w:rsidRPr="0032048B">
        <w:rPr>
          <w:spacing w:val="-2"/>
          <w:sz w:val="24"/>
          <w:szCs w:val="24"/>
          <w:u w:val="single"/>
          <w:lang w:val="sq-AL"/>
        </w:rPr>
        <w:t>Organizimi institucional dhe harmonizimi ligjor</w:t>
      </w:r>
    </w:p>
    <w:p w14:paraId="27A330AD" w14:textId="77777777" w:rsidR="00E6279B" w:rsidRPr="0032048B" w:rsidRDefault="00E6279B" w:rsidP="00E6279B">
      <w:pPr>
        <w:spacing w:before="120"/>
        <w:ind w:left="979" w:right="977"/>
        <w:jc w:val="both"/>
        <w:rPr>
          <w:sz w:val="24"/>
          <w:szCs w:val="24"/>
          <w:highlight w:val="yellow"/>
          <w:lang w:val="sq-AL"/>
        </w:rPr>
      </w:pPr>
      <w:r w:rsidRPr="0032048B">
        <w:rPr>
          <w:sz w:val="24"/>
          <w:szCs w:val="24"/>
          <w:lang w:val="sq-AL"/>
        </w:rPr>
        <w:t xml:space="preserve">Ministria e Punëve të Brendshme dhe Ministria e Shëndetësisë dhe Mbrojtjes Sociale/Instituti i Shëndetit Publik janë organet drejtuese përkatësisht në luftën kundër trafikimit të drogës dhe abuzimit me drogën. Shqipëria nuk ka ende një strategji kombëtare specifike kundër drogës. Disa aspekte të sigurisë mbulon nga Strategjia Kombëtare kundër Krimit të Organizuar dhe Krimeve të Rënda 2021-2025 dhe planeve të njëpasnjëshme të veprimit. </w:t>
      </w:r>
      <w:r w:rsidRPr="0032048B">
        <w:rPr>
          <w:sz w:val="24"/>
          <w:szCs w:val="24"/>
          <w:lang w:val="sq-AL" w:bidi="sq-AL"/>
        </w:rPr>
        <w:t xml:space="preserve">Në zbatim të Strategjisë kundër Krimit të Organizuar, Polica e Shtetit miraton plane veprimi vjetore për parandalimin dhe goditjen e veprimtarisë kriminale të kultivimit të bimëve narkotike, më i </w:t>
      </w:r>
      <w:r w:rsidRPr="0032048B">
        <w:rPr>
          <w:sz w:val="24"/>
          <w:szCs w:val="24"/>
          <w:lang w:val="sq-AL" w:bidi="sq-AL"/>
        </w:rPr>
        <w:lastRenderedPageBreak/>
        <w:t xml:space="preserve">fundit miratuar në shkurt të vitit 2023. Përpjekje të mëtejshme duhet të bëhen në fushën e luftës kundër drogës, veçanërisht duke miratuar një strategji kombëtare kundër drogës, e cila do të mbulojë aspekte të </w:t>
      </w:r>
      <w:proofErr w:type="spellStart"/>
      <w:r w:rsidRPr="0032048B">
        <w:rPr>
          <w:sz w:val="24"/>
          <w:szCs w:val="24"/>
          <w:lang w:val="sq-AL" w:bidi="sq-AL"/>
        </w:rPr>
        <w:t>funizimit</w:t>
      </w:r>
      <w:proofErr w:type="spellEnd"/>
      <w:r w:rsidRPr="0032048B">
        <w:rPr>
          <w:sz w:val="24"/>
          <w:szCs w:val="24"/>
          <w:lang w:val="sq-AL" w:bidi="sq-AL"/>
        </w:rPr>
        <w:t xml:space="preserve">, kërkesës dhe reduktimit të dënimit, duke harmonizuar plotësisht legjislacionin me </w:t>
      </w:r>
      <w:proofErr w:type="spellStart"/>
      <w:r w:rsidRPr="0032048B">
        <w:rPr>
          <w:i/>
          <w:iCs/>
          <w:sz w:val="24"/>
          <w:szCs w:val="24"/>
          <w:lang w:val="sq-AL" w:bidi="sq-AL"/>
        </w:rPr>
        <w:t>acquis</w:t>
      </w:r>
      <w:proofErr w:type="spellEnd"/>
      <w:r w:rsidRPr="0032048B">
        <w:rPr>
          <w:sz w:val="24"/>
          <w:szCs w:val="24"/>
          <w:lang w:val="sq-AL" w:bidi="sq-AL"/>
        </w:rPr>
        <w:t>-në e BE-së dhe praktikat ndërkombëtare.</w:t>
      </w:r>
    </w:p>
    <w:p w14:paraId="3A8F363D" w14:textId="77777777" w:rsidR="00E6279B" w:rsidRPr="0032048B" w:rsidRDefault="00E6279B" w:rsidP="00E6279B">
      <w:pPr>
        <w:spacing w:before="120"/>
        <w:ind w:left="979" w:right="978"/>
        <w:jc w:val="both"/>
        <w:rPr>
          <w:sz w:val="24"/>
          <w:szCs w:val="24"/>
          <w:lang w:val="sq-AL"/>
        </w:rPr>
      </w:pPr>
      <w:r w:rsidRPr="0032048B">
        <w:rPr>
          <w:sz w:val="24"/>
          <w:szCs w:val="24"/>
          <w:lang w:val="sq-AL"/>
        </w:rPr>
        <w:t xml:space="preserve">Grupi i punës i krijuar në maj të vitit 2022 për të rishikuar legjislacionin për substancat narkotike dhe substancat </w:t>
      </w:r>
      <w:proofErr w:type="spellStart"/>
      <w:r w:rsidRPr="0032048B">
        <w:rPr>
          <w:sz w:val="24"/>
          <w:szCs w:val="24"/>
          <w:lang w:val="sq-AL"/>
        </w:rPr>
        <w:t>psikotrope</w:t>
      </w:r>
      <w:proofErr w:type="spellEnd"/>
      <w:r w:rsidRPr="0032048B">
        <w:rPr>
          <w:sz w:val="24"/>
          <w:szCs w:val="24"/>
          <w:lang w:val="sq-AL"/>
        </w:rPr>
        <w:t xml:space="preserve"> duhet të shtojë aktivitetin e tij, në përputhje me ndryshimet e bëra në listat e substancave </w:t>
      </w:r>
      <w:proofErr w:type="spellStart"/>
      <w:r w:rsidRPr="0032048B">
        <w:rPr>
          <w:sz w:val="24"/>
          <w:szCs w:val="24"/>
          <w:lang w:val="sq-AL"/>
        </w:rPr>
        <w:t>psikotrope</w:t>
      </w:r>
      <w:proofErr w:type="spellEnd"/>
      <w:r w:rsidRPr="0032048B">
        <w:rPr>
          <w:sz w:val="24"/>
          <w:szCs w:val="24"/>
          <w:lang w:val="sq-AL"/>
        </w:rPr>
        <w:t xml:space="preserve"> nga Bordi Ndërkombëtar i Kontrollit të Substancave Narkotike.</w:t>
      </w:r>
    </w:p>
    <w:p w14:paraId="23209063" w14:textId="77777777" w:rsidR="00E6279B" w:rsidRPr="0032048B" w:rsidRDefault="00E6279B" w:rsidP="00E6279B">
      <w:pPr>
        <w:spacing w:before="120"/>
        <w:ind w:left="979" w:right="978"/>
        <w:jc w:val="both"/>
        <w:rPr>
          <w:rFonts w:eastAsia="Calibri"/>
          <w:sz w:val="24"/>
          <w:szCs w:val="24"/>
          <w:lang w:val="sq-AL" w:bidi="sq-AL"/>
        </w:rPr>
      </w:pPr>
      <w:r w:rsidRPr="0032048B">
        <w:rPr>
          <w:rFonts w:eastAsia="Calibri"/>
          <w:sz w:val="24"/>
          <w:szCs w:val="24"/>
          <w:lang w:val="sq-AL" w:bidi="sq-AL"/>
        </w:rPr>
        <w:t xml:space="preserve">Ngritja e Qendrës Kombëtare të Sistemit të Informacionit mbi Drogat (observatori kombëtar i drogës) është ende pezull. Shqipëria duhet të krijojë një observator funksional me burimet e nevojshme njerëzore dhe financiare, i cili është vendimtar për krijimin e një sistemi gjithëpërfshirës të mbledhjes së të dhënave mbi drogat, për koordinimin e sistemit të informacionit mbi drogat, dhe për </w:t>
      </w:r>
      <w:proofErr w:type="spellStart"/>
      <w:r w:rsidRPr="0032048B">
        <w:rPr>
          <w:rFonts w:eastAsia="Calibri"/>
          <w:sz w:val="24"/>
          <w:szCs w:val="24"/>
          <w:lang w:val="sq-AL" w:bidi="sq-AL"/>
        </w:rPr>
        <w:t>asociimin</w:t>
      </w:r>
      <w:proofErr w:type="spellEnd"/>
      <w:r w:rsidRPr="0032048B">
        <w:rPr>
          <w:rFonts w:eastAsia="Calibri"/>
          <w:sz w:val="24"/>
          <w:szCs w:val="24"/>
          <w:lang w:val="sq-AL" w:bidi="sq-AL"/>
        </w:rPr>
        <w:t xml:space="preserve"> e Shqipërisë në rrjetin </w:t>
      </w:r>
      <w:proofErr w:type="spellStart"/>
      <w:r w:rsidRPr="0032048B">
        <w:rPr>
          <w:rFonts w:eastAsia="Calibri"/>
          <w:sz w:val="24"/>
          <w:szCs w:val="24"/>
          <w:lang w:val="sq-AL" w:bidi="sq-AL"/>
        </w:rPr>
        <w:t>Reitox</w:t>
      </w:r>
      <w:proofErr w:type="spellEnd"/>
      <w:r w:rsidRPr="0032048B">
        <w:rPr>
          <w:rFonts w:eastAsia="Calibri"/>
          <w:sz w:val="24"/>
          <w:szCs w:val="24"/>
          <w:lang w:val="sq-AL" w:bidi="sq-AL"/>
        </w:rPr>
        <w:t xml:space="preserve"> të BE-së.</w:t>
      </w:r>
    </w:p>
    <w:p w14:paraId="334FF1B8" w14:textId="77777777" w:rsidR="00E6279B" w:rsidRPr="0032048B" w:rsidRDefault="00E6279B" w:rsidP="00E6279B">
      <w:pPr>
        <w:spacing w:before="119"/>
        <w:ind w:left="979" w:right="976"/>
        <w:jc w:val="both"/>
        <w:rPr>
          <w:sz w:val="24"/>
          <w:szCs w:val="24"/>
          <w:lang w:val="sq-AL"/>
        </w:rPr>
      </w:pPr>
      <w:r w:rsidRPr="0032048B">
        <w:rPr>
          <w:sz w:val="24"/>
          <w:szCs w:val="24"/>
          <w:lang w:val="sq-AL"/>
        </w:rPr>
        <w:t xml:space="preserve">Edhe pse Ministria e Punëve të Brendshme ka caktuar një koordinator për sistemin kombëtar të paralajmërimit të hershëm (SKPH), dhe ekspertët shqiptarë kanë marrë pjesë në trajnime, nuk ka ende një SKPH funksionale për zbulimin e substancave të reja </w:t>
      </w:r>
      <w:proofErr w:type="spellStart"/>
      <w:r w:rsidRPr="0032048B">
        <w:rPr>
          <w:sz w:val="24"/>
          <w:szCs w:val="24"/>
          <w:lang w:val="sq-AL"/>
        </w:rPr>
        <w:t>psikoaktive</w:t>
      </w:r>
      <w:proofErr w:type="spellEnd"/>
      <w:r w:rsidRPr="0032048B">
        <w:rPr>
          <w:sz w:val="24"/>
          <w:szCs w:val="24"/>
          <w:lang w:val="sq-AL"/>
        </w:rPr>
        <w:t>. SKPH-ja duhet të bëhet funksionale pa vonesa.</w:t>
      </w:r>
    </w:p>
    <w:p w14:paraId="1CF8EBD3" w14:textId="614A5DD2" w:rsidR="00E6279B" w:rsidRPr="0032048B" w:rsidRDefault="00E6279B" w:rsidP="00E6279B">
      <w:pPr>
        <w:spacing w:before="119"/>
        <w:ind w:left="979" w:right="976"/>
        <w:jc w:val="both"/>
        <w:rPr>
          <w:sz w:val="24"/>
          <w:szCs w:val="24"/>
          <w:lang w:val="sq-AL"/>
        </w:rPr>
      </w:pPr>
      <w:r w:rsidRPr="0032048B">
        <w:rPr>
          <w:sz w:val="24"/>
          <w:szCs w:val="24"/>
          <w:lang w:val="sq-AL"/>
        </w:rPr>
        <w:t>Në gusht të vitit 2023, Shqipëria ka miratuar një ligj për kontrollin e kultivimit dhe përpunimit të bimëve kanabis dhe prodhimit të nënprodukteve të tij për qëllime mjekësore dhe industriale.</w:t>
      </w:r>
      <w:r w:rsidR="004D53EC">
        <w:rPr>
          <w:sz w:val="24"/>
          <w:szCs w:val="24"/>
          <w:lang w:val="sq-AL"/>
        </w:rPr>
        <w:t xml:space="preserve"> </w:t>
      </w:r>
      <w:r w:rsidRPr="0032048B">
        <w:rPr>
          <w:sz w:val="24"/>
          <w:szCs w:val="24"/>
          <w:lang w:val="sq-AL"/>
        </w:rPr>
        <w:t>Shqipëria duhet të vazhdojë konsultimet me BE-në mbi legjislacionin zbatues të parashikuar dhe të garantojë krijimin e mekanizmave për parandalimin në mënyrë efektive të devijimit për përdorim të padëshirueshëm.</w:t>
      </w:r>
    </w:p>
    <w:p w14:paraId="147BB82D" w14:textId="77777777" w:rsidR="00E6279B" w:rsidRPr="0032048B" w:rsidRDefault="00E6279B" w:rsidP="00E6279B">
      <w:pPr>
        <w:spacing w:before="120"/>
        <w:ind w:left="980"/>
        <w:jc w:val="both"/>
        <w:rPr>
          <w:sz w:val="24"/>
          <w:szCs w:val="24"/>
          <w:lang w:val="sq-AL"/>
        </w:rPr>
      </w:pPr>
      <w:r w:rsidRPr="0032048B">
        <w:rPr>
          <w:spacing w:val="-2"/>
          <w:sz w:val="24"/>
          <w:szCs w:val="24"/>
          <w:u w:val="single"/>
          <w:lang w:val="sq-AL"/>
        </w:rPr>
        <w:t>Zbatimi dhe kapaciteti zbatues</w:t>
      </w:r>
    </w:p>
    <w:p w14:paraId="69554480" w14:textId="77777777" w:rsidR="00E6279B" w:rsidRPr="0032048B" w:rsidRDefault="00E6279B" w:rsidP="00E6279B">
      <w:pPr>
        <w:spacing w:before="120"/>
        <w:ind w:left="980" w:right="977"/>
        <w:jc w:val="both"/>
        <w:rPr>
          <w:sz w:val="24"/>
          <w:szCs w:val="24"/>
          <w:lang w:val="sq-AL"/>
        </w:rPr>
      </w:pPr>
      <w:r w:rsidRPr="0032048B">
        <w:rPr>
          <w:sz w:val="24"/>
          <w:szCs w:val="24"/>
          <w:lang w:val="sq-AL"/>
        </w:rPr>
        <w:t>Grupet kriminale shqiptare vazhdojnë të luajnë një rol kryesor në trafikimin global të drogës, në veçanti trafikimin e kokainës nga Amerika Latine dhe Jugore në Evropë. Gjatë periudhës së raportimit, operacionet policore ndërkombëtare, shpesh me përfshirjen aktive të Policisë së Shtetit, kanë çuar në zbulimin e disa prej këtyre grupeve.</w:t>
      </w:r>
    </w:p>
    <w:p w14:paraId="0731DE83" w14:textId="77777777" w:rsidR="00E6279B" w:rsidRPr="0032048B" w:rsidRDefault="00E6279B" w:rsidP="00E6279B">
      <w:pPr>
        <w:spacing w:before="120"/>
        <w:ind w:left="980" w:right="977"/>
        <w:jc w:val="both"/>
        <w:rPr>
          <w:sz w:val="24"/>
          <w:szCs w:val="24"/>
          <w:lang w:val="sq-AL"/>
        </w:rPr>
      </w:pPr>
      <w:r w:rsidRPr="0032048B">
        <w:rPr>
          <w:sz w:val="24"/>
          <w:szCs w:val="24"/>
          <w:lang w:val="sq-AL"/>
        </w:rPr>
        <w:t xml:space="preserve">Në janar të vitit 2023, në një operacion të përbashkët mes </w:t>
      </w:r>
      <w:proofErr w:type="spellStart"/>
      <w:r w:rsidRPr="0032048B">
        <w:rPr>
          <w:sz w:val="24"/>
          <w:szCs w:val="24"/>
          <w:lang w:val="sq-AL"/>
        </w:rPr>
        <w:t>Eurojust</w:t>
      </w:r>
      <w:proofErr w:type="spellEnd"/>
      <w:r w:rsidRPr="0032048B">
        <w:rPr>
          <w:sz w:val="24"/>
          <w:szCs w:val="24"/>
          <w:lang w:val="sq-AL"/>
        </w:rPr>
        <w:t xml:space="preserve">, </w:t>
      </w:r>
      <w:proofErr w:type="spellStart"/>
      <w:r w:rsidRPr="0032048B">
        <w:rPr>
          <w:sz w:val="24"/>
          <w:szCs w:val="24"/>
          <w:lang w:val="sq-AL"/>
        </w:rPr>
        <w:t>Europol</w:t>
      </w:r>
      <w:proofErr w:type="spellEnd"/>
      <w:r w:rsidRPr="0032048B">
        <w:rPr>
          <w:sz w:val="24"/>
          <w:szCs w:val="24"/>
          <w:lang w:val="sq-AL"/>
        </w:rPr>
        <w:t xml:space="preserve"> dhe autoriteteve italiane dhe shqiptare, që synonte një rrjet të nivelit të gjerë të trafikimit të drogës, i cili ishte përgjegjës për trafikimin e kokainës, kanabisit dhe heroinës nga Shqipëria në Itali, 30 të dyshuar u arrestuan nga 31 vendndodhje të ndryshme. Në prill të vitit 2023, autoritetet spanjolle zbuluan një grup kriminal shqiptar që trafikonte kokainë nga Amerika Latine të në gjithë Evropën. 17 persona që i përkisnin kësaj grupi u arrestuan në sulme të organizuara në të gjithë Spanjën. Që nga fillimi i operacionit në shtator të vitit 2021, rreth dhjetë ton kokainë u sekuestruan në Itali, Belgjikë, Greqi, Portugali, Holandë dhe Spanjë, të cilat kanë lidhje me atë grup kriminal.</w:t>
      </w:r>
    </w:p>
    <w:p w14:paraId="1F31EC4F" w14:textId="77777777" w:rsidR="00E6279B" w:rsidRPr="0032048B" w:rsidRDefault="00E6279B" w:rsidP="00E6279B">
      <w:pPr>
        <w:spacing w:before="120"/>
        <w:ind w:left="980" w:right="976"/>
        <w:jc w:val="both"/>
        <w:rPr>
          <w:sz w:val="24"/>
          <w:szCs w:val="24"/>
          <w:lang w:val="sq-AL" w:bidi="sq-AL"/>
        </w:rPr>
      </w:pPr>
      <w:r w:rsidRPr="0032048B">
        <w:rPr>
          <w:sz w:val="24"/>
          <w:szCs w:val="24"/>
          <w:lang w:val="sq-AL"/>
        </w:rPr>
        <w:t xml:space="preserve">Autoritetet </w:t>
      </w:r>
      <w:proofErr w:type="spellStart"/>
      <w:r w:rsidRPr="0032048B">
        <w:rPr>
          <w:sz w:val="24"/>
          <w:szCs w:val="24"/>
          <w:lang w:val="sq-AL"/>
        </w:rPr>
        <w:t>ligjzbatuese</w:t>
      </w:r>
      <w:proofErr w:type="spellEnd"/>
      <w:r w:rsidRPr="0032048B">
        <w:rPr>
          <w:sz w:val="24"/>
          <w:szCs w:val="24"/>
          <w:lang w:val="sq-AL"/>
        </w:rPr>
        <w:t xml:space="preserve"> të Shqipërisë kanë ruajtur një nivel të mirë bashkëpunimi me homologët e tyre në Vendet Anëtare të BE-së në trajtimin e trafikimit të lëndëve narkotike. Gjatë vitit 2022, në fushën e lëndëve narkotike u zhvilluan 271 operacione policore, 90 prej të cilave u zhvilluan në bashkëpunim me partnerët ndërkombëtarë të Shqipërisë. </w:t>
      </w:r>
      <w:r w:rsidRPr="0032048B">
        <w:rPr>
          <w:rFonts w:eastAsia="Calibri"/>
          <w:sz w:val="24"/>
          <w:szCs w:val="24"/>
          <w:lang w:val="sq-AL" w:bidi="sq-AL"/>
        </w:rPr>
        <w:t xml:space="preserve">Shqipëria vazhdon të zbatojë rregullimin e punës me </w:t>
      </w:r>
      <w:r w:rsidRPr="0032048B">
        <w:rPr>
          <w:sz w:val="24"/>
          <w:szCs w:val="24"/>
          <w:shd w:val="clear" w:color="auto" w:fill="FFFFFF"/>
          <w:lang w:val="sq-AL" w:bidi="sq-AL"/>
        </w:rPr>
        <w:t xml:space="preserve">Qendrën Evropiane të Monitorimit për Drogat dhe Varësinë nga Drogat (EMCDDA), por nevojiten përpjekje më të mëdha, përfshi këtu koordinimin më të mirë ndërinstitucional, për të rritur kapacitetet e saj </w:t>
      </w:r>
      <w:r w:rsidRPr="0032048B">
        <w:rPr>
          <w:sz w:val="24"/>
          <w:szCs w:val="24"/>
          <w:lang w:val="sq-AL" w:bidi="sq-AL"/>
        </w:rPr>
        <w:t>të raportimit për çështje lidhur me drogën, në përputhje me udhëzimet/protokollet e EMCDDA-së dhe në caktimin e burimeve të mjaftueshme për këtë detyrë.</w:t>
      </w:r>
    </w:p>
    <w:p w14:paraId="59434653" w14:textId="3FB640DF" w:rsidR="00E6279B" w:rsidRPr="0032048B" w:rsidRDefault="00E6279B" w:rsidP="00E6279B">
      <w:pPr>
        <w:spacing w:before="120"/>
        <w:ind w:left="980" w:right="976"/>
        <w:jc w:val="both"/>
        <w:rPr>
          <w:sz w:val="24"/>
          <w:szCs w:val="24"/>
          <w:highlight w:val="yellow"/>
          <w:lang w:val="sq-AL"/>
        </w:rPr>
      </w:pPr>
      <w:r w:rsidRPr="0032048B">
        <w:rPr>
          <w:sz w:val="24"/>
          <w:szCs w:val="24"/>
          <w:lang w:val="sq-AL" w:bidi="sq-AL"/>
        </w:rPr>
        <w:t xml:space="preserve">Trafikimi i drogave është forma më e zakonshme e veprave të rënda penale në Shqipëri, edhe </w:t>
      </w:r>
      <w:r w:rsidRPr="0032048B">
        <w:rPr>
          <w:sz w:val="24"/>
          <w:szCs w:val="24"/>
          <w:lang w:val="sq-AL" w:bidi="sq-AL"/>
        </w:rPr>
        <w:lastRenderedPageBreak/>
        <w:t>pse numri i çështjeve të identifikuara ka pësuar një rënie të lehtë. Në vitin 2022, policia identifikoi 2 956 vepra penale lidhur me kultivimin, prodhimin, shitjen dhe trafikimin e lëndëve narkotike, krahasuar me 3 168 vepra penale në vitin 2021, duke përfshirë 3 690 autorë të dyshuar (3 927 në vitin 2021).</w:t>
      </w:r>
      <w:r w:rsidR="004D53EC">
        <w:rPr>
          <w:sz w:val="24"/>
          <w:szCs w:val="24"/>
          <w:lang w:val="sq-AL" w:bidi="sq-AL"/>
        </w:rPr>
        <w:t xml:space="preserve"> </w:t>
      </w:r>
      <w:r w:rsidRPr="0032048B">
        <w:rPr>
          <w:sz w:val="24"/>
          <w:szCs w:val="24"/>
          <w:lang w:val="sq-AL" w:bidi="sq-AL"/>
        </w:rPr>
        <w:t>Prodhimi dhe shitja janë deri tani veprat penale më të zakonshme lidhur me drogat (77% e të gjitha çështjeve). Mes janarit dhe gushtit të vitit 2023, numri i zbulimit të veprave penale që lidhen me drogat u rrit me 10,9% nga e njëjta periudhë në vitin 2022.</w:t>
      </w:r>
    </w:p>
    <w:p w14:paraId="04EDBDC4" w14:textId="77777777" w:rsidR="00E6279B" w:rsidRPr="0032048B" w:rsidRDefault="00E6279B" w:rsidP="00E6279B">
      <w:pPr>
        <w:spacing w:before="120"/>
        <w:ind w:left="980" w:right="976"/>
        <w:jc w:val="both"/>
        <w:rPr>
          <w:sz w:val="24"/>
          <w:szCs w:val="24"/>
          <w:lang w:val="sq-AL"/>
        </w:rPr>
      </w:pPr>
      <w:r w:rsidRPr="0032048B">
        <w:rPr>
          <w:sz w:val="24"/>
          <w:szCs w:val="24"/>
          <w:lang w:val="sq-AL"/>
        </w:rPr>
        <w:t xml:space="preserve">Shqipëria duhet të rrisë në mënyrë drastike aftësinë e saj për të mbledhur, ruajtur dhe raportuar të dhënat për të gjithë treguesit që lidhen me drogën, dhe në përputhje me standardet e BE-së, si dhe duhet të forcojë kapacitetet e autoriteteve </w:t>
      </w:r>
      <w:proofErr w:type="spellStart"/>
      <w:r w:rsidRPr="0032048B">
        <w:rPr>
          <w:sz w:val="24"/>
          <w:szCs w:val="24"/>
          <w:lang w:val="sq-AL"/>
        </w:rPr>
        <w:t>ligjzbatuese</w:t>
      </w:r>
      <w:proofErr w:type="spellEnd"/>
      <w:r w:rsidRPr="0032048B">
        <w:rPr>
          <w:sz w:val="24"/>
          <w:szCs w:val="24"/>
          <w:lang w:val="sq-AL"/>
        </w:rPr>
        <w:t xml:space="preserve"> lidhur me drogën. </w:t>
      </w:r>
    </w:p>
    <w:p w14:paraId="2F95B2FD" w14:textId="77777777" w:rsidR="00E6279B" w:rsidRPr="0032048B" w:rsidRDefault="00E6279B" w:rsidP="00E6279B">
      <w:pPr>
        <w:spacing w:before="120"/>
        <w:ind w:left="980" w:right="977"/>
        <w:jc w:val="both"/>
        <w:rPr>
          <w:sz w:val="24"/>
          <w:szCs w:val="24"/>
          <w:highlight w:val="yellow"/>
          <w:lang w:val="sq-AL"/>
        </w:rPr>
      </w:pPr>
      <w:r w:rsidRPr="0032048B">
        <w:rPr>
          <w:rFonts w:eastAsia="Calibri"/>
          <w:sz w:val="24"/>
          <w:szCs w:val="24"/>
          <w:lang w:val="sq-AL" w:bidi="sq-AL"/>
        </w:rPr>
        <w:t xml:space="preserve">Shqipëria mbetet vendi i vetëm në rajon që lejon monitorimin nga një vend tjetër: që prej vitit 2013, agjencia </w:t>
      </w:r>
      <w:proofErr w:type="spellStart"/>
      <w:r w:rsidRPr="0032048B">
        <w:rPr>
          <w:rFonts w:eastAsia="Calibri"/>
          <w:sz w:val="24"/>
          <w:szCs w:val="24"/>
          <w:lang w:val="sq-AL" w:bidi="sq-AL"/>
        </w:rPr>
        <w:t>ligjzbatuese</w:t>
      </w:r>
      <w:proofErr w:type="spellEnd"/>
      <w:r w:rsidRPr="0032048B">
        <w:rPr>
          <w:rFonts w:eastAsia="Calibri"/>
          <w:sz w:val="24"/>
          <w:szCs w:val="24"/>
          <w:lang w:val="sq-AL" w:bidi="sq-AL"/>
        </w:rPr>
        <w:t xml:space="preserve"> (</w:t>
      </w:r>
      <w:proofErr w:type="spellStart"/>
      <w:r w:rsidRPr="0032048B">
        <w:rPr>
          <w:rFonts w:eastAsia="Calibri"/>
          <w:i/>
          <w:sz w:val="24"/>
          <w:szCs w:val="24"/>
          <w:lang w:val="sq-AL" w:bidi="sq-AL"/>
        </w:rPr>
        <w:t>Guardia</w:t>
      </w:r>
      <w:proofErr w:type="spellEnd"/>
      <w:r w:rsidRPr="0032048B">
        <w:rPr>
          <w:rFonts w:eastAsia="Calibri"/>
          <w:i/>
          <w:sz w:val="24"/>
          <w:szCs w:val="24"/>
          <w:lang w:val="sq-AL" w:bidi="sq-AL"/>
        </w:rPr>
        <w:t xml:space="preserve"> di </w:t>
      </w:r>
      <w:proofErr w:type="spellStart"/>
      <w:r w:rsidRPr="0032048B">
        <w:rPr>
          <w:rFonts w:eastAsia="Calibri"/>
          <w:i/>
          <w:sz w:val="24"/>
          <w:szCs w:val="24"/>
          <w:lang w:val="sq-AL" w:bidi="sq-AL"/>
        </w:rPr>
        <w:t>Finanza</w:t>
      </w:r>
      <w:proofErr w:type="spellEnd"/>
      <w:r w:rsidRPr="0032048B">
        <w:rPr>
          <w:rFonts w:eastAsia="Calibri"/>
          <w:sz w:val="24"/>
          <w:szCs w:val="24"/>
          <w:lang w:val="sq-AL" w:bidi="sq-AL"/>
        </w:rPr>
        <w:t xml:space="preserve">) e Ministrisë së Ekonomisë dhe Financave e Italisë ka kryer vrojtime nga ajri për të zbuluar plantacionet e kanabisit në Shqipëri. Në vitin 2022, </w:t>
      </w:r>
      <w:proofErr w:type="spellStart"/>
      <w:r w:rsidRPr="0032048B">
        <w:rPr>
          <w:rFonts w:eastAsia="Calibri"/>
          <w:sz w:val="24"/>
          <w:szCs w:val="24"/>
          <w:lang w:val="sq-AL" w:bidi="sq-AL"/>
        </w:rPr>
        <w:t>Guardia</w:t>
      </w:r>
      <w:proofErr w:type="spellEnd"/>
      <w:r w:rsidRPr="0032048B">
        <w:rPr>
          <w:rFonts w:eastAsia="Calibri"/>
          <w:sz w:val="24"/>
          <w:szCs w:val="24"/>
          <w:lang w:val="sq-AL" w:bidi="sq-AL"/>
        </w:rPr>
        <w:t xml:space="preserve"> di </w:t>
      </w:r>
      <w:proofErr w:type="spellStart"/>
      <w:r w:rsidRPr="0032048B">
        <w:rPr>
          <w:rFonts w:eastAsia="Calibri"/>
          <w:sz w:val="24"/>
          <w:szCs w:val="24"/>
          <w:lang w:val="sq-AL" w:bidi="sq-AL"/>
        </w:rPr>
        <w:t>Finanza</w:t>
      </w:r>
      <w:proofErr w:type="spellEnd"/>
      <w:r w:rsidRPr="0032048B">
        <w:rPr>
          <w:rFonts w:eastAsia="Calibri"/>
          <w:sz w:val="24"/>
          <w:szCs w:val="24"/>
          <w:lang w:val="sq-AL" w:bidi="sq-AL"/>
        </w:rPr>
        <w:t xml:space="preserve"> ka kryer 63 misione ajrore, duke vëzhguar 1 106 744, 8 hektarë, dhe ka mundësuar gjetjen dhe shkatërrimin e 41 000 bimëve. Kjo shifër përfaqëson një rënie prej rreth 55% krahasuar me vitin 2021, por është më e lartë se shifra e viteve 2017-2019. Gjithashtu, Policia e Shtetit vazhdoi monitorimin me anë të </w:t>
      </w:r>
      <w:proofErr w:type="spellStart"/>
      <w:r w:rsidRPr="0032048B">
        <w:rPr>
          <w:rFonts w:eastAsia="Calibri"/>
          <w:sz w:val="24"/>
          <w:szCs w:val="24"/>
          <w:lang w:val="sq-AL" w:bidi="sq-AL"/>
        </w:rPr>
        <w:t>dronëve</w:t>
      </w:r>
      <w:proofErr w:type="spellEnd"/>
      <w:r w:rsidRPr="0032048B">
        <w:rPr>
          <w:rFonts w:eastAsia="Calibri"/>
          <w:sz w:val="24"/>
          <w:szCs w:val="24"/>
          <w:lang w:val="sq-AL" w:bidi="sq-AL"/>
        </w:rPr>
        <w:t xml:space="preserve">. Sasia e </w:t>
      </w:r>
      <w:proofErr w:type="spellStart"/>
      <w:r w:rsidRPr="0032048B">
        <w:rPr>
          <w:rFonts w:eastAsia="Calibri"/>
          <w:sz w:val="24"/>
          <w:szCs w:val="24"/>
          <w:lang w:val="sq-AL" w:bidi="sq-AL"/>
        </w:rPr>
        <w:t>kanabizit</w:t>
      </w:r>
      <w:proofErr w:type="spellEnd"/>
      <w:r w:rsidRPr="0032048B">
        <w:rPr>
          <w:rFonts w:eastAsia="Calibri"/>
          <w:sz w:val="24"/>
          <w:szCs w:val="24"/>
          <w:lang w:val="sq-AL" w:bidi="sq-AL"/>
        </w:rPr>
        <w:t xml:space="preserve"> të sekuestruar në Shqipëri u rrit pak nga 3,6 ton në vitin 2021 në 3,76 ton në vitin 2022.</w:t>
      </w:r>
    </w:p>
    <w:p w14:paraId="1D0062E3" w14:textId="77777777" w:rsidR="00E6279B" w:rsidRPr="0032048B" w:rsidRDefault="00E6279B" w:rsidP="00E6279B">
      <w:pPr>
        <w:spacing w:before="119"/>
        <w:ind w:left="980" w:right="977"/>
        <w:jc w:val="both"/>
        <w:rPr>
          <w:sz w:val="24"/>
          <w:szCs w:val="24"/>
          <w:lang w:val="sq-AL"/>
        </w:rPr>
      </w:pPr>
      <w:r w:rsidRPr="0032048B">
        <w:rPr>
          <w:sz w:val="24"/>
          <w:szCs w:val="24"/>
          <w:lang w:val="sq-AL"/>
        </w:rPr>
        <w:t>Sasia e kokainës së sekuestruar u ul nga 725 kg në vitin 2021 në 578 kg në vitin 2022, që mbetet një sasi mjaft e konsiderueshme. Sasia e sekuestruar e hashashit dhe heroinës ka rënë në mënyrë drastike nga 208 kg në vitin 2021 në vetëm 37 g në vitin 2022 për hashashin dhe nga 81 kg në vitin 2021 në 7 kg në vitin 2022 për heroinën. Njëkohësisht, ka pasur një rritje të madhe në sasinë e MDMA-së së sekuestruar, nga 7 g në vitin 2021 në 480 g në vitin 2022.</w:t>
      </w:r>
    </w:p>
    <w:p w14:paraId="32DE632D" w14:textId="77777777" w:rsidR="00E6279B" w:rsidRPr="0032048B" w:rsidRDefault="00E6279B" w:rsidP="00E6279B">
      <w:pPr>
        <w:spacing w:before="120"/>
        <w:ind w:left="980" w:right="976"/>
        <w:jc w:val="both"/>
        <w:rPr>
          <w:sz w:val="24"/>
          <w:szCs w:val="24"/>
          <w:highlight w:val="yellow"/>
          <w:lang w:val="sq-AL"/>
        </w:rPr>
      </w:pPr>
      <w:r w:rsidRPr="0032048B">
        <w:rPr>
          <w:sz w:val="24"/>
          <w:szCs w:val="24"/>
          <w:lang w:val="sq-AL"/>
        </w:rPr>
        <w:t xml:space="preserve">Mungesa e magazinimit të sigurt të drogave dhe </w:t>
      </w:r>
      <w:proofErr w:type="spellStart"/>
      <w:r w:rsidRPr="0032048B">
        <w:rPr>
          <w:sz w:val="24"/>
          <w:szCs w:val="24"/>
          <w:lang w:val="sq-AL"/>
        </w:rPr>
        <w:t>prekursorëve</w:t>
      </w:r>
      <w:proofErr w:type="spellEnd"/>
      <w:r w:rsidRPr="0032048B">
        <w:rPr>
          <w:sz w:val="24"/>
          <w:szCs w:val="24"/>
          <w:lang w:val="sq-AL"/>
        </w:rPr>
        <w:t xml:space="preserve"> të drogave të sekuestruara përpara shkatërrimit mbetet një çështje shqetësuese. Shqipëria duhet të krijojë bazën ligjore për procesin e duhur të shkatërrimit të </w:t>
      </w:r>
      <w:proofErr w:type="spellStart"/>
      <w:r w:rsidRPr="0032048B">
        <w:rPr>
          <w:sz w:val="24"/>
          <w:szCs w:val="24"/>
          <w:lang w:val="sq-AL"/>
        </w:rPr>
        <w:t>prekursorëve</w:t>
      </w:r>
      <w:proofErr w:type="spellEnd"/>
      <w:r w:rsidRPr="0032048B">
        <w:rPr>
          <w:sz w:val="24"/>
          <w:szCs w:val="24"/>
          <w:lang w:val="sq-AL"/>
        </w:rPr>
        <w:t xml:space="preserve"> dhe praktikën e ruajtjes së vetëm një mostre të vogël si provë materiale për procedurat gjyqësore (në vend të ruajtjes së të gjithë sasisë së sekuestruar).</w:t>
      </w:r>
    </w:p>
    <w:p w14:paraId="188F7E7B" w14:textId="77777777" w:rsidR="00E6279B" w:rsidRPr="0032048B" w:rsidRDefault="00E6279B" w:rsidP="00E6279B">
      <w:pPr>
        <w:spacing w:before="120"/>
        <w:ind w:left="980"/>
        <w:jc w:val="both"/>
        <w:outlineLvl w:val="0"/>
        <w:rPr>
          <w:b/>
          <w:bCs/>
          <w:sz w:val="24"/>
          <w:szCs w:val="24"/>
          <w:lang w:val="sq-AL"/>
        </w:rPr>
      </w:pPr>
      <w:r w:rsidRPr="0032048B">
        <w:rPr>
          <w:b/>
          <w:bCs/>
          <w:sz w:val="24"/>
          <w:szCs w:val="24"/>
          <w:lang w:val="sq-AL"/>
        </w:rPr>
        <w:t>Lufta kundër terrorizmit</w:t>
      </w:r>
    </w:p>
    <w:p w14:paraId="53F3F2F3" w14:textId="77777777" w:rsidR="00E6279B" w:rsidRPr="0032048B" w:rsidRDefault="00E6279B" w:rsidP="00E6279B">
      <w:pPr>
        <w:spacing w:before="120"/>
        <w:ind w:left="980"/>
        <w:jc w:val="both"/>
        <w:rPr>
          <w:sz w:val="24"/>
          <w:szCs w:val="24"/>
          <w:lang w:val="sq-AL"/>
        </w:rPr>
      </w:pPr>
      <w:r w:rsidRPr="0032048B">
        <w:rPr>
          <w:spacing w:val="-2"/>
          <w:sz w:val="24"/>
          <w:szCs w:val="24"/>
          <w:u w:val="single"/>
          <w:lang w:val="sq-AL"/>
        </w:rPr>
        <w:t>Organizimi institucional dhe harmonizimi ligjor</w:t>
      </w:r>
    </w:p>
    <w:p w14:paraId="50BC2BF1" w14:textId="77777777" w:rsidR="00E6279B" w:rsidRPr="0032048B" w:rsidRDefault="00E6279B" w:rsidP="00E6279B">
      <w:pPr>
        <w:spacing w:before="120"/>
        <w:ind w:left="980" w:right="976"/>
        <w:jc w:val="both"/>
        <w:rPr>
          <w:sz w:val="24"/>
          <w:szCs w:val="24"/>
          <w:lang w:val="sq-AL" w:bidi="sq-AL"/>
        </w:rPr>
      </w:pPr>
      <w:r w:rsidRPr="0032048B">
        <w:rPr>
          <w:sz w:val="24"/>
          <w:szCs w:val="24"/>
          <w:lang w:val="sq-AL" w:bidi="sq-AL"/>
        </w:rPr>
        <w:t xml:space="preserve">Shqipëria ka një kuadër ligjor gjithëpërfshirës për parandalimin dhe luftimin e financimit të terrorizmit dhe ka bërë mjaft hapa përpara lidhur me përafrimin me </w:t>
      </w:r>
      <w:proofErr w:type="spellStart"/>
      <w:r w:rsidRPr="0032048B">
        <w:rPr>
          <w:sz w:val="24"/>
          <w:szCs w:val="24"/>
          <w:lang w:val="sq-AL" w:bidi="sq-AL"/>
        </w:rPr>
        <w:t>acquis</w:t>
      </w:r>
      <w:proofErr w:type="spellEnd"/>
      <w:r w:rsidRPr="0032048B">
        <w:rPr>
          <w:sz w:val="24"/>
          <w:szCs w:val="24"/>
          <w:lang w:val="sq-AL" w:bidi="sq-AL"/>
        </w:rPr>
        <w:t xml:space="preserve">-në e BE-së. Ajo është palë në të gjitha konventat e Këshillit të Evropës kundër terrorizmit, përfshirë ato që mbulojnë konfiskimin dhe sekuestrimin e produkteve të krimit dhe financimin e terrorizmit. Autoritetet duhet të sigurojnë zbatimin efektiv të sanksioneve financiare të synuara të </w:t>
      </w:r>
      <w:proofErr w:type="spellStart"/>
      <w:r w:rsidRPr="0032048B">
        <w:rPr>
          <w:sz w:val="24"/>
          <w:szCs w:val="24"/>
          <w:lang w:val="sq-AL" w:bidi="sq-AL"/>
        </w:rPr>
        <w:t>mandatuara</w:t>
      </w:r>
      <w:proofErr w:type="spellEnd"/>
      <w:r w:rsidRPr="0032048B">
        <w:rPr>
          <w:sz w:val="24"/>
          <w:szCs w:val="24"/>
          <w:lang w:val="sq-AL" w:bidi="sq-AL"/>
        </w:rPr>
        <w:t xml:space="preserve"> nga Këshilli i Sigurimit i Kombeve të Bashkuara, ndër të tjera, duke rritur përfshirjen e institucioneve financiare dhe aktorëve të tjerë të rëndësishëm, dhe përmes inspektimeve efektive, në përputhje me planin e veprimit të FATF-së. Duhet të vazhdojë puna për parandalimin e </w:t>
      </w:r>
      <w:proofErr w:type="spellStart"/>
      <w:r w:rsidRPr="0032048B">
        <w:rPr>
          <w:sz w:val="24"/>
          <w:szCs w:val="24"/>
          <w:lang w:val="sq-AL" w:bidi="sq-AL"/>
        </w:rPr>
        <w:t>risqeve</w:t>
      </w:r>
      <w:proofErr w:type="spellEnd"/>
      <w:r w:rsidRPr="0032048B">
        <w:rPr>
          <w:sz w:val="24"/>
          <w:szCs w:val="24"/>
          <w:lang w:val="sq-AL" w:bidi="sq-AL"/>
        </w:rPr>
        <w:t xml:space="preserve"> grupeve të </w:t>
      </w:r>
      <w:proofErr w:type="spellStart"/>
      <w:r w:rsidRPr="0032048B">
        <w:rPr>
          <w:sz w:val="24"/>
          <w:szCs w:val="24"/>
          <w:lang w:val="sq-AL" w:bidi="sq-AL"/>
        </w:rPr>
        <w:t>radikalizuara</w:t>
      </w:r>
      <w:proofErr w:type="spellEnd"/>
      <w:r w:rsidRPr="0032048B">
        <w:rPr>
          <w:sz w:val="24"/>
          <w:szCs w:val="24"/>
          <w:lang w:val="sq-AL" w:bidi="sq-AL"/>
        </w:rPr>
        <w:t xml:space="preserve"> që përdorin organizatave jofitimprurëse për të financuar terrorizmin.</w:t>
      </w:r>
    </w:p>
    <w:p w14:paraId="5DEEAA52" w14:textId="77777777" w:rsidR="00E6279B" w:rsidRPr="0032048B" w:rsidRDefault="00E6279B" w:rsidP="00E6279B">
      <w:pPr>
        <w:spacing w:before="120"/>
        <w:ind w:left="979" w:right="977"/>
        <w:jc w:val="both"/>
        <w:rPr>
          <w:sz w:val="24"/>
          <w:szCs w:val="24"/>
          <w:lang w:val="sq-AL"/>
        </w:rPr>
      </w:pPr>
      <w:r w:rsidRPr="0032048B">
        <w:rPr>
          <w:sz w:val="24"/>
          <w:szCs w:val="24"/>
          <w:lang w:val="sq-AL"/>
        </w:rPr>
        <w:t xml:space="preserve">Në mars të vitit 2022, qeveria miratoi një strategji të re </w:t>
      </w:r>
      <w:proofErr w:type="spellStart"/>
      <w:r w:rsidRPr="0032048B">
        <w:rPr>
          <w:sz w:val="24"/>
          <w:szCs w:val="24"/>
          <w:lang w:val="sq-AL"/>
        </w:rPr>
        <w:t>ndërsektoriale</w:t>
      </w:r>
      <w:proofErr w:type="spellEnd"/>
      <w:r w:rsidRPr="0032048B">
        <w:rPr>
          <w:sz w:val="24"/>
          <w:szCs w:val="24"/>
          <w:lang w:val="sq-AL"/>
        </w:rPr>
        <w:t xml:space="preserve"> për vitet 2023-2025 dhe dy plane veprimi për të parandaluar ekstremizmin e dhunshëm dhe për të luftuar terrorizmin. Këto dokumente zëvendësojnë strategjinë kombëtare </w:t>
      </w:r>
      <w:proofErr w:type="spellStart"/>
      <w:r w:rsidRPr="0032048B">
        <w:rPr>
          <w:sz w:val="24"/>
          <w:szCs w:val="24"/>
          <w:lang w:val="sq-AL"/>
        </w:rPr>
        <w:t>ndërsektoriale</w:t>
      </w:r>
      <w:proofErr w:type="spellEnd"/>
      <w:r w:rsidRPr="0032048B">
        <w:rPr>
          <w:sz w:val="24"/>
          <w:szCs w:val="24"/>
          <w:lang w:val="sq-AL"/>
        </w:rPr>
        <w:t xml:space="preserve"> kundër terrorizmit të vitit 2020 dhe strategjinë kombëtare të luftës kundër ekstremizmit të dhunshëm të vitit 2015, dhe planet e veprimit përkatëse. Fondet e nevojshme për zbatimin e planeve të veprimit duhet të </w:t>
      </w:r>
      <w:proofErr w:type="spellStart"/>
      <w:r w:rsidRPr="0032048B">
        <w:rPr>
          <w:sz w:val="24"/>
          <w:szCs w:val="24"/>
          <w:lang w:val="sq-AL"/>
        </w:rPr>
        <w:t>buxhetohen</w:t>
      </w:r>
      <w:proofErr w:type="spellEnd"/>
      <w:r w:rsidRPr="0032048B">
        <w:rPr>
          <w:sz w:val="24"/>
          <w:szCs w:val="24"/>
          <w:lang w:val="sq-AL"/>
        </w:rPr>
        <w:t>.</w:t>
      </w:r>
    </w:p>
    <w:p w14:paraId="2808E99A" w14:textId="77777777" w:rsidR="00E6279B" w:rsidRPr="0032048B" w:rsidRDefault="00E6279B" w:rsidP="00E6279B">
      <w:pPr>
        <w:spacing w:before="120"/>
        <w:ind w:left="979" w:right="977"/>
        <w:jc w:val="both"/>
        <w:rPr>
          <w:sz w:val="24"/>
          <w:szCs w:val="24"/>
          <w:lang w:val="sq-AL"/>
        </w:rPr>
      </w:pPr>
      <w:r w:rsidRPr="0032048B">
        <w:rPr>
          <w:sz w:val="24"/>
          <w:szCs w:val="24"/>
          <w:lang w:val="sq-AL"/>
        </w:rPr>
        <w:lastRenderedPageBreak/>
        <w:t>Shqipëria ka vazhduar të shënojë progres të mirë në zbatimin e marrëveshjes dypalëshe me BE-në të vitit 2019 lidhur me vënien në zbatim të Planit të Përbashkët të Veprimit për Luftën kundër Terrorizmit për Ballkanin Perëndimor. Një marrëveshje dypalëshe e rishikuar u firmos në dhjetor të vitit 2022 dhe po vazhdon të zbatohet. Shqipëria duhet të dorëzojë raportin e parë për zbatimin e marrëveshjes së rishikuar. Puna ka vazhduar për krijimin e një organi apo mekanizmi për vlerësimet e përbashkëta të kërcënimeve kombëtare, si dhe puna për mbrojtjen e infrastrukturës kritike. Sipas rishikimit, autoritetet shqiptare duhet të hartojnë një raport mbi infrastrukturën kritike për të vlerësuar situatën dhe nevojat aktuale si nga këndvështrimi ligjor dhe ai funksional, në mënyrë që të harmonizohet me legjislacionin dhe standardet e ardhshme të BE-së dhe të garantojë qëndrueshmërinë e entiteteve kritike.</w:t>
      </w:r>
    </w:p>
    <w:p w14:paraId="78F67C4D" w14:textId="77777777" w:rsidR="00E6279B" w:rsidRPr="0032048B" w:rsidRDefault="00E6279B" w:rsidP="00E6279B">
      <w:pPr>
        <w:spacing w:before="120"/>
        <w:ind w:left="979" w:right="976"/>
        <w:jc w:val="both"/>
        <w:rPr>
          <w:sz w:val="24"/>
          <w:szCs w:val="24"/>
          <w:lang w:val="sq-AL" w:bidi="sq-AL"/>
        </w:rPr>
      </w:pPr>
      <w:r w:rsidRPr="0032048B">
        <w:rPr>
          <w:sz w:val="24"/>
          <w:szCs w:val="24"/>
          <w:lang w:val="sq-AL"/>
        </w:rPr>
        <w:t xml:space="preserve">Drejtoria Antiterrorizëm e Policisë së Shtetit është organi kryesor i luftës kundër terrorizmit, nën juridiksionin e Prokurorisë së Posaçme dhe Gjykatave të Posaçme. Burimet e saj u shtuan si pjesë e ristrukturimit të Policisë së Shtetit në vitin 2023. </w:t>
      </w:r>
      <w:r w:rsidRPr="0032048B">
        <w:rPr>
          <w:sz w:val="24"/>
          <w:szCs w:val="24"/>
          <w:lang w:val="sq-AL" w:bidi="sq-AL"/>
        </w:rPr>
        <w:t xml:space="preserve">Shërbimi Informativ i Shtetit dhe Agjencia e Inteligjencës dhe Sigurisë së Mbrojtjes janë po ashtu funksionale në këtë fushë. Personeli i </w:t>
      </w:r>
      <w:proofErr w:type="spellStart"/>
      <w:r w:rsidRPr="0032048B">
        <w:rPr>
          <w:sz w:val="24"/>
          <w:szCs w:val="24"/>
          <w:lang w:val="sq-AL" w:bidi="sq-AL"/>
        </w:rPr>
        <w:t>policimit</w:t>
      </w:r>
      <w:proofErr w:type="spellEnd"/>
      <w:r w:rsidRPr="0032048B">
        <w:rPr>
          <w:sz w:val="24"/>
          <w:szCs w:val="24"/>
          <w:lang w:val="sq-AL" w:bidi="sq-AL"/>
        </w:rPr>
        <w:t xml:space="preserve"> në komunitet i ASP-së është përfshirë në përpjekje parandaluese dhe të paralajmërimit të hershëm. Qendra e Koordinimit kundër Ekstremizmit të Dhunshëm është përgjegjëse për ngritjen e kapaciteteve dhe koordinimin e veprimtarive të CVE-së ndërmjet institucioneve qeveritare dhe mbikëqyrjen e zbatimit të strategjisë kombëtare të luftës kundër terrorizmit. Ndryshimet në </w:t>
      </w:r>
      <w:proofErr w:type="spellStart"/>
      <w:r w:rsidRPr="0032048B">
        <w:rPr>
          <w:sz w:val="24"/>
          <w:szCs w:val="24"/>
          <w:lang w:val="sq-AL" w:bidi="sq-AL"/>
        </w:rPr>
        <w:t>lidershipin</w:t>
      </w:r>
      <w:proofErr w:type="spellEnd"/>
      <w:r w:rsidRPr="0032048B">
        <w:rPr>
          <w:sz w:val="24"/>
          <w:szCs w:val="24"/>
          <w:lang w:val="sq-AL" w:bidi="sq-AL"/>
        </w:rPr>
        <w:t xml:space="preserve"> dhe stafin e qendrës kanë sjellë humbjen e kujtesës institucionale dhe kanë ndikuar negativisht në efektivitetin e saj. Për pasojë, qendra duhet të krijojë procedurat e nevojshme administrative të brendshme për të adresuar këtë çështje dhe për të përmirësuar menaxhimin e njohurive dhe informacionit. Përpjekjet e vitit të kaluar për të përmirësuar kapacitetet e qendrës për të parandaluar ekstremizmin e dhunshëm në nivel lokal duhet të vazhdojnë. Kapacitetet e komuniteteve lokale dhe këshillave të sigurisë vendore për parandalimin e terrorizmit duhet të përmirësohen më tej. Duhet të përmirësohen masat dhe kapacitetet për të trajtuar </w:t>
      </w:r>
      <w:proofErr w:type="spellStart"/>
      <w:r w:rsidRPr="0032048B">
        <w:rPr>
          <w:sz w:val="24"/>
          <w:szCs w:val="24"/>
          <w:lang w:val="sq-AL" w:bidi="sq-AL"/>
        </w:rPr>
        <w:t>përmbajtet</w:t>
      </w:r>
      <w:proofErr w:type="spellEnd"/>
      <w:r w:rsidRPr="0032048B">
        <w:rPr>
          <w:sz w:val="24"/>
          <w:szCs w:val="24"/>
          <w:lang w:val="sq-AL" w:bidi="sq-AL"/>
        </w:rPr>
        <w:t xml:space="preserve"> terroriste në internet përmes harmonizimit me </w:t>
      </w:r>
      <w:proofErr w:type="spellStart"/>
      <w:r w:rsidRPr="0032048B">
        <w:rPr>
          <w:sz w:val="24"/>
          <w:szCs w:val="24"/>
          <w:lang w:val="sq-AL" w:bidi="sq-AL"/>
        </w:rPr>
        <w:t>acquis</w:t>
      </w:r>
      <w:proofErr w:type="spellEnd"/>
      <w:r w:rsidRPr="0032048B">
        <w:rPr>
          <w:sz w:val="24"/>
          <w:szCs w:val="24"/>
          <w:lang w:val="sq-AL" w:bidi="sq-AL"/>
        </w:rPr>
        <w:t>-në e BE-së dhe adoptimit të praktikave më të mira.</w:t>
      </w:r>
    </w:p>
    <w:p w14:paraId="230BA17E" w14:textId="77777777" w:rsidR="00E6279B" w:rsidRPr="0032048B" w:rsidRDefault="00E6279B" w:rsidP="00E6279B">
      <w:pPr>
        <w:spacing w:before="119"/>
        <w:ind w:left="980"/>
        <w:jc w:val="both"/>
        <w:rPr>
          <w:sz w:val="24"/>
          <w:szCs w:val="24"/>
          <w:lang w:val="sq-AL"/>
        </w:rPr>
      </w:pPr>
      <w:r w:rsidRPr="0032048B">
        <w:rPr>
          <w:spacing w:val="-2"/>
          <w:sz w:val="24"/>
          <w:szCs w:val="24"/>
          <w:u w:val="single"/>
          <w:lang w:val="sq-AL"/>
        </w:rPr>
        <w:t>Zbatimi dhe kapaciteti zbatues</w:t>
      </w:r>
    </w:p>
    <w:p w14:paraId="103F1AA5" w14:textId="5BF43A05" w:rsidR="00E6279B" w:rsidRPr="0032048B" w:rsidRDefault="00E6279B" w:rsidP="00E6279B">
      <w:pPr>
        <w:spacing w:before="120"/>
        <w:ind w:left="979" w:right="976"/>
        <w:jc w:val="both"/>
        <w:rPr>
          <w:sz w:val="24"/>
          <w:szCs w:val="24"/>
          <w:lang w:val="sq-AL" w:bidi="sq-AL"/>
        </w:rPr>
      </w:pPr>
      <w:r w:rsidRPr="0032048B">
        <w:rPr>
          <w:sz w:val="24"/>
          <w:szCs w:val="24"/>
          <w:lang w:val="sq-AL"/>
        </w:rPr>
        <w:t xml:space="preserve">Policia referoi shtatë raste të veprave penale terrorizëm dhe financim të terrorizmit në Prokurorinë e Posaçme. Në vitin 2022, një individ, me kombësi iraniane, u dënua për vepër penale terrorizëm. Në tetor 2022, gusht 2021 dhe maj 2022 </w:t>
      </w:r>
      <w:r w:rsidRPr="0032048B">
        <w:rPr>
          <w:sz w:val="24"/>
          <w:szCs w:val="24"/>
          <w:lang w:val="sq-AL" w:bidi="sq-AL"/>
        </w:rPr>
        <w:t xml:space="preserve">autoritetet riatdhesuan dhjetë gra dhe 27 të mitur nga kampet në Siri. Qendra e Koordinimit CVE dhe Drejtoria Antiterrorizëm e Policisë së Shtetit kanë udhëhequr punën ndërinstitucionale për </w:t>
      </w:r>
      <w:proofErr w:type="spellStart"/>
      <w:r w:rsidRPr="0032048B">
        <w:rPr>
          <w:sz w:val="24"/>
          <w:szCs w:val="24"/>
          <w:lang w:val="sq-AL" w:bidi="sq-AL"/>
        </w:rPr>
        <w:t>riintegrimin</w:t>
      </w:r>
      <w:proofErr w:type="spellEnd"/>
      <w:r w:rsidRPr="0032048B">
        <w:rPr>
          <w:sz w:val="24"/>
          <w:szCs w:val="24"/>
          <w:lang w:val="sq-AL" w:bidi="sq-AL"/>
        </w:rPr>
        <w:t xml:space="preserve"> dhe rehabilitimin e tyre në mënyrë efektive dhe profesionale, me Drejtorinë Antiterrorizëm që kryen edhe hetime penale dhe që siguron monitorim. Deri tani nuk janë ngritur akuza penale ndaj asnjë prej personave të kthyer. Në total, në Shqipëri janë kthyer 81 shtetas shqiptarë nga Siria dhe Iraku. Numri i shtetasve shqiptarë që kanë mbetur në Siri llogaritet të jetë nga 35 në 45, 9 prej të cilëve janë në burg</w:t>
      </w:r>
      <w:r w:rsidR="004D53EC">
        <w:rPr>
          <w:sz w:val="24"/>
          <w:szCs w:val="24"/>
          <w:lang w:val="sq-AL" w:bidi="sq-AL"/>
        </w:rPr>
        <w:t>j</w:t>
      </w:r>
      <w:r w:rsidRPr="0032048B">
        <w:rPr>
          <w:sz w:val="24"/>
          <w:szCs w:val="24"/>
          <w:lang w:val="sq-AL" w:bidi="sq-AL"/>
        </w:rPr>
        <w:t>et e Forcave Demokratike siriane. Të paktën 45 shtetas shqiptarë kanë vdekur në zonën e konfliktit. Autoritetet vazhdojnë të kërkojnë të kthejnë gratë dhe fëmijët që kanë mbetur në kampet e Sirisë. Qendra e Koordinimit CVE është angazhuar për ngritjen e kapaciteteve në nivel vendor dhe kombëtar lidhur me parandalimin dhe luftën kundër ekstremizmit të dhunshëm, duke përfshirë bashkëpunimin me shoqërinë civile.</w:t>
      </w:r>
    </w:p>
    <w:p w14:paraId="5FEDE470" w14:textId="77777777" w:rsidR="00E6279B" w:rsidRPr="0032048B" w:rsidRDefault="00E6279B" w:rsidP="00E6279B">
      <w:pPr>
        <w:spacing w:before="62"/>
        <w:ind w:left="979" w:right="976"/>
        <w:jc w:val="both"/>
        <w:rPr>
          <w:spacing w:val="-2"/>
          <w:sz w:val="24"/>
          <w:szCs w:val="24"/>
          <w:highlight w:val="yellow"/>
          <w:lang w:val="sq-AL"/>
        </w:rPr>
      </w:pPr>
      <w:r w:rsidRPr="0032048B">
        <w:rPr>
          <w:sz w:val="24"/>
          <w:szCs w:val="24"/>
          <w:lang w:val="sq-AL" w:bidi="sq-AL"/>
        </w:rPr>
        <w:t xml:space="preserve">Bashkëpunimi rajonal dhe shkëmbimi i informacioneve të ndjeshme me partnerët ndërkombëtarë mbetet i kënaqshëm. Shqipëria duhet t’i përdorë në mënyrë më </w:t>
      </w:r>
      <w:proofErr w:type="spellStart"/>
      <w:r w:rsidRPr="0032048B">
        <w:rPr>
          <w:sz w:val="24"/>
          <w:szCs w:val="24"/>
          <w:lang w:val="sq-AL" w:bidi="sq-AL"/>
        </w:rPr>
        <w:t>proaktive</w:t>
      </w:r>
      <w:proofErr w:type="spellEnd"/>
      <w:r w:rsidRPr="0032048B">
        <w:rPr>
          <w:sz w:val="24"/>
          <w:szCs w:val="24"/>
          <w:lang w:val="sq-AL" w:bidi="sq-AL"/>
        </w:rPr>
        <w:t xml:space="preserve"> kapacitetet e Qendrës Evropiane kundër Terrorizmit të </w:t>
      </w:r>
      <w:proofErr w:type="spellStart"/>
      <w:r w:rsidRPr="0032048B">
        <w:rPr>
          <w:sz w:val="24"/>
          <w:szCs w:val="24"/>
          <w:lang w:val="sq-AL" w:bidi="sq-AL"/>
        </w:rPr>
        <w:t>Europolit</w:t>
      </w:r>
      <w:proofErr w:type="spellEnd"/>
      <w:r w:rsidRPr="0032048B">
        <w:rPr>
          <w:sz w:val="24"/>
          <w:szCs w:val="24"/>
          <w:lang w:val="sq-AL" w:bidi="sq-AL"/>
        </w:rPr>
        <w:t xml:space="preserve"> dhe duhet të vazhdojë të bashkëpunojë me Njësinë e Referimit në Internet të </w:t>
      </w:r>
      <w:proofErr w:type="spellStart"/>
      <w:r w:rsidRPr="0032048B">
        <w:rPr>
          <w:sz w:val="24"/>
          <w:szCs w:val="24"/>
          <w:lang w:val="sq-AL" w:bidi="sq-AL"/>
        </w:rPr>
        <w:t>Europolit</w:t>
      </w:r>
      <w:proofErr w:type="spellEnd"/>
      <w:r w:rsidRPr="0032048B">
        <w:rPr>
          <w:sz w:val="24"/>
          <w:szCs w:val="24"/>
          <w:lang w:val="sq-AL" w:bidi="sq-AL"/>
        </w:rPr>
        <w:t xml:space="preserve">. Ajo ka marrë pjesë në mënyrë aktive në zbatimin e nismës së Ballkanit Perëndimor kundër terrorizmit, në kuadër të Qeverisjes Integruese të Sigurisë së Brendshme (IISG). </w:t>
      </w:r>
    </w:p>
    <w:p w14:paraId="446174E1" w14:textId="77777777" w:rsidR="00E6279B" w:rsidRPr="0032048B" w:rsidRDefault="00E6279B" w:rsidP="00E6279B">
      <w:pPr>
        <w:spacing w:before="120"/>
        <w:ind w:left="980" w:right="976"/>
        <w:jc w:val="both"/>
        <w:rPr>
          <w:sz w:val="24"/>
          <w:szCs w:val="24"/>
          <w:highlight w:val="yellow"/>
          <w:lang w:val="sq-AL"/>
        </w:rPr>
      </w:pPr>
      <w:r w:rsidRPr="0032048B">
        <w:rPr>
          <w:rFonts w:eastAsia="Calibri"/>
          <w:sz w:val="24"/>
          <w:szCs w:val="24"/>
          <w:lang w:val="sq-AL" w:bidi="sq-AL"/>
        </w:rPr>
        <w:lastRenderedPageBreak/>
        <w:t xml:space="preserve">Shqipëria duhet të vazhdojë të përqendrohet te shkëputja, </w:t>
      </w:r>
      <w:proofErr w:type="spellStart"/>
      <w:r w:rsidRPr="0032048B">
        <w:rPr>
          <w:rFonts w:eastAsia="Calibri"/>
          <w:sz w:val="24"/>
          <w:szCs w:val="24"/>
          <w:lang w:val="sq-AL" w:bidi="sq-AL"/>
        </w:rPr>
        <w:t>riintegrimi</w:t>
      </w:r>
      <w:proofErr w:type="spellEnd"/>
      <w:r w:rsidRPr="0032048B">
        <w:rPr>
          <w:rFonts w:eastAsia="Calibri"/>
          <w:sz w:val="24"/>
          <w:szCs w:val="24"/>
          <w:lang w:val="sq-AL" w:bidi="sq-AL"/>
        </w:rPr>
        <w:t xml:space="preserve"> dhe rehabilitimi i personave të kthyer nga Siria dhe familjeve të tyre, dhe te hetimi dhe ndjekja penale e personave të dyshuar për vepra penale. Ajo duhet të forcojë mekanizmat e menaxhimit të rasteve dhe referimit për të kthyerit dhe individët në risk për </w:t>
      </w:r>
      <w:proofErr w:type="spellStart"/>
      <w:r w:rsidRPr="0032048B">
        <w:rPr>
          <w:rFonts w:eastAsia="Calibri"/>
          <w:sz w:val="24"/>
          <w:szCs w:val="24"/>
          <w:lang w:val="sq-AL" w:bidi="sq-AL"/>
        </w:rPr>
        <w:t>radikalizim</w:t>
      </w:r>
      <w:proofErr w:type="spellEnd"/>
      <w:r w:rsidRPr="0032048B">
        <w:rPr>
          <w:rFonts w:eastAsia="Calibri"/>
          <w:sz w:val="24"/>
          <w:szCs w:val="24"/>
          <w:lang w:val="sq-AL" w:bidi="sq-AL"/>
        </w:rPr>
        <w:t xml:space="preserve">. </w:t>
      </w:r>
      <w:proofErr w:type="spellStart"/>
      <w:r w:rsidRPr="0032048B">
        <w:rPr>
          <w:rFonts w:eastAsia="Calibri"/>
          <w:sz w:val="24"/>
          <w:szCs w:val="24"/>
          <w:lang w:val="sq-AL" w:bidi="sq-AL"/>
        </w:rPr>
        <w:t>Radikalizimi</w:t>
      </w:r>
      <w:proofErr w:type="spellEnd"/>
      <w:r w:rsidRPr="0032048B">
        <w:rPr>
          <w:rFonts w:eastAsia="Calibri"/>
          <w:sz w:val="24"/>
          <w:szCs w:val="24"/>
          <w:lang w:val="sq-AL" w:bidi="sq-AL"/>
        </w:rPr>
        <w:t xml:space="preserve"> në burgje dhe përmbajtja terroriste </w:t>
      </w:r>
      <w:proofErr w:type="spellStart"/>
      <w:r w:rsidRPr="0032048B">
        <w:rPr>
          <w:rFonts w:eastAsia="Calibri"/>
          <w:sz w:val="24"/>
          <w:szCs w:val="24"/>
          <w:lang w:val="sq-AL" w:bidi="sq-AL"/>
        </w:rPr>
        <w:t>online</w:t>
      </w:r>
      <w:proofErr w:type="spellEnd"/>
      <w:r w:rsidRPr="0032048B">
        <w:rPr>
          <w:rFonts w:eastAsia="Calibri"/>
          <w:sz w:val="24"/>
          <w:szCs w:val="24"/>
          <w:lang w:val="sq-AL" w:bidi="sq-AL"/>
        </w:rPr>
        <w:t xml:space="preserve"> vazhdojnë të jenë çështje që duhen trajtuar. Po ashtu, Shqipëria duhet të vazhdojë të hetojë lidhjet ndërmjet krimit të organizuar dhe terrorizmit. Gjithashtu, ajo duhet harmonizojë kuadrin ligjor me legjislacionin e BE-së për </w:t>
      </w:r>
      <w:proofErr w:type="spellStart"/>
      <w:r w:rsidRPr="0032048B">
        <w:rPr>
          <w:rFonts w:eastAsia="Calibri"/>
          <w:sz w:val="24"/>
          <w:szCs w:val="24"/>
          <w:lang w:val="sq-AL" w:bidi="sq-AL"/>
        </w:rPr>
        <w:t>prekursorët</w:t>
      </w:r>
      <w:proofErr w:type="spellEnd"/>
      <w:r w:rsidRPr="0032048B">
        <w:rPr>
          <w:rFonts w:eastAsia="Calibri"/>
          <w:sz w:val="24"/>
          <w:szCs w:val="24"/>
          <w:lang w:val="sq-AL" w:bidi="sq-AL"/>
        </w:rPr>
        <w:t xml:space="preserve"> eksplozivë.</w:t>
      </w:r>
    </w:p>
    <w:p w14:paraId="69CDAD8F" w14:textId="77777777" w:rsidR="00E6279B" w:rsidRPr="0032048B" w:rsidRDefault="00E6279B" w:rsidP="00E6279B">
      <w:pPr>
        <w:spacing w:before="120"/>
        <w:ind w:left="980"/>
        <w:jc w:val="both"/>
        <w:outlineLvl w:val="0"/>
        <w:rPr>
          <w:b/>
          <w:bCs/>
          <w:sz w:val="24"/>
          <w:szCs w:val="24"/>
          <w:lang w:val="sq-AL"/>
        </w:rPr>
      </w:pPr>
      <w:r w:rsidRPr="0032048B">
        <w:rPr>
          <w:b/>
          <w:bCs/>
          <w:spacing w:val="-2"/>
          <w:sz w:val="24"/>
          <w:szCs w:val="24"/>
          <w:lang w:val="sq-AL"/>
        </w:rPr>
        <w:t>Bashkëpunimi gjyqësor në çështjet penale dhe civile</w:t>
      </w:r>
    </w:p>
    <w:p w14:paraId="12882E47" w14:textId="3D208987" w:rsidR="00E6279B" w:rsidRPr="0032048B" w:rsidRDefault="00E6279B" w:rsidP="00E6279B">
      <w:pPr>
        <w:spacing w:before="120"/>
        <w:ind w:left="979" w:right="976"/>
        <w:jc w:val="both"/>
        <w:rPr>
          <w:rFonts w:eastAsia="Calibri"/>
          <w:sz w:val="24"/>
          <w:szCs w:val="24"/>
          <w:lang w:val="sq-AL" w:bidi="sq-AL"/>
        </w:rPr>
      </w:pPr>
      <w:r w:rsidRPr="0032048B">
        <w:rPr>
          <w:rFonts w:eastAsia="Calibri"/>
          <w:sz w:val="24"/>
          <w:szCs w:val="24"/>
          <w:lang w:val="sq-AL" w:bidi="sq-AL"/>
        </w:rPr>
        <w:t xml:space="preserve">Në vitin 2022, Zyra Shqiptare e Ndërlidhjes në </w:t>
      </w:r>
      <w:proofErr w:type="spellStart"/>
      <w:r w:rsidRPr="0032048B">
        <w:rPr>
          <w:rFonts w:eastAsia="Calibri"/>
          <w:sz w:val="24"/>
          <w:szCs w:val="24"/>
          <w:lang w:val="sq-AL" w:bidi="sq-AL"/>
        </w:rPr>
        <w:t>Eurojust</w:t>
      </w:r>
      <w:proofErr w:type="spellEnd"/>
      <w:r w:rsidRPr="0032048B">
        <w:rPr>
          <w:rFonts w:eastAsia="Calibri"/>
          <w:sz w:val="24"/>
          <w:szCs w:val="24"/>
          <w:lang w:val="sq-AL" w:bidi="sq-AL"/>
        </w:rPr>
        <w:t xml:space="preserve"> regjistroi 38 çështje me kërkesë të autoriteteve shqiptare, gjë që përfaqëson 81% rritje krahasuar me vitin 2021. Me Zyrën Shqiptare të Ndërlidhjes janë hapur 48 çështje të reja me kërkesë të autoriteteve kompetente të Vendeve Anëtare të BE-së, pak më pak se në vitin 2021 (51). Ndër vendet që nuk janë pjesë e BE-së, Shqipëria renditej e </w:t>
      </w:r>
      <w:r w:rsidR="004D53EC" w:rsidRPr="0032048B">
        <w:rPr>
          <w:rFonts w:eastAsia="Calibri"/>
          <w:sz w:val="24"/>
          <w:szCs w:val="24"/>
          <w:lang w:val="sq-AL" w:bidi="sq-AL"/>
        </w:rPr>
        <w:t>katërta</w:t>
      </w:r>
      <w:r w:rsidRPr="0032048B">
        <w:rPr>
          <w:rFonts w:eastAsia="Calibri"/>
          <w:sz w:val="24"/>
          <w:szCs w:val="24"/>
          <w:lang w:val="sq-AL" w:bidi="sq-AL"/>
        </w:rPr>
        <w:t xml:space="preserve"> për numrin më të lartë të çështjeve </w:t>
      </w:r>
      <w:proofErr w:type="spellStart"/>
      <w:r w:rsidRPr="0032048B">
        <w:rPr>
          <w:rFonts w:eastAsia="Calibri"/>
          <w:sz w:val="24"/>
          <w:szCs w:val="24"/>
          <w:lang w:val="sq-AL" w:bidi="sq-AL"/>
        </w:rPr>
        <w:t>Eurojust</w:t>
      </w:r>
      <w:proofErr w:type="spellEnd"/>
      <w:r w:rsidRPr="0032048B">
        <w:rPr>
          <w:rFonts w:eastAsia="Calibri"/>
          <w:sz w:val="24"/>
          <w:szCs w:val="24"/>
          <w:lang w:val="sq-AL" w:bidi="sq-AL"/>
        </w:rPr>
        <w:t xml:space="preserve"> në vitin 2022.</w:t>
      </w:r>
    </w:p>
    <w:p w14:paraId="0D641FC8" w14:textId="77777777" w:rsidR="00E6279B" w:rsidRPr="0032048B" w:rsidRDefault="00E6279B" w:rsidP="00E6279B">
      <w:pPr>
        <w:spacing w:before="120"/>
        <w:ind w:left="979" w:right="976"/>
        <w:jc w:val="both"/>
        <w:rPr>
          <w:sz w:val="24"/>
          <w:szCs w:val="24"/>
          <w:lang w:val="sq-AL"/>
        </w:rPr>
      </w:pPr>
      <w:r w:rsidRPr="0032048B">
        <w:rPr>
          <w:sz w:val="24"/>
          <w:szCs w:val="24"/>
          <w:lang w:val="sq-AL"/>
        </w:rPr>
        <w:t>Me asistencën e BE-së, ne vitin 2022, Shqipëria dyfishoi pjesëmarrjen e saj në skuadrat e përbashkëta të hetimit (SPH). Nga 16 SPH, shumica (11) veprojnë në fushën e narkotikëve, 3 në fushën e krimit kompjuterik, dhe pjesa tjetër trajton çështjet e trafikimit të paligjshëm dhe krimit ekonomik dhe financiar.</w:t>
      </w:r>
    </w:p>
    <w:p w14:paraId="5523E1CB" w14:textId="77777777" w:rsidR="00E6279B" w:rsidRPr="0032048B" w:rsidRDefault="00E6279B" w:rsidP="00E6279B">
      <w:pPr>
        <w:spacing w:before="120"/>
        <w:ind w:left="979" w:right="976"/>
        <w:jc w:val="both"/>
        <w:rPr>
          <w:sz w:val="24"/>
          <w:szCs w:val="24"/>
          <w:lang w:val="sq-AL"/>
        </w:rPr>
      </w:pPr>
      <w:r w:rsidRPr="0032048B">
        <w:rPr>
          <w:sz w:val="24"/>
          <w:szCs w:val="24"/>
          <w:lang w:val="sq-AL"/>
        </w:rPr>
        <w:t xml:space="preserve">Shqipëria mori pjesë aktive me dy përfaqësues në projektin rajonal të </w:t>
      </w:r>
      <w:proofErr w:type="spellStart"/>
      <w:r w:rsidRPr="0032048B">
        <w:rPr>
          <w:sz w:val="24"/>
          <w:szCs w:val="24"/>
          <w:lang w:val="sq-AL"/>
        </w:rPr>
        <w:t>Eurojust</w:t>
      </w:r>
      <w:proofErr w:type="spellEnd"/>
      <w:r w:rsidRPr="0032048B">
        <w:rPr>
          <w:sz w:val="24"/>
          <w:szCs w:val="24"/>
          <w:lang w:val="sq-AL"/>
        </w:rPr>
        <w:t xml:space="preserve"> ‘Rritja e bashkëpunimit ndërkufitar në drejtësinë penale në Ballkanin Perëndimor’ (WB CRIM JUST). Kjo ka çuar në një nivel më të lartë bashkëpunimi mes prokurorëve të Ballkanit Perëndimor me qëllim koordinimin e punës së tyre hetimore.</w:t>
      </w:r>
    </w:p>
    <w:p w14:paraId="5C9A140B" w14:textId="77777777" w:rsidR="00E6279B" w:rsidRPr="0032048B" w:rsidRDefault="00E6279B" w:rsidP="00E6279B">
      <w:pPr>
        <w:spacing w:before="120"/>
        <w:ind w:left="979" w:right="976"/>
        <w:jc w:val="both"/>
        <w:rPr>
          <w:sz w:val="24"/>
          <w:szCs w:val="24"/>
          <w:lang w:val="sq-AL"/>
        </w:rPr>
      </w:pPr>
      <w:r w:rsidRPr="0032048B">
        <w:rPr>
          <w:sz w:val="24"/>
          <w:szCs w:val="24"/>
          <w:lang w:val="sq-AL"/>
        </w:rPr>
        <w:t xml:space="preserve">Prokurori shqiptar i ndërlidhjes u caktua në </w:t>
      </w:r>
      <w:proofErr w:type="spellStart"/>
      <w:r w:rsidRPr="0032048B">
        <w:rPr>
          <w:sz w:val="24"/>
          <w:szCs w:val="24"/>
          <w:lang w:val="sq-AL"/>
        </w:rPr>
        <w:t>Eurojust</w:t>
      </w:r>
      <w:proofErr w:type="spellEnd"/>
      <w:r w:rsidRPr="0032048B">
        <w:rPr>
          <w:sz w:val="24"/>
          <w:szCs w:val="24"/>
          <w:lang w:val="sq-AL"/>
        </w:rPr>
        <w:t xml:space="preserve"> në janar të vitit 2021 dhe ka ndihmuar në lehtësimin e koordinimit gjyqësor mes prokurorëve të BE-së dhe atyre shqiptarë në luftën kundër krimit të organizuar ndërshtetëror. Vazhdimësia e vendit në këtë angazhim u sigurua në qershor të vitit 2023, kur mandati i prokurorit ndërlidhës të vendosur në </w:t>
      </w:r>
      <w:proofErr w:type="spellStart"/>
      <w:r w:rsidRPr="0032048B">
        <w:rPr>
          <w:sz w:val="24"/>
          <w:szCs w:val="24"/>
          <w:lang w:val="sq-AL"/>
        </w:rPr>
        <w:t>Eurojust</w:t>
      </w:r>
      <w:proofErr w:type="spellEnd"/>
      <w:r w:rsidRPr="0032048B">
        <w:rPr>
          <w:sz w:val="24"/>
          <w:szCs w:val="24"/>
          <w:lang w:val="sq-AL"/>
        </w:rPr>
        <w:t xml:space="preserve"> u zgjat me dy vjet e gjysmë, përtej mbarimit të afatit të financimit të BE-së për postimin e tyre në fund të vitit 2023. </w:t>
      </w:r>
    </w:p>
    <w:p w14:paraId="1DFFC809" w14:textId="77777777" w:rsidR="00E6279B" w:rsidRPr="0032048B" w:rsidRDefault="00E6279B" w:rsidP="00E6279B">
      <w:pPr>
        <w:spacing w:before="120"/>
        <w:ind w:left="979" w:right="976"/>
        <w:jc w:val="both"/>
        <w:rPr>
          <w:sz w:val="24"/>
          <w:szCs w:val="24"/>
          <w:lang w:val="sq-AL"/>
        </w:rPr>
      </w:pPr>
      <w:r w:rsidRPr="0032048B">
        <w:rPr>
          <w:sz w:val="24"/>
          <w:szCs w:val="24"/>
          <w:lang w:val="sq-AL"/>
        </w:rPr>
        <w:t xml:space="preserve">Krijimi i skuadrave të përbashkëta të hetimit (SPH) është bërë i mundur me mbështetjen financiare të BE-së dhe ligji për bashkëpunimin gjyqësor për çështjet penale me juridiksione të huaja. Gjithashtu, Shqipëria duhet të sigurojë burimet e saj financiare për të krijuar në mënyrë </w:t>
      </w:r>
      <w:proofErr w:type="spellStart"/>
      <w:r w:rsidRPr="0032048B">
        <w:rPr>
          <w:sz w:val="24"/>
          <w:szCs w:val="24"/>
          <w:lang w:val="sq-AL"/>
        </w:rPr>
        <w:t>proaktive</w:t>
      </w:r>
      <w:proofErr w:type="spellEnd"/>
      <w:r w:rsidRPr="0032048B">
        <w:rPr>
          <w:sz w:val="24"/>
          <w:szCs w:val="24"/>
          <w:lang w:val="sq-AL"/>
        </w:rPr>
        <w:t xml:space="preserve"> SPH të tjera. </w:t>
      </w:r>
    </w:p>
    <w:p w14:paraId="78A9B32B" w14:textId="77777777" w:rsidR="00E6279B" w:rsidRPr="0032048B" w:rsidRDefault="00E6279B" w:rsidP="00E6279B">
      <w:pPr>
        <w:spacing w:before="120"/>
        <w:ind w:left="979" w:right="977"/>
        <w:jc w:val="both"/>
        <w:rPr>
          <w:sz w:val="24"/>
          <w:szCs w:val="24"/>
          <w:lang w:val="sq-AL"/>
        </w:rPr>
      </w:pPr>
      <w:r w:rsidRPr="0032048B">
        <w:rPr>
          <w:sz w:val="24"/>
          <w:szCs w:val="24"/>
          <w:lang w:val="sq-AL"/>
        </w:rPr>
        <w:t xml:space="preserve">Në korrik 2022, një marrëveshje bashkëpunimi u nënshkrua mes Zyrës së Prokurorit Publik Evropian (ZPPE) dhe Zyrës së Prokurorit të Përgjithshëm për të lehtësuar bashkëpunimin për çështjet penale dhe shkëmbimin e informacionit. Në qershor 2023, u firmos një marrëveshje e ngjashme mes ZPPE-së dhe SPAK-ut. </w:t>
      </w:r>
    </w:p>
    <w:p w14:paraId="214B77C7" w14:textId="77777777" w:rsidR="00E6279B" w:rsidRPr="0032048B" w:rsidRDefault="00E6279B" w:rsidP="00E6279B">
      <w:pPr>
        <w:spacing w:before="62"/>
        <w:ind w:left="980" w:right="1000"/>
        <w:jc w:val="both"/>
        <w:rPr>
          <w:sz w:val="24"/>
          <w:szCs w:val="24"/>
          <w:lang w:val="sq-AL" w:bidi="sq-AL"/>
        </w:rPr>
      </w:pPr>
      <w:r w:rsidRPr="0032048B">
        <w:rPr>
          <w:sz w:val="24"/>
          <w:szCs w:val="24"/>
          <w:lang w:val="sq-AL" w:bidi="sq-AL"/>
        </w:rPr>
        <w:t xml:space="preserve">Për bashkëpunimin gjyqësor për çështjet civile, mes qershorit 2022 dhe marsit 2023, Shqipëria ka pranuar ka pranuar 102 kërkesa për ndihmë të </w:t>
      </w:r>
      <w:proofErr w:type="spellStart"/>
      <w:r w:rsidRPr="0032048B">
        <w:rPr>
          <w:sz w:val="24"/>
          <w:szCs w:val="24"/>
          <w:lang w:val="sq-AL" w:bidi="sq-AL"/>
        </w:rPr>
        <w:t>ndërsjelltë</w:t>
      </w:r>
      <w:proofErr w:type="spellEnd"/>
      <w:r w:rsidRPr="0032048B">
        <w:rPr>
          <w:sz w:val="24"/>
          <w:szCs w:val="24"/>
          <w:lang w:val="sq-AL" w:bidi="sq-AL"/>
        </w:rPr>
        <w:t xml:space="preserve"> juridike dhe ka dërguar 72 kërkesa. Lidhur me bashkëpunimin gjyqësor për çështjet penale, në të njëjtën periudhë, Shqipëria ka marrë 144 kërkesa dhe ka dërguar 263 kërkesa. Shqipëria duhet të përfundojë procedurat e brendshme për aderimin në Konventën e Hagës të vitit 2005 për Zgjedhjen e Marrëveshjeve të Gjykatës dhe Protokollin e vitit 2007 për Ligjin e Zbatueshëm për Detyrimet e Mirëmbajtjes. Ajo duhet të vazhdojë të përmirësojë më tej bashkëpunimin ndërkombëtar, zbatimin në kohë të instrumenteve shumëpalëshe dhe kapacitetet e veta institucionale.</w:t>
      </w:r>
    </w:p>
    <w:p w14:paraId="673ECA35" w14:textId="77777777" w:rsidR="00E6279B" w:rsidRPr="0032048B" w:rsidRDefault="00E6279B" w:rsidP="00E6279B">
      <w:pPr>
        <w:spacing w:before="120"/>
        <w:ind w:left="980"/>
        <w:outlineLvl w:val="0"/>
        <w:rPr>
          <w:b/>
          <w:bCs/>
          <w:sz w:val="24"/>
          <w:szCs w:val="24"/>
          <w:lang w:val="sq-AL"/>
        </w:rPr>
      </w:pPr>
      <w:r w:rsidRPr="0032048B">
        <w:rPr>
          <w:b/>
          <w:bCs/>
          <w:spacing w:val="-2"/>
          <w:sz w:val="24"/>
          <w:szCs w:val="24"/>
          <w:lang w:val="sq-AL"/>
        </w:rPr>
        <w:t xml:space="preserve">Migracioni i ligjshëm dhe i parregullt </w:t>
      </w:r>
    </w:p>
    <w:p w14:paraId="6EE046F1" w14:textId="77777777" w:rsidR="00E6279B" w:rsidRPr="0032048B" w:rsidRDefault="00E6279B" w:rsidP="00E6279B">
      <w:pPr>
        <w:spacing w:before="120"/>
        <w:ind w:left="980"/>
        <w:rPr>
          <w:sz w:val="24"/>
          <w:szCs w:val="24"/>
          <w:lang w:val="sq-AL"/>
        </w:rPr>
      </w:pPr>
      <w:r w:rsidRPr="0032048B">
        <w:rPr>
          <w:spacing w:val="-2"/>
          <w:sz w:val="24"/>
          <w:szCs w:val="24"/>
          <w:u w:val="single"/>
          <w:lang w:val="sq-AL"/>
        </w:rPr>
        <w:t>Organizimi institucional dhe harmonizimi ligjor</w:t>
      </w:r>
    </w:p>
    <w:p w14:paraId="2D0E76C6" w14:textId="77777777" w:rsidR="00E6279B" w:rsidRPr="0032048B" w:rsidRDefault="00E6279B" w:rsidP="00E6279B">
      <w:pPr>
        <w:spacing w:before="120"/>
        <w:ind w:left="980" w:right="976"/>
        <w:jc w:val="both"/>
        <w:rPr>
          <w:sz w:val="24"/>
          <w:szCs w:val="24"/>
          <w:highlight w:val="yellow"/>
          <w:lang w:val="sq-AL"/>
        </w:rPr>
      </w:pPr>
      <w:r w:rsidRPr="0032048B">
        <w:rPr>
          <w:sz w:val="24"/>
          <w:szCs w:val="24"/>
          <w:lang w:val="sq-AL"/>
        </w:rPr>
        <w:t xml:space="preserve">Ministrinë e Punëve të Brendshme është aktori kryesor në fushën e migracionit. Organet </w:t>
      </w:r>
      <w:r w:rsidRPr="0032048B">
        <w:rPr>
          <w:sz w:val="24"/>
          <w:szCs w:val="24"/>
          <w:lang w:val="sq-AL"/>
        </w:rPr>
        <w:lastRenderedPageBreak/>
        <w:t xml:space="preserve">kryesore në varësinë e saj, të cilat janë përgjegjëse për zbatimin e politikave të migracionit, janë Departamenti për Kufirin dhe Migracionin në Drejtorinë e Përgjithshme të Policisë së Shtetit, Drejtoria e </w:t>
      </w:r>
      <w:proofErr w:type="spellStart"/>
      <w:r w:rsidRPr="0032048B">
        <w:rPr>
          <w:sz w:val="24"/>
          <w:szCs w:val="24"/>
          <w:lang w:val="sq-AL"/>
        </w:rPr>
        <w:t>Antitrafikimit</w:t>
      </w:r>
      <w:proofErr w:type="spellEnd"/>
      <w:r w:rsidRPr="0032048B">
        <w:rPr>
          <w:sz w:val="24"/>
          <w:szCs w:val="24"/>
          <w:lang w:val="sq-AL"/>
        </w:rPr>
        <w:t xml:space="preserve"> dhe Migracionit në Ministrinë e Punëve të Brendshme dhe Drejtoria e Azilit, të Huajve dhe Shtetësisë. Avokati i Popullit dhe njësia për mbrojtjen e fëmijëve, në varësi të Ministrisë së Shëndetësisë dhe Mbrojtjes Sociale, luajnë rol kyç në monitorimin dhe ofrimin e shërbimeve për </w:t>
      </w:r>
      <w:proofErr w:type="spellStart"/>
      <w:r w:rsidRPr="0032048B">
        <w:rPr>
          <w:sz w:val="24"/>
          <w:szCs w:val="24"/>
          <w:lang w:val="sq-AL"/>
        </w:rPr>
        <w:t>migrantët</w:t>
      </w:r>
      <w:proofErr w:type="spellEnd"/>
      <w:r w:rsidRPr="0032048B">
        <w:rPr>
          <w:sz w:val="24"/>
          <w:szCs w:val="24"/>
          <w:lang w:val="sq-AL"/>
        </w:rPr>
        <w:t>. Edhe Agjencia Kombëtare e Punësimit dhe Aftësive mbulon shërbime, programe punësimi dhe programe të formimit profesional për të huajt, personat pa shtetësi dhe refugjatët.</w:t>
      </w:r>
    </w:p>
    <w:p w14:paraId="1EEF6113" w14:textId="77777777" w:rsidR="00E6279B" w:rsidRPr="0032048B" w:rsidRDefault="00E6279B" w:rsidP="00E6279B">
      <w:pPr>
        <w:spacing w:before="120"/>
        <w:ind w:left="980" w:right="976"/>
        <w:jc w:val="both"/>
        <w:rPr>
          <w:sz w:val="24"/>
          <w:szCs w:val="24"/>
          <w:lang w:val="sq-AL"/>
        </w:rPr>
      </w:pPr>
      <w:r w:rsidRPr="0032048B">
        <w:rPr>
          <w:b/>
          <w:bCs/>
          <w:sz w:val="24"/>
          <w:szCs w:val="24"/>
          <w:lang w:val="sq-AL"/>
        </w:rPr>
        <w:t xml:space="preserve">Kuadri ligjor </w:t>
      </w:r>
      <w:r w:rsidRPr="0032048B">
        <w:rPr>
          <w:sz w:val="24"/>
          <w:szCs w:val="24"/>
          <w:lang w:val="sq-AL"/>
        </w:rPr>
        <w:t xml:space="preserve">për migracionin është pjesërisht i përafruar me </w:t>
      </w:r>
      <w:proofErr w:type="spellStart"/>
      <w:r w:rsidRPr="0032048B">
        <w:rPr>
          <w:sz w:val="24"/>
          <w:szCs w:val="24"/>
          <w:lang w:val="sq-AL"/>
        </w:rPr>
        <w:t>acquis</w:t>
      </w:r>
      <w:proofErr w:type="spellEnd"/>
      <w:r w:rsidRPr="0032048B">
        <w:rPr>
          <w:sz w:val="24"/>
          <w:szCs w:val="24"/>
          <w:lang w:val="sq-AL"/>
        </w:rPr>
        <w:t>-në e BE-së dhe duhet të përditësohet në vijim të zhvillimeve të kohëve të fundit nga ana e BE-së. Pas hyrjes në fuqi të ligjit për të huajt në nëntor 2021, 23 nga 29 në total pjesë legjislacioni zbatues janë miratuar deri tani: dy në 2021, 15 në 2022 dhe gjashtë në 2023.</w:t>
      </w:r>
    </w:p>
    <w:p w14:paraId="606BD2E4" w14:textId="77777777" w:rsidR="00E6279B" w:rsidRPr="0032048B" w:rsidRDefault="00E6279B" w:rsidP="00E6279B">
      <w:pPr>
        <w:spacing w:before="120"/>
        <w:ind w:left="979" w:right="977"/>
        <w:jc w:val="both"/>
        <w:rPr>
          <w:sz w:val="24"/>
          <w:szCs w:val="24"/>
          <w:lang w:val="sq-AL"/>
        </w:rPr>
      </w:pPr>
      <w:r w:rsidRPr="0032048B">
        <w:rPr>
          <w:rFonts w:eastAsia="Calibri"/>
          <w:sz w:val="24"/>
          <w:szCs w:val="24"/>
          <w:lang w:val="sq-AL" w:bidi="sq-AL"/>
        </w:rPr>
        <w:t xml:space="preserve">Shqipëria ka një marrëveshje me BE-në lidhur me </w:t>
      </w:r>
      <w:proofErr w:type="spellStart"/>
      <w:r w:rsidRPr="0032048B">
        <w:rPr>
          <w:rFonts w:eastAsia="Calibri"/>
          <w:sz w:val="24"/>
          <w:szCs w:val="24"/>
          <w:lang w:val="sq-AL" w:bidi="sq-AL"/>
        </w:rPr>
        <w:t>ripranimin</w:t>
      </w:r>
      <w:proofErr w:type="spellEnd"/>
      <w:r w:rsidRPr="0032048B">
        <w:rPr>
          <w:rFonts w:eastAsia="Calibri"/>
          <w:sz w:val="24"/>
          <w:szCs w:val="24"/>
          <w:lang w:val="sq-AL" w:bidi="sq-AL"/>
        </w:rPr>
        <w:t xml:space="preserve"> dhe protokollet e zbatimit janë në fuqi me 12 Vende Anëtare. Shqipëria dhe Greqia nuk kanë arritur ende të kenë në protokoll zbatimi së bashku. Autoritetet shqiptare i kanë dërguar projekt marrëveshje </w:t>
      </w:r>
      <w:proofErr w:type="spellStart"/>
      <w:r w:rsidRPr="0032048B">
        <w:rPr>
          <w:rFonts w:eastAsia="Calibri"/>
          <w:sz w:val="24"/>
          <w:szCs w:val="24"/>
          <w:lang w:val="sq-AL" w:bidi="sq-AL"/>
        </w:rPr>
        <w:t>ripranimi</w:t>
      </w:r>
      <w:proofErr w:type="spellEnd"/>
      <w:r w:rsidRPr="0032048B">
        <w:rPr>
          <w:rFonts w:eastAsia="Calibri"/>
          <w:sz w:val="24"/>
          <w:szCs w:val="24"/>
          <w:lang w:val="sq-AL" w:bidi="sq-AL"/>
        </w:rPr>
        <w:t xml:space="preserve"> një sërë vendesh origjine</w:t>
      </w:r>
      <w:hyperlink w:anchor="_bookmark13" w:history="1">
        <w:r w:rsidRPr="0032048B">
          <w:rPr>
            <w:sz w:val="24"/>
            <w:szCs w:val="24"/>
            <w:vertAlign w:val="superscript"/>
            <w:lang w:val="sq-AL"/>
          </w:rPr>
          <w:t>3</w:t>
        </w:r>
      </w:hyperlink>
      <w:r w:rsidRPr="0032048B">
        <w:rPr>
          <w:sz w:val="24"/>
          <w:szCs w:val="24"/>
          <w:lang w:val="sq-AL"/>
        </w:rPr>
        <w:t>, por deri tani pa sukses. Janë hartuar projekt marrëveshje të reja me Gjeorgjinë dhe Armeninë, të cilat duhet të ndiqen më tej.</w:t>
      </w:r>
    </w:p>
    <w:p w14:paraId="23866F7D" w14:textId="77777777" w:rsidR="00E6279B" w:rsidRPr="0032048B" w:rsidRDefault="00E6279B" w:rsidP="00E6279B">
      <w:pPr>
        <w:spacing w:before="120"/>
        <w:ind w:left="979" w:right="976"/>
        <w:jc w:val="both"/>
        <w:rPr>
          <w:sz w:val="24"/>
          <w:szCs w:val="24"/>
          <w:highlight w:val="yellow"/>
          <w:lang w:val="sq-AL"/>
        </w:rPr>
      </w:pPr>
      <w:r w:rsidRPr="0032048B">
        <w:rPr>
          <w:sz w:val="24"/>
          <w:szCs w:val="24"/>
          <w:lang w:val="sq-AL" w:bidi="sq-AL"/>
        </w:rPr>
        <w:t xml:space="preserve">Zbatimi i </w:t>
      </w:r>
      <w:r w:rsidRPr="0032048B">
        <w:rPr>
          <w:b/>
          <w:sz w:val="24"/>
          <w:szCs w:val="24"/>
          <w:lang w:val="sq-AL" w:bidi="sq-AL"/>
        </w:rPr>
        <w:t>strategjisë</w:t>
      </w:r>
      <w:r w:rsidRPr="0032048B">
        <w:rPr>
          <w:sz w:val="24"/>
          <w:szCs w:val="24"/>
          <w:lang w:val="sq-AL" w:bidi="sq-AL"/>
        </w:rPr>
        <w:t xml:space="preserve"> kombëtare për migracionin dhe planit të saj të veprimit 2019-2022 ka përfunduar në dhjetor të vitit 2022. Nga 129 masa të përfshira në planin e veprimit, 72 masa raportohen si të zbatuara, 36 masa si pjesërisht të zbatuara dhe 21 masa nuk janë zbatuar. Raporti përfundimtar nuk është përfunduar ende. Në mars 2023, një grup pune ndërinstitucional filloi përgatitjet për të hartuar strategjinë e re për migracionin për vitet 2024-2030. Në maj 2023, janë organizuar disa seminare përgatitore ne aktorët vendas për të identifikuar objektivat </w:t>
      </w:r>
      <w:proofErr w:type="spellStart"/>
      <w:r w:rsidRPr="0032048B">
        <w:rPr>
          <w:sz w:val="24"/>
          <w:szCs w:val="24"/>
          <w:lang w:val="sq-AL" w:bidi="sq-AL"/>
        </w:rPr>
        <w:t>prioritare</w:t>
      </w:r>
      <w:proofErr w:type="spellEnd"/>
      <w:r w:rsidRPr="0032048B">
        <w:rPr>
          <w:sz w:val="24"/>
          <w:szCs w:val="24"/>
          <w:lang w:val="sq-AL" w:bidi="sq-AL"/>
        </w:rPr>
        <w:t xml:space="preserve">. </w:t>
      </w:r>
    </w:p>
    <w:p w14:paraId="776FCF25" w14:textId="77777777" w:rsidR="00E6279B" w:rsidRPr="0032048B" w:rsidRDefault="00E6279B" w:rsidP="00E6279B">
      <w:pPr>
        <w:spacing w:before="119"/>
        <w:ind w:left="980"/>
        <w:jc w:val="both"/>
        <w:rPr>
          <w:sz w:val="24"/>
          <w:szCs w:val="24"/>
          <w:lang w:val="sq-AL"/>
        </w:rPr>
      </w:pPr>
      <w:r w:rsidRPr="0032048B">
        <w:rPr>
          <w:spacing w:val="-2"/>
          <w:sz w:val="24"/>
          <w:szCs w:val="24"/>
          <w:u w:val="single"/>
          <w:lang w:val="sq-AL"/>
        </w:rPr>
        <w:t>Zbatimi dhe kapaciteti zbatues</w:t>
      </w:r>
    </w:p>
    <w:p w14:paraId="176ABC40" w14:textId="77777777" w:rsidR="00E6279B" w:rsidRPr="0032048B" w:rsidRDefault="00E6279B" w:rsidP="00E6279B">
      <w:pPr>
        <w:spacing w:before="120"/>
        <w:ind w:left="980" w:right="977"/>
        <w:jc w:val="both"/>
        <w:rPr>
          <w:sz w:val="24"/>
          <w:szCs w:val="24"/>
          <w:lang w:val="sq-AL"/>
        </w:rPr>
      </w:pPr>
      <w:r w:rsidRPr="0032048B">
        <w:rPr>
          <w:sz w:val="24"/>
          <w:szCs w:val="24"/>
          <w:lang w:val="sq-AL"/>
        </w:rPr>
        <w:t>Shqipëria ka bashkëpunuar me BE-në, Vendet Anëtare të BE-së dhe fqinjët e saj për të zbatuar Planin e Veprimit të BE-së për Ballkanin Perëndimor të prezantuar nga Komisioni në dhjetor të vitit 2022, dhe për pasojë ka kontribuar për menaxhimin e flukseve të përziera të migrimit drejt BE-së.</w:t>
      </w:r>
    </w:p>
    <w:p w14:paraId="74C495D3" w14:textId="77777777" w:rsidR="00E6279B" w:rsidRPr="0032048B" w:rsidRDefault="00E6279B" w:rsidP="00E6279B">
      <w:pPr>
        <w:spacing w:before="120"/>
        <w:ind w:left="980" w:right="977"/>
        <w:jc w:val="both"/>
        <w:rPr>
          <w:sz w:val="24"/>
          <w:szCs w:val="24"/>
          <w:lang w:val="sq-AL"/>
        </w:rPr>
      </w:pPr>
      <w:r w:rsidRPr="0032048B">
        <w:rPr>
          <w:sz w:val="24"/>
          <w:szCs w:val="24"/>
          <w:lang w:val="sq-AL"/>
        </w:rPr>
        <w:t xml:space="preserve">Në vitin 2022, ka pasur një rënie me 34% në numrin e </w:t>
      </w:r>
      <w:proofErr w:type="spellStart"/>
      <w:r w:rsidRPr="0032048B">
        <w:rPr>
          <w:sz w:val="24"/>
          <w:szCs w:val="24"/>
          <w:lang w:val="sq-AL"/>
        </w:rPr>
        <w:t>migrantëve</w:t>
      </w:r>
      <w:proofErr w:type="spellEnd"/>
      <w:r w:rsidRPr="0032048B">
        <w:rPr>
          <w:sz w:val="24"/>
          <w:szCs w:val="24"/>
          <w:lang w:val="sq-AL"/>
        </w:rPr>
        <w:t xml:space="preserve"> të parregullt që hyjnë në Shqipëri, pra, 12 216 krahasuar me 18 496 në vitin 2021. Kjo rënie mund t’i atribuohet forcimit të mbikëqyrjes dhe kontrollit kufitar, veçanërisht në zonat </w:t>
      </w:r>
      <w:proofErr w:type="spellStart"/>
      <w:r w:rsidRPr="0032048B">
        <w:rPr>
          <w:sz w:val="24"/>
          <w:szCs w:val="24"/>
          <w:lang w:val="sq-AL"/>
        </w:rPr>
        <w:t>operacionale</w:t>
      </w:r>
      <w:proofErr w:type="spellEnd"/>
      <w:r w:rsidRPr="0032048B">
        <w:rPr>
          <w:sz w:val="24"/>
          <w:szCs w:val="24"/>
          <w:lang w:val="sq-AL"/>
        </w:rPr>
        <w:t xml:space="preserve"> të Kakavijës/Kapshticës ku janë dërguar skuadrat e përbashkëta të </w:t>
      </w:r>
      <w:proofErr w:type="spellStart"/>
      <w:r w:rsidRPr="0032048B">
        <w:rPr>
          <w:sz w:val="24"/>
          <w:szCs w:val="24"/>
          <w:lang w:val="sq-AL"/>
        </w:rPr>
        <w:t>Frontex</w:t>
      </w:r>
      <w:proofErr w:type="spellEnd"/>
      <w:r w:rsidRPr="0032048B">
        <w:rPr>
          <w:sz w:val="24"/>
          <w:szCs w:val="24"/>
          <w:lang w:val="sq-AL"/>
        </w:rPr>
        <w:t xml:space="preserve">-it. 32% e të gjithë </w:t>
      </w:r>
      <w:proofErr w:type="spellStart"/>
      <w:r w:rsidRPr="0032048B">
        <w:rPr>
          <w:sz w:val="24"/>
          <w:szCs w:val="24"/>
          <w:lang w:val="sq-AL"/>
        </w:rPr>
        <w:t>migrantëve</w:t>
      </w:r>
      <w:proofErr w:type="spellEnd"/>
      <w:r w:rsidRPr="0032048B">
        <w:rPr>
          <w:sz w:val="24"/>
          <w:szCs w:val="24"/>
          <w:lang w:val="sq-AL"/>
        </w:rPr>
        <w:t xml:space="preserve"> të kapur në vitin 2022 janë kapur vazhdimisht. Nga të gjithë të ardhurit, 235 janë identifikuar si fëmijë të pashoqëruar apo të ndarë. Të miturit e pashoqëruar që udhëtojnë nga Shqipëria në Vendet Anëtare të BE-së mbeten një burim shqetësimi.</w:t>
      </w:r>
    </w:p>
    <w:p w14:paraId="34B4B0CC" w14:textId="77777777" w:rsidR="00E6279B" w:rsidRPr="0032048B" w:rsidRDefault="00E6279B" w:rsidP="00E6279B">
      <w:pPr>
        <w:spacing w:before="120"/>
        <w:ind w:left="980"/>
        <w:jc w:val="both"/>
        <w:rPr>
          <w:sz w:val="24"/>
          <w:szCs w:val="24"/>
          <w:lang w:val="sq-AL"/>
        </w:rPr>
      </w:pPr>
      <w:r w:rsidRPr="0032048B">
        <w:rPr>
          <w:spacing w:val="-2"/>
          <w:sz w:val="24"/>
          <w:szCs w:val="24"/>
          <w:lang w:val="sq-AL"/>
        </w:rPr>
        <w:t xml:space="preserve">Tre nënshtetësitë të përfaqësuara mbeten sirianët, afganët dhe </w:t>
      </w:r>
      <w:proofErr w:type="spellStart"/>
      <w:r w:rsidRPr="0032048B">
        <w:rPr>
          <w:spacing w:val="-2"/>
          <w:sz w:val="24"/>
          <w:szCs w:val="24"/>
          <w:lang w:val="sq-AL"/>
        </w:rPr>
        <w:t>bangladeshit</w:t>
      </w:r>
      <w:proofErr w:type="spellEnd"/>
      <w:r w:rsidRPr="0032048B">
        <w:rPr>
          <w:spacing w:val="-2"/>
          <w:sz w:val="24"/>
          <w:szCs w:val="24"/>
          <w:lang w:val="sq-AL"/>
        </w:rPr>
        <w:t>.</w:t>
      </w:r>
    </w:p>
    <w:p w14:paraId="12EF4061" w14:textId="77777777" w:rsidR="00E6279B" w:rsidRPr="0032048B" w:rsidRDefault="00E6279B" w:rsidP="00E6279B">
      <w:pPr>
        <w:spacing w:before="120"/>
        <w:ind w:left="980" w:right="976"/>
        <w:jc w:val="both"/>
        <w:rPr>
          <w:sz w:val="24"/>
          <w:szCs w:val="24"/>
          <w:lang w:val="sq-AL"/>
        </w:rPr>
      </w:pPr>
      <w:r w:rsidRPr="0032048B">
        <w:rPr>
          <w:sz w:val="24"/>
          <w:szCs w:val="24"/>
          <w:lang w:val="sq-AL"/>
        </w:rPr>
        <w:t>Në 8 muajt e parë të vitit 2023, janë kapur 4 877 emigrantë të parregullt, një rënie kjo me 30,6% nga e njëjta periudhë e vitit 2022. Duhet të ketë raportime të rregullta për flukset e migracionit të parregullt dhe azilit. Që nga vera e vitit 2022, informacioni që Ministria e Punëve të Brendshme i ka dërguar BE-së ka qenë sporadik.</w:t>
      </w:r>
    </w:p>
    <w:p w14:paraId="7F857A8A" w14:textId="77777777" w:rsidR="00E6279B" w:rsidRPr="0032048B" w:rsidRDefault="00E6279B" w:rsidP="00E6279B">
      <w:pPr>
        <w:spacing w:before="98"/>
        <w:ind w:left="980"/>
        <w:rPr>
          <w:rFonts w:ascii="Calibri"/>
          <w:sz w:val="20"/>
          <w:vertAlign w:val="superscript"/>
          <w:lang w:val="sq-AL"/>
        </w:rPr>
      </w:pPr>
      <w:bookmarkStart w:id="28" w:name="_bookmark13"/>
      <w:bookmarkEnd w:id="28"/>
      <w:r w:rsidRPr="0032048B">
        <w:rPr>
          <w:rFonts w:ascii="Calibri"/>
          <w:sz w:val="20"/>
          <w:vertAlign w:val="superscript"/>
          <w:lang w:val="sq-AL"/>
        </w:rPr>
        <w:t>_______________________________________</w:t>
      </w:r>
    </w:p>
    <w:p w14:paraId="3EBAEDE7" w14:textId="77777777" w:rsidR="00E6279B" w:rsidRPr="0032048B" w:rsidRDefault="00E6279B" w:rsidP="00E6279B">
      <w:pPr>
        <w:spacing w:before="98"/>
        <w:ind w:left="980"/>
        <w:rPr>
          <w:sz w:val="20"/>
          <w:lang w:val="sq-AL"/>
        </w:rPr>
      </w:pPr>
      <w:r w:rsidRPr="0032048B">
        <w:rPr>
          <w:rFonts w:ascii="Calibri"/>
          <w:sz w:val="20"/>
          <w:vertAlign w:val="superscript"/>
          <w:lang w:val="sq-AL"/>
        </w:rPr>
        <w:t>3</w:t>
      </w:r>
      <w:r w:rsidRPr="0032048B">
        <w:rPr>
          <w:rFonts w:ascii="Calibri"/>
          <w:spacing w:val="-5"/>
          <w:sz w:val="20"/>
          <w:lang w:val="sq-AL"/>
        </w:rPr>
        <w:t xml:space="preserve"> </w:t>
      </w:r>
      <w:r w:rsidRPr="0032048B">
        <w:rPr>
          <w:sz w:val="20"/>
          <w:lang w:val="sq-AL"/>
        </w:rPr>
        <w:t xml:space="preserve">Afganistani, Maroku, Algjeria, India, Pakistani, Egjipti, Bangladeshi dhe Tunizia. </w:t>
      </w:r>
    </w:p>
    <w:p w14:paraId="244594CE" w14:textId="77777777" w:rsidR="00E6279B" w:rsidRPr="0032048B" w:rsidRDefault="00E6279B" w:rsidP="00E6279B">
      <w:pPr>
        <w:spacing w:before="120"/>
        <w:ind w:left="979" w:right="976"/>
        <w:jc w:val="both"/>
        <w:rPr>
          <w:sz w:val="24"/>
          <w:szCs w:val="24"/>
          <w:lang w:val="sq-AL" w:bidi="sq-AL"/>
        </w:rPr>
      </w:pPr>
    </w:p>
    <w:p w14:paraId="1C6A6D2B" w14:textId="77777777" w:rsidR="00E6279B" w:rsidRPr="0032048B" w:rsidRDefault="00E6279B" w:rsidP="00E6279B">
      <w:pPr>
        <w:spacing w:before="120"/>
        <w:ind w:left="979" w:right="976"/>
        <w:jc w:val="both"/>
        <w:rPr>
          <w:sz w:val="24"/>
          <w:szCs w:val="24"/>
          <w:lang w:val="sq-AL" w:bidi="sq-AL"/>
        </w:rPr>
      </w:pPr>
    </w:p>
    <w:p w14:paraId="39EAC54A" w14:textId="77777777" w:rsidR="00E6279B" w:rsidRPr="0032048B" w:rsidRDefault="00E6279B" w:rsidP="00E6279B">
      <w:pPr>
        <w:spacing w:before="120"/>
        <w:ind w:left="979" w:right="976"/>
        <w:jc w:val="both"/>
        <w:rPr>
          <w:sz w:val="24"/>
          <w:szCs w:val="24"/>
          <w:lang w:val="sq-AL" w:bidi="sq-AL"/>
        </w:rPr>
      </w:pPr>
      <w:r w:rsidRPr="0032048B">
        <w:rPr>
          <w:sz w:val="24"/>
          <w:szCs w:val="24"/>
          <w:lang w:val="sq-AL" w:bidi="sq-AL"/>
        </w:rPr>
        <w:lastRenderedPageBreak/>
        <w:t xml:space="preserve">Kapacitetet pritëse u rritën në vitin 2021 me rinovimin e Qendrës Kombëtare Pritëse për Azilkërkuesit në </w:t>
      </w:r>
      <w:proofErr w:type="spellStart"/>
      <w:r w:rsidRPr="0032048B">
        <w:rPr>
          <w:sz w:val="24"/>
          <w:szCs w:val="24"/>
          <w:lang w:val="sq-AL" w:bidi="sq-AL"/>
        </w:rPr>
        <w:t>Babrru</w:t>
      </w:r>
      <w:proofErr w:type="spellEnd"/>
      <w:r w:rsidRPr="0032048B">
        <w:rPr>
          <w:sz w:val="24"/>
          <w:szCs w:val="24"/>
          <w:lang w:val="sq-AL" w:bidi="sq-AL"/>
        </w:rPr>
        <w:t xml:space="preserve">, që mundëson deri në 250 shtretër dhe një hapësirë të përkushtuar miqësore për familjet. Në korrik 2023, një Qendër Pritëse e Përkohshme e re u </w:t>
      </w:r>
      <w:proofErr w:type="spellStart"/>
      <w:r w:rsidRPr="0032048B">
        <w:rPr>
          <w:sz w:val="24"/>
          <w:szCs w:val="24"/>
          <w:lang w:val="sq-AL" w:bidi="sq-AL"/>
        </w:rPr>
        <w:t>inaugura</w:t>
      </w:r>
      <w:proofErr w:type="spellEnd"/>
      <w:r w:rsidRPr="0032048B">
        <w:rPr>
          <w:sz w:val="24"/>
          <w:szCs w:val="24"/>
          <w:lang w:val="sq-AL" w:bidi="sq-AL"/>
        </w:rPr>
        <w:t xml:space="preserve"> në Qafë-Botë. Kapaciteti total i të gjitha mjediseve pritëse është afërsisht 570 shtretër. Shqipëria nuk ka mjedise të veçanta për të miturit e pashoqëruar. Plani i përditësuar i emergjencës lidhur me një numër të mundshëm të konsiderueshëm mbërritjesh </w:t>
      </w:r>
      <w:proofErr w:type="spellStart"/>
      <w:r w:rsidRPr="0032048B">
        <w:rPr>
          <w:sz w:val="24"/>
          <w:szCs w:val="24"/>
          <w:lang w:val="sq-AL" w:bidi="sq-AL"/>
        </w:rPr>
        <w:t>migrantësh</w:t>
      </w:r>
      <w:proofErr w:type="spellEnd"/>
      <w:r w:rsidRPr="0032048B">
        <w:rPr>
          <w:sz w:val="24"/>
          <w:szCs w:val="24"/>
          <w:lang w:val="sq-AL" w:bidi="sq-AL"/>
        </w:rPr>
        <w:t xml:space="preserve"> dhe azilkërkuesish duhet tende të ketë një </w:t>
      </w:r>
      <w:proofErr w:type="spellStart"/>
      <w:r w:rsidRPr="0032048B">
        <w:rPr>
          <w:sz w:val="24"/>
          <w:szCs w:val="24"/>
          <w:lang w:val="sq-AL" w:bidi="sq-AL"/>
        </w:rPr>
        <w:t>alokim</w:t>
      </w:r>
      <w:proofErr w:type="spellEnd"/>
      <w:r w:rsidRPr="0032048B">
        <w:rPr>
          <w:sz w:val="24"/>
          <w:szCs w:val="24"/>
          <w:lang w:val="sq-AL" w:bidi="sq-AL"/>
        </w:rPr>
        <w:t xml:space="preserve"> buxhetor të përshtatshëm. Menaxhimi i rastit për fëmijët e pashoqëruar nuk trajtohet si një proces i integruar, siç specifikohet në ligjin për azilin. Të miturit e pashoqëruar duhet të përfshihen në sistemin kombëtar për mbrojtjen e fëmijëve.</w:t>
      </w:r>
    </w:p>
    <w:p w14:paraId="7E9F8A56" w14:textId="77777777" w:rsidR="00E6279B" w:rsidRPr="0032048B" w:rsidRDefault="00E6279B" w:rsidP="00E6279B">
      <w:pPr>
        <w:spacing w:before="120"/>
        <w:ind w:left="980" w:right="976"/>
        <w:jc w:val="both"/>
        <w:rPr>
          <w:sz w:val="24"/>
          <w:szCs w:val="24"/>
          <w:lang w:val="sq-AL" w:bidi="sq-AL"/>
        </w:rPr>
      </w:pPr>
      <w:r w:rsidRPr="0032048B">
        <w:rPr>
          <w:bCs/>
          <w:sz w:val="24"/>
          <w:szCs w:val="24"/>
          <w:lang w:val="sq-AL" w:bidi="sq-AL"/>
        </w:rPr>
        <w:t xml:space="preserve">Në qershor 2023, personeli i përgjithshëm i </w:t>
      </w:r>
      <w:r w:rsidRPr="0032048B">
        <w:rPr>
          <w:sz w:val="24"/>
          <w:szCs w:val="24"/>
          <w:lang w:val="sq-AL" w:bidi="sq-AL"/>
        </w:rPr>
        <w:t xml:space="preserve">Departamentit për Kufirin dhe Migracionin i Policisë së Shtetit u shtua me thuajse 19% krahasuar me vitin 2021. Si pasojë e reformës organizative dhe strukturore, tani ka 1 977 punonjës në nivel qendror dhe lokal, nga të cilët 1 882 janë oficerë policie dhe 95 janë </w:t>
      </w:r>
      <w:proofErr w:type="spellStart"/>
      <w:r w:rsidRPr="0032048B">
        <w:rPr>
          <w:sz w:val="24"/>
          <w:szCs w:val="24"/>
          <w:lang w:val="sq-AL" w:bidi="sq-AL"/>
        </w:rPr>
        <w:t>staff</w:t>
      </w:r>
      <w:proofErr w:type="spellEnd"/>
      <w:r w:rsidRPr="0032048B">
        <w:rPr>
          <w:sz w:val="24"/>
          <w:szCs w:val="24"/>
          <w:lang w:val="sq-AL" w:bidi="sq-AL"/>
        </w:rPr>
        <w:t xml:space="preserve"> civil. Trajnime gjithëpërfshirëse dhe ushtrime të përbashkëta janë organizuar për zyrtarët kufitarë kyçë dhe oficerët e vijës së parë. Megjithatë, duhet të krijohen struktura trajnimi të përhershme në përputhje me standardet bazike të trajnimit për rojet kufitare të BE-së. Oficerët e Policisë Kufitare dhe Migracionit duhet të rrisin kapacitetet e tyre për identifikimin e refugjatëve dhe </w:t>
      </w:r>
      <w:proofErr w:type="spellStart"/>
      <w:r w:rsidRPr="0032048B">
        <w:rPr>
          <w:sz w:val="24"/>
          <w:szCs w:val="24"/>
          <w:lang w:val="sq-AL" w:bidi="sq-AL"/>
        </w:rPr>
        <w:t>migrantëve</w:t>
      </w:r>
      <w:proofErr w:type="spellEnd"/>
      <w:r w:rsidRPr="0032048B">
        <w:rPr>
          <w:sz w:val="24"/>
          <w:szCs w:val="24"/>
          <w:lang w:val="sq-AL" w:bidi="sq-AL"/>
        </w:rPr>
        <w:t xml:space="preserve"> me nevoja të veçanta. Edhe koordinimi me drejtoritë e mbrojtjes së fëmijës dhe </w:t>
      </w:r>
      <w:proofErr w:type="spellStart"/>
      <w:r w:rsidRPr="0032048B">
        <w:rPr>
          <w:sz w:val="24"/>
          <w:szCs w:val="24"/>
          <w:lang w:val="sq-AL" w:bidi="sq-AL"/>
        </w:rPr>
        <w:t>anti</w:t>
      </w:r>
      <w:proofErr w:type="spellEnd"/>
      <w:r w:rsidRPr="0032048B">
        <w:rPr>
          <w:sz w:val="24"/>
          <w:szCs w:val="24"/>
          <w:lang w:val="sq-AL" w:bidi="sq-AL"/>
        </w:rPr>
        <w:t xml:space="preserve">-trafikimit duhet të përmirësohet. Gjatë periudhës së raportimit kanë vijuar raportimet lidhur me kthimin e </w:t>
      </w:r>
      <w:proofErr w:type="spellStart"/>
      <w:r w:rsidRPr="0032048B">
        <w:rPr>
          <w:sz w:val="24"/>
          <w:szCs w:val="24"/>
          <w:lang w:val="sq-AL" w:bidi="sq-AL"/>
        </w:rPr>
        <w:t>migrantëve</w:t>
      </w:r>
      <w:proofErr w:type="spellEnd"/>
      <w:r w:rsidRPr="0032048B">
        <w:rPr>
          <w:sz w:val="24"/>
          <w:szCs w:val="24"/>
          <w:lang w:val="sq-AL" w:bidi="sq-AL"/>
        </w:rPr>
        <w:t xml:space="preserve"> drejt Greqisë pa shqyrtim paraprak të përshtatshëm. Shqipëria duhet të adresojë mangësitë e identifikuara në mekanizmin e saj të kthimit për </w:t>
      </w:r>
      <w:proofErr w:type="spellStart"/>
      <w:r w:rsidRPr="0032048B">
        <w:rPr>
          <w:sz w:val="24"/>
          <w:szCs w:val="24"/>
          <w:lang w:val="sq-AL" w:bidi="sq-AL"/>
        </w:rPr>
        <w:t>migrantët</w:t>
      </w:r>
      <w:proofErr w:type="spellEnd"/>
      <w:r w:rsidRPr="0032048B">
        <w:rPr>
          <w:sz w:val="24"/>
          <w:szCs w:val="24"/>
          <w:lang w:val="sq-AL" w:bidi="sq-AL"/>
        </w:rPr>
        <w:t xml:space="preserve"> e parregullt, në përputhje me legjislacionin e zbatueshëm dhe detyrimet ndërkombëtare. </w:t>
      </w:r>
    </w:p>
    <w:p w14:paraId="498AF902" w14:textId="77777777" w:rsidR="00E6279B" w:rsidRPr="0032048B" w:rsidRDefault="00E6279B" w:rsidP="00E6279B">
      <w:pPr>
        <w:spacing w:before="120"/>
        <w:ind w:left="980" w:right="977"/>
        <w:jc w:val="both"/>
        <w:rPr>
          <w:sz w:val="24"/>
          <w:szCs w:val="24"/>
          <w:highlight w:val="yellow"/>
          <w:lang w:val="sq-AL"/>
        </w:rPr>
      </w:pPr>
      <w:r w:rsidRPr="0032048B">
        <w:rPr>
          <w:b/>
          <w:sz w:val="24"/>
          <w:szCs w:val="24"/>
          <w:lang w:val="sq-AL" w:bidi="sq-AL"/>
        </w:rPr>
        <w:t xml:space="preserve">Marrëveshja e </w:t>
      </w:r>
      <w:proofErr w:type="spellStart"/>
      <w:r w:rsidRPr="0032048B">
        <w:rPr>
          <w:b/>
          <w:sz w:val="24"/>
          <w:szCs w:val="24"/>
          <w:lang w:val="sq-AL" w:bidi="sq-AL"/>
        </w:rPr>
        <w:t>ripranimit</w:t>
      </w:r>
      <w:proofErr w:type="spellEnd"/>
      <w:r w:rsidRPr="0032048B">
        <w:rPr>
          <w:b/>
          <w:sz w:val="24"/>
          <w:szCs w:val="24"/>
          <w:lang w:val="sq-AL" w:bidi="sq-AL"/>
        </w:rPr>
        <w:t xml:space="preserve"> </w:t>
      </w:r>
      <w:r w:rsidRPr="0032048B">
        <w:rPr>
          <w:sz w:val="24"/>
          <w:szCs w:val="24"/>
          <w:lang w:val="sq-AL" w:bidi="sq-AL"/>
        </w:rPr>
        <w:t xml:space="preserve">me BE-në po funksionon mirë, ku Shqipëria po i përmbush shpejt kërkesat e Vendeve Anëtare për </w:t>
      </w:r>
      <w:proofErr w:type="spellStart"/>
      <w:r w:rsidRPr="0032048B">
        <w:rPr>
          <w:sz w:val="24"/>
          <w:szCs w:val="24"/>
          <w:lang w:val="sq-AL" w:bidi="sq-AL"/>
        </w:rPr>
        <w:t>ripranimin</w:t>
      </w:r>
      <w:proofErr w:type="spellEnd"/>
      <w:r w:rsidRPr="0032048B">
        <w:rPr>
          <w:sz w:val="24"/>
          <w:szCs w:val="24"/>
          <w:lang w:val="sq-AL" w:bidi="sq-AL"/>
        </w:rPr>
        <w:t xml:space="preserve"> e shtetasve të vet dhe të vendeve të treta. Në vitin 2022, u nxorën 23 860 vendime kthimi për shtetas shqiptarë dhe 9 655 të tillë u kthyen </w:t>
      </w:r>
      <w:proofErr w:type="spellStart"/>
      <w:r w:rsidRPr="0032048B">
        <w:rPr>
          <w:sz w:val="24"/>
          <w:szCs w:val="24"/>
          <w:lang w:val="sq-AL" w:bidi="sq-AL"/>
        </w:rPr>
        <w:t>efektivisht</w:t>
      </w:r>
      <w:proofErr w:type="spellEnd"/>
      <w:r w:rsidRPr="0032048B">
        <w:rPr>
          <w:sz w:val="24"/>
          <w:szCs w:val="24"/>
          <w:lang w:val="sq-AL" w:bidi="sq-AL"/>
        </w:rPr>
        <w:t xml:space="preserve">. Bashkëpunimi ndërmjet Shqipërisë dhe </w:t>
      </w:r>
      <w:proofErr w:type="spellStart"/>
      <w:r w:rsidRPr="0032048B">
        <w:rPr>
          <w:sz w:val="24"/>
          <w:szCs w:val="24"/>
          <w:lang w:val="sq-AL" w:bidi="sq-AL"/>
        </w:rPr>
        <w:t>Frontex</w:t>
      </w:r>
      <w:proofErr w:type="spellEnd"/>
      <w:r w:rsidRPr="0032048B">
        <w:rPr>
          <w:sz w:val="24"/>
          <w:szCs w:val="24"/>
          <w:lang w:val="sq-AL" w:bidi="sq-AL"/>
        </w:rPr>
        <w:t xml:space="preserve">-it në kuadër të operacioneve të kthimit është shumë i mirë. Më 25 janar 2022, </w:t>
      </w:r>
      <w:proofErr w:type="spellStart"/>
      <w:r w:rsidRPr="0032048B">
        <w:rPr>
          <w:sz w:val="24"/>
          <w:szCs w:val="24"/>
          <w:lang w:val="sq-AL" w:bidi="sq-AL"/>
        </w:rPr>
        <w:t>Frontex</w:t>
      </w:r>
      <w:proofErr w:type="spellEnd"/>
      <w:r w:rsidRPr="0032048B">
        <w:rPr>
          <w:sz w:val="24"/>
          <w:szCs w:val="24"/>
          <w:lang w:val="sq-AL" w:bidi="sq-AL"/>
        </w:rPr>
        <w:t xml:space="preserve">-i organizoi për herë të parë në Shqipëri operacionet e plota të kthimit të drejtuara nga </w:t>
      </w:r>
      <w:proofErr w:type="spellStart"/>
      <w:r w:rsidRPr="0032048B">
        <w:rPr>
          <w:sz w:val="24"/>
          <w:szCs w:val="24"/>
          <w:lang w:val="sq-AL" w:bidi="sq-AL"/>
        </w:rPr>
        <w:t>Frontex</w:t>
      </w:r>
      <w:proofErr w:type="spellEnd"/>
      <w:r w:rsidRPr="0032048B">
        <w:rPr>
          <w:sz w:val="24"/>
          <w:szCs w:val="24"/>
          <w:lang w:val="sq-AL" w:bidi="sq-AL"/>
        </w:rPr>
        <w:t xml:space="preserve">-i, duke kthyer rreth 50 </w:t>
      </w:r>
      <w:proofErr w:type="spellStart"/>
      <w:r w:rsidRPr="0032048B">
        <w:rPr>
          <w:sz w:val="24"/>
          <w:szCs w:val="24"/>
          <w:lang w:val="sq-AL" w:bidi="sq-AL"/>
        </w:rPr>
        <w:t>migrantë</w:t>
      </w:r>
      <w:proofErr w:type="spellEnd"/>
      <w:r w:rsidRPr="0032048B">
        <w:rPr>
          <w:sz w:val="24"/>
          <w:szCs w:val="24"/>
          <w:lang w:val="sq-AL" w:bidi="sq-AL"/>
        </w:rPr>
        <w:t xml:space="preserve"> të parregullt shqiptarë nga një sërë Vendesh Anëtare të BE-së me mbështetjen e autoriteteve shqiptare </w:t>
      </w:r>
    </w:p>
    <w:p w14:paraId="737F8DA0" w14:textId="77777777" w:rsidR="00E6279B" w:rsidRPr="0032048B" w:rsidRDefault="00E6279B" w:rsidP="00E6279B">
      <w:pPr>
        <w:spacing w:before="120"/>
        <w:ind w:left="980" w:right="977"/>
        <w:jc w:val="both"/>
        <w:rPr>
          <w:sz w:val="24"/>
          <w:szCs w:val="24"/>
          <w:lang w:val="sq-AL"/>
        </w:rPr>
      </w:pPr>
      <w:r w:rsidRPr="0032048B">
        <w:rPr>
          <w:sz w:val="24"/>
          <w:szCs w:val="24"/>
          <w:lang w:val="sq-AL"/>
        </w:rPr>
        <w:t xml:space="preserve">Numri i shtetasve të vendeve të treta që kthehen vullnetarisht nga Shqipëria në vendet e tyre të origjinës mbetet i ulët: gjashtë në vitin 20222. Shqipëria duhet të forcojë përpjekjet për të rritur numrin e kthimit të </w:t>
      </w:r>
      <w:proofErr w:type="spellStart"/>
      <w:r w:rsidRPr="0032048B">
        <w:rPr>
          <w:sz w:val="24"/>
          <w:szCs w:val="24"/>
          <w:lang w:val="sq-AL"/>
        </w:rPr>
        <w:t>migrantëve</w:t>
      </w:r>
      <w:proofErr w:type="spellEnd"/>
      <w:r w:rsidRPr="0032048B">
        <w:rPr>
          <w:sz w:val="24"/>
          <w:szCs w:val="24"/>
          <w:lang w:val="sq-AL"/>
        </w:rPr>
        <w:t xml:space="preserve"> që nuk kanë të drejta qëndrimi në Shqipëri në vendet e tyre të origjinës. </w:t>
      </w:r>
    </w:p>
    <w:p w14:paraId="7F693366" w14:textId="2A50092F" w:rsidR="00E6279B" w:rsidRPr="0032048B" w:rsidRDefault="00E6279B" w:rsidP="00E6279B">
      <w:pPr>
        <w:spacing w:before="120"/>
        <w:ind w:left="979" w:right="976"/>
        <w:jc w:val="both"/>
        <w:rPr>
          <w:sz w:val="24"/>
          <w:szCs w:val="24"/>
          <w:lang w:val="sq-AL" w:bidi="sq-AL"/>
        </w:rPr>
      </w:pPr>
      <w:r w:rsidRPr="0032048B">
        <w:rPr>
          <w:sz w:val="24"/>
          <w:szCs w:val="24"/>
          <w:lang w:val="sq-AL" w:bidi="sq-AL"/>
        </w:rPr>
        <w:t>Në gusht të vitit 2021, Shqipëria filloi pritjen e përkohshme të afganëve të evakuuar. Deri në fund të shtatorit 2023,</w:t>
      </w:r>
      <w:r w:rsidR="004D53EC">
        <w:rPr>
          <w:sz w:val="24"/>
          <w:szCs w:val="24"/>
          <w:lang w:val="sq-AL" w:bidi="sq-AL"/>
        </w:rPr>
        <w:t xml:space="preserve"> </w:t>
      </w:r>
      <w:r w:rsidRPr="0032048B">
        <w:rPr>
          <w:sz w:val="24"/>
          <w:szCs w:val="24"/>
          <w:lang w:val="sq-AL" w:bidi="sq-AL"/>
        </w:rPr>
        <w:t xml:space="preserve">4 033 prej tyre janë pritur në objekte në qiell të hapur pranë bregdetit shqiptar, me mbështetjen e OJF-ve ndërkombëtare. Të gjithë të </w:t>
      </w:r>
      <w:proofErr w:type="spellStart"/>
      <w:r w:rsidRPr="0032048B">
        <w:rPr>
          <w:sz w:val="24"/>
          <w:szCs w:val="24"/>
          <w:lang w:val="sq-AL" w:bidi="sq-AL"/>
        </w:rPr>
        <w:t>evakuuarit</w:t>
      </w:r>
      <w:proofErr w:type="spellEnd"/>
      <w:r w:rsidRPr="0032048B">
        <w:rPr>
          <w:sz w:val="24"/>
          <w:szCs w:val="24"/>
          <w:lang w:val="sq-AL" w:bidi="sq-AL"/>
        </w:rPr>
        <w:t xml:space="preserve"> afganë aplikuan për mbrojtje të përkohshme në vend, që iu sigurua me anë të një vendimi të Këshillit të Ministrave të miratuar më 25 gusht 2021. Thuajse 90% e tyre rivendosur tashmë në vende të tjera, kryesisht në SHBA (1 963), Kanada (1 439), Mbretëri e Bashkuar (106) dhe vende të BE-së (77). Që prej marsit të vitit 2022, autoritetet shqiptare u kanë dhënë refugjatëve nga Ukraina të drejtën e qëndrimit në Shqipëri për një periudhë deri në një vit pa pasur nevojë të marrin leje qëndrimi. Gjithashtu, ata mund të aplikojnë për të kërkuar status të përkohshëm mbrojtjeje. Deri në fund të gushtit të vitit 2023, 70 909 qytetarë ukrainas kanë hyrë në Shqipëri, ndërkohë që 62 631 janë larguar. Shumica e tyre po qëndrojnë në akomodime private. Vetëm 33 persona kanë kërkuar dhe kanë përfituar statusin e mbrojtjes së përkohshme. </w:t>
      </w:r>
    </w:p>
    <w:p w14:paraId="01E5CF10" w14:textId="77777777" w:rsidR="00E6279B" w:rsidRPr="0032048B" w:rsidRDefault="00E6279B" w:rsidP="00E6279B">
      <w:pPr>
        <w:spacing w:before="160"/>
        <w:ind w:left="980"/>
        <w:outlineLvl w:val="0"/>
        <w:rPr>
          <w:b/>
          <w:bCs/>
          <w:spacing w:val="-2"/>
          <w:sz w:val="24"/>
          <w:szCs w:val="24"/>
          <w:lang w:val="sq-AL"/>
        </w:rPr>
      </w:pPr>
      <w:r w:rsidRPr="0032048B">
        <w:rPr>
          <w:b/>
          <w:bCs/>
          <w:spacing w:val="-2"/>
          <w:sz w:val="24"/>
          <w:szCs w:val="24"/>
          <w:lang w:val="sq-AL"/>
        </w:rPr>
        <w:t>Azili</w:t>
      </w:r>
    </w:p>
    <w:p w14:paraId="684547CA" w14:textId="77777777" w:rsidR="00E6279B" w:rsidRPr="0032048B" w:rsidRDefault="00E6279B" w:rsidP="00E6279B">
      <w:pPr>
        <w:spacing w:before="120"/>
        <w:ind w:left="980"/>
        <w:rPr>
          <w:sz w:val="24"/>
          <w:szCs w:val="24"/>
          <w:lang w:val="sq-AL"/>
        </w:rPr>
      </w:pPr>
      <w:r w:rsidRPr="0032048B">
        <w:rPr>
          <w:spacing w:val="-2"/>
          <w:sz w:val="24"/>
          <w:szCs w:val="24"/>
          <w:u w:val="single"/>
          <w:lang w:val="sq-AL"/>
        </w:rPr>
        <w:t>Organizimi institucional dhe harmonizimi ligjor</w:t>
      </w:r>
    </w:p>
    <w:p w14:paraId="44E00C51" w14:textId="77777777" w:rsidR="00E6279B" w:rsidRPr="0032048B" w:rsidRDefault="00E6279B" w:rsidP="00E6279B">
      <w:pPr>
        <w:spacing w:before="120"/>
        <w:ind w:left="980" w:right="1000"/>
        <w:jc w:val="both"/>
        <w:rPr>
          <w:sz w:val="24"/>
          <w:szCs w:val="24"/>
          <w:lang w:val="sq-AL"/>
        </w:rPr>
      </w:pPr>
      <w:r w:rsidRPr="0032048B">
        <w:rPr>
          <w:sz w:val="24"/>
          <w:szCs w:val="24"/>
          <w:lang w:val="sq-AL"/>
        </w:rPr>
        <w:lastRenderedPageBreak/>
        <w:t xml:space="preserve">Ligji për azilin i vitit 2015 është kryesisht i përafruar me </w:t>
      </w:r>
      <w:proofErr w:type="spellStart"/>
      <w:r w:rsidRPr="0032048B">
        <w:rPr>
          <w:sz w:val="24"/>
          <w:szCs w:val="24"/>
          <w:lang w:val="sq-AL"/>
        </w:rPr>
        <w:t>acquis</w:t>
      </w:r>
      <w:proofErr w:type="spellEnd"/>
      <w:r w:rsidRPr="0032048B">
        <w:rPr>
          <w:sz w:val="24"/>
          <w:szCs w:val="24"/>
          <w:lang w:val="sq-AL"/>
        </w:rPr>
        <w:t xml:space="preserve">-në e BE-së, dhe të 15 aktet nënligjore për zbatimin e tij janë miratuar. Duhet të vijojnë konsultimet e përshtatshme me Agjencinë e Bashkimit Evropian për Azilin (EUAA) lidhur me udhëzuesit praktikë për zbatimin e tyre përmes një udhërrëfyesi bashkëpunimi mes EUAA-së dhe Shqipërisë dhe përmes bashkëpunimit praktik me mbështetjen rajonale të BE-së për të mbrojtur sistemet </w:t>
      </w:r>
      <w:proofErr w:type="spellStart"/>
      <w:r w:rsidRPr="0032048B">
        <w:rPr>
          <w:sz w:val="24"/>
          <w:szCs w:val="24"/>
          <w:lang w:val="sq-AL"/>
        </w:rPr>
        <w:t>sensitive</w:t>
      </w:r>
      <w:proofErr w:type="spellEnd"/>
      <w:r w:rsidRPr="0032048B">
        <w:rPr>
          <w:sz w:val="24"/>
          <w:szCs w:val="24"/>
          <w:lang w:val="sq-AL"/>
        </w:rPr>
        <w:t xml:space="preserve"> të migracionit. Megjithëse ligji u jep azilkërkuesve të drejtën e qasjes në shërbime publike në mënyrë të barabartë me shtetasit shqiptarë, mungesa e harmonizimit me akte të tjera ligjore dhe mungesa e kapaciteteve zbatuese i pengon azilkërkuesit të kenë qasje efikase në shërbime. Zbatimi efikas dhe cilësor i ligjit nuk është arritur ende dhe kërkon kapacitete administrative shtesë dhe krijimin e një sistemi azilkërkues funksional. Në vitin 2022, u miratua një udhëzues i rishikuar për shqyrtimin paraprak, por zbatimi i tij në praktikë ka nevojë për përmirësim.</w:t>
      </w:r>
    </w:p>
    <w:p w14:paraId="62455A89" w14:textId="77777777" w:rsidR="00E6279B" w:rsidRPr="0032048B" w:rsidRDefault="00E6279B" w:rsidP="00E6279B">
      <w:pPr>
        <w:spacing w:before="120"/>
        <w:ind w:left="980" w:right="1000"/>
        <w:jc w:val="both"/>
        <w:rPr>
          <w:sz w:val="24"/>
          <w:szCs w:val="24"/>
          <w:lang w:val="sq-AL"/>
        </w:rPr>
      </w:pPr>
      <w:r w:rsidRPr="0032048B">
        <w:rPr>
          <w:sz w:val="24"/>
          <w:szCs w:val="24"/>
          <w:lang w:val="sq-AL" w:bidi="sq-AL"/>
        </w:rPr>
        <w:t xml:space="preserve">Shqipëria ka ngritur institucionet e nevojshme për të trajtuar kërkesat për azil. Ankesat administrative mund të paraqiten në Komisionin Kombëtar për Refugjatët dhe Azilin </w:t>
      </w:r>
    </w:p>
    <w:p w14:paraId="19AF352E" w14:textId="77777777" w:rsidR="00E6279B" w:rsidRPr="0032048B" w:rsidRDefault="00E6279B" w:rsidP="00E6279B">
      <w:pPr>
        <w:spacing w:before="120"/>
        <w:ind w:left="980"/>
        <w:jc w:val="both"/>
        <w:rPr>
          <w:sz w:val="24"/>
          <w:szCs w:val="24"/>
          <w:lang w:val="sq-AL"/>
        </w:rPr>
      </w:pPr>
      <w:r w:rsidRPr="0032048B">
        <w:rPr>
          <w:spacing w:val="-2"/>
          <w:sz w:val="24"/>
          <w:szCs w:val="24"/>
          <w:u w:val="single"/>
          <w:lang w:val="sq-AL"/>
        </w:rPr>
        <w:t>Zbatimi dhe kapaciteti zbatues</w:t>
      </w:r>
    </w:p>
    <w:p w14:paraId="7197DF67" w14:textId="77777777" w:rsidR="00E6279B" w:rsidRPr="0032048B" w:rsidRDefault="00E6279B" w:rsidP="00E6279B">
      <w:pPr>
        <w:spacing w:before="120"/>
        <w:ind w:left="980" w:right="976"/>
        <w:jc w:val="both"/>
        <w:rPr>
          <w:sz w:val="24"/>
          <w:szCs w:val="24"/>
          <w:lang w:val="sq-AL" w:bidi="sq-AL"/>
        </w:rPr>
      </w:pPr>
      <w:r w:rsidRPr="0032048B">
        <w:rPr>
          <w:sz w:val="24"/>
          <w:szCs w:val="24"/>
          <w:lang w:val="sq-AL" w:bidi="sq-AL"/>
        </w:rPr>
        <w:t xml:space="preserve">Shqipëria vijon të jetë kryesisht vend </w:t>
      </w:r>
      <w:proofErr w:type="spellStart"/>
      <w:r w:rsidRPr="0032048B">
        <w:rPr>
          <w:sz w:val="24"/>
          <w:szCs w:val="24"/>
          <w:lang w:val="sq-AL" w:bidi="sq-AL"/>
        </w:rPr>
        <w:t>tranziti</w:t>
      </w:r>
      <w:proofErr w:type="spellEnd"/>
      <w:r w:rsidRPr="0032048B">
        <w:rPr>
          <w:sz w:val="24"/>
          <w:szCs w:val="24"/>
          <w:lang w:val="sq-AL" w:bidi="sq-AL"/>
        </w:rPr>
        <w:t xml:space="preserve">, dhe konsiderohet si i tillë edhe nga komuniteti i refugjatëve dhe </w:t>
      </w:r>
      <w:proofErr w:type="spellStart"/>
      <w:r w:rsidRPr="0032048B">
        <w:rPr>
          <w:sz w:val="24"/>
          <w:szCs w:val="24"/>
          <w:lang w:val="sq-AL" w:bidi="sq-AL"/>
        </w:rPr>
        <w:t>migrantëve</w:t>
      </w:r>
      <w:proofErr w:type="spellEnd"/>
      <w:r w:rsidRPr="0032048B">
        <w:rPr>
          <w:sz w:val="24"/>
          <w:szCs w:val="24"/>
          <w:lang w:val="sq-AL" w:bidi="sq-AL"/>
        </w:rPr>
        <w:t xml:space="preserve">, dhe nga autoritetet shqiptare. Në vitin 2022, 125 persona kanë kërkuar azil në Policinë e Kufirit dhe Migracionit, krahasuar me 85 persona në vitin 2021. Fakti që vetëm 1% e të gjithë </w:t>
      </w:r>
      <w:proofErr w:type="spellStart"/>
      <w:r w:rsidRPr="0032048B">
        <w:rPr>
          <w:sz w:val="24"/>
          <w:szCs w:val="24"/>
          <w:lang w:val="sq-AL" w:bidi="sq-AL"/>
        </w:rPr>
        <w:t>migrantëve</w:t>
      </w:r>
      <w:proofErr w:type="spellEnd"/>
      <w:r w:rsidRPr="0032048B">
        <w:rPr>
          <w:sz w:val="24"/>
          <w:szCs w:val="24"/>
          <w:lang w:val="sq-AL" w:bidi="sq-AL"/>
        </w:rPr>
        <w:t xml:space="preserve"> që kanë hyrë në vend në vitin 2022, një pjesë e madhe e të cilëve erdhën nga vende me nivele të larta të mbrojtjes në BE, janë referuar në procedurat e azilit, thekson nevojën për të përmirësuar rastet e referimit dhe </w:t>
      </w:r>
      <w:proofErr w:type="spellStart"/>
      <w:r w:rsidRPr="0032048B">
        <w:rPr>
          <w:sz w:val="24"/>
          <w:szCs w:val="24"/>
          <w:lang w:val="sq-AL" w:bidi="sq-AL"/>
        </w:rPr>
        <w:t>aksesit</w:t>
      </w:r>
      <w:proofErr w:type="spellEnd"/>
      <w:r w:rsidRPr="0032048B">
        <w:rPr>
          <w:sz w:val="24"/>
          <w:szCs w:val="24"/>
          <w:lang w:val="sq-AL" w:bidi="sq-AL"/>
        </w:rPr>
        <w:t xml:space="preserve"> në procedurat e azilit.</w:t>
      </w:r>
    </w:p>
    <w:p w14:paraId="6A626D5F" w14:textId="77777777" w:rsidR="00E6279B" w:rsidRPr="0032048B" w:rsidRDefault="00E6279B" w:rsidP="00E6279B">
      <w:pPr>
        <w:spacing w:before="120"/>
        <w:ind w:left="980" w:right="976"/>
        <w:jc w:val="both"/>
        <w:rPr>
          <w:sz w:val="24"/>
          <w:szCs w:val="24"/>
          <w:lang w:val="sq-AL" w:bidi="sq-AL"/>
        </w:rPr>
      </w:pPr>
      <w:r w:rsidRPr="0032048B">
        <w:rPr>
          <w:sz w:val="24"/>
          <w:szCs w:val="24"/>
          <w:lang w:val="sq-AL" w:bidi="sq-AL"/>
        </w:rPr>
        <w:t xml:space="preserve">Në vitin 2022, asnjë </w:t>
      </w:r>
      <w:proofErr w:type="spellStart"/>
      <w:r w:rsidRPr="0032048B">
        <w:rPr>
          <w:sz w:val="24"/>
          <w:szCs w:val="24"/>
          <w:lang w:val="sq-AL" w:bidi="sq-AL"/>
        </w:rPr>
        <w:t>aplikant</w:t>
      </w:r>
      <w:proofErr w:type="spellEnd"/>
      <w:r w:rsidRPr="0032048B">
        <w:rPr>
          <w:sz w:val="24"/>
          <w:szCs w:val="24"/>
          <w:lang w:val="sq-AL" w:bidi="sq-AL"/>
        </w:rPr>
        <w:t xml:space="preserve"> nuk mori statusin e refugjatit, ndërkohë që 24 persona morën statusin e mbrojtjes plotësuese. Mes muajve janar dhe qershor të vitit 2023, nëntë personave iu dha mbrojtje plotësuese, dhe asnjë kërkuesi nuk iu dha statusi i refugjatit.</w:t>
      </w:r>
    </w:p>
    <w:p w14:paraId="5D0AD88F" w14:textId="77777777" w:rsidR="00E6279B" w:rsidRPr="0032048B" w:rsidRDefault="00E6279B" w:rsidP="00E6279B">
      <w:pPr>
        <w:spacing w:before="120"/>
        <w:ind w:left="980" w:right="976"/>
        <w:jc w:val="both"/>
        <w:rPr>
          <w:sz w:val="24"/>
          <w:szCs w:val="24"/>
          <w:lang w:val="sq-AL" w:bidi="sq-AL"/>
        </w:rPr>
      </w:pPr>
      <w:r w:rsidRPr="0032048B">
        <w:rPr>
          <w:sz w:val="24"/>
          <w:szCs w:val="24"/>
          <w:lang w:val="sq-AL" w:bidi="sq-AL"/>
        </w:rPr>
        <w:t xml:space="preserve">Sa i përket </w:t>
      </w:r>
      <w:r w:rsidRPr="0032048B">
        <w:rPr>
          <w:b/>
          <w:sz w:val="24"/>
          <w:szCs w:val="24"/>
          <w:lang w:val="sq-AL" w:bidi="sq-AL"/>
        </w:rPr>
        <w:t>procedurës së azilit,</w:t>
      </w:r>
      <w:r w:rsidRPr="0032048B">
        <w:rPr>
          <w:sz w:val="24"/>
          <w:szCs w:val="24"/>
          <w:lang w:val="sq-AL" w:bidi="sq-AL"/>
        </w:rPr>
        <w:t xml:space="preserve"> kapacitetet e Policisë së Kufirit dhe Migracionit për identifikimin dhe referimin e individëve me nevoja të veçanta vazhdojnë të mbeten të pamjaftueshme. Drejtoria e Azilit, të Huajve dhe Shtetësisë është riorganizuar me tre </w:t>
      </w:r>
      <w:proofErr w:type="spellStart"/>
      <w:r w:rsidRPr="0032048B">
        <w:rPr>
          <w:sz w:val="24"/>
          <w:szCs w:val="24"/>
          <w:lang w:val="sq-AL" w:bidi="sq-AL"/>
        </w:rPr>
        <w:t>eskpertë</w:t>
      </w:r>
      <w:proofErr w:type="spellEnd"/>
      <w:r w:rsidRPr="0032048B">
        <w:rPr>
          <w:sz w:val="24"/>
          <w:szCs w:val="24"/>
          <w:lang w:val="sq-AL" w:bidi="sq-AL"/>
        </w:rPr>
        <w:t xml:space="preserve"> përgjegjës për zhvillimin e procedurave të azilit, një shef sektori dhe një drejtor. Personeli ka nevojë për trajnim për zhvillimin e aftësive për vlerësimin e kërkesave individuale, veçanërisht në lidhje me informacionin për vendin e origjinës dhe për çështjet që përfshijnë persona të cenueshëm. Mungesa e përkthyesve të kualifikuar në qendrat pritëse të përkohshme gjatë dhe pas vlerësimit paraprak duhet të adresohet, dhe duhet të nxitet punësimi i përkthyeseve femra për të rritur raportimin e rasteve të dhunës dhe rasteve të mundshme të trafikimit. Duhet të përmirësohet koordinimi mes aktorëve përgjegjës.</w:t>
      </w:r>
    </w:p>
    <w:p w14:paraId="0422DA3E" w14:textId="77777777" w:rsidR="00E6279B" w:rsidRPr="0032048B" w:rsidRDefault="00E6279B" w:rsidP="00E6279B">
      <w:pPr>
        <w:spacing w:before="119"/>
        <w:ind w:left="980" w:right="976"/>
        <w:jc w:val="both"/>
        <w:rPr>
          <w:sz w:val="24"/>
          <w:szCs w:val="24"/>
          <w:lang w:val="sq-AL"/>
        </w:rPr>
      </w:pPr>
      <w:r w:rsidRPr="0032048B">
        <w:rPr>
          <w:sz w:val="24"/>
          <w:szCs w:val="24"/>
          <w:lang w:val="sq-AL" w:bidi="sq-AL"/>
        </w:rPr>
        <w:t xml:space="preserve">Ka ende mangësi në zbatimin e procedurave të kthimit në kufirin me Greqinë, të cilat duhet të trajtohen, veçanërisht lidhur me shqyrtimin e përshtatshëm, </w:t>
      </w:r>
      <w:r w:rsidRPr="0032048B">
        <w:rPr>
          <w:sz w:val="24"/>
          <w:szCs w:val="24"/>
          <w:lang w:val="sq-AL"/>
        </w:rPr>
        <w:t xml:space="preserve">masat mbrojtëse që lidhen me qasjen në informacion, përkthimin, periudhën e qëndrimit para kthimit, dhe të drejtën për apel, përshi këtu edhe për </w:t>
      </w:r>
      <w:proofErr w:type="spellStart"/>
      <w:r w:rsidRPr="0032048B">
        <w:rPr>
          <w:sz w:val="24"/>
          <w:szCs w:val="24"/>
          <w:lang w:val="sq-AL"/>
        </w:rPr>
        <w:t>tw</w:t>
      </w:r>
      <w:proofErr w:type="spellEnd"/>
      <w:r w:rsidRPr="0032048B">
        <w:rPr>
          <w:sz w:val="24"/>
          <w:szCs w:val="24"/>
          <w:lang w:val="sq-AL"/>
        </w:rPr>
        <w:t xml:space="preserve"> miturit e pashoqëruar. </w:t>
      </w:r>
    </w:p>
    <w:p w14:paraId="481B2C67" w14:textId="77777777" w:rsidR="00E6279B" w:rsidRPr="0032048B" w:rsidRDefault="00E6279B" w:rsidP="00E6279B">
      <w:pPr>
        <w:spacing w:before="119"/>
        <w:ind w:left="980" w:right="976"/>
        <w:jc w:val="both"/>
        <w:rPr>
          <w:sz w:val="24"/>
          <w:szCs w:val="24"/>
          <w:highlight w:val="yellow"/>
          <w:lang w:val="sq-AL"/>
        </w:rPr>
      </w:pPr>
      <w:r w:rsidRPr="0032048B">
        <w:rPr>
          <w:sz w:val="24"/>
          <w:szCs w:val="24"/>
          <w:lang w:val="sq-AL" w:bidi="sq-AL"/>
        </w:rPr>
        <w:t xml:space="preserve">Statusi i rreth 2 700 iranianëve (nga </w:t>
      </w:r>
      <w:proofErr w:type="spellStart"/>
      <w:r w:rsidRPr="0032048B">
        <w:rPr>
          <w:sz w:val="24"/>
          <w:szCs w:val="24"/>
          <w:lang w:val="sq-AL" w:bidi="sq-AL"/>
        </w:rPr>
        <w:t>Muxhahedinët</w:t>
      </w:r>
      <w:proofErr w:type="spellEnd"/>
      <w:r w:rsidRPr="0032048B">
        <w:rPr>
          <w:sz w:val="24"/>
          <w:szCs w:val="24"/>
          <w:lang w:val="sq-AL" w:bidi="sq-AL"/>
        </w:rPr>
        <w:t xml:space="preserve"> e Popullit të Iranit) të zhvendosur në Shqipëri në vitet 2015 dhe 2016 duhet ende të vendoset. Ata aktualisht kanë leje qëndrimi të përkohshme për arsye humanitare.</w:t>
      </w:r>
    </w:p>
    <w:p w14:paraId="558347E1" w14:textId="77777777" w:rsidR="00E6279B" w:rsidRPr="0032048B" w:rsidRDefault="00E6279B" w:rsidP="00E6279B">
      <w:pPr>
        <w:spacing w:before="119"/>
        <w:ind w:left="980" w:right="976"/>
        <w:jc w:val="both"/>
        <w:rPr>
          <w:sz w:val="24"/>
          <w:szCs w:val="24"/>
          <w:lang w:val="sq-AL" w:bidi="sq-AL"/>
        </w:rPr>
      </w:pPr>
      <w:r w:rsidRPr="0032048B">
        <w:rPr>
          <w:sz w:val="24"/>
          <w:szCs w:val="24"/>
          <w:lang w:val="sq-AL" w:bidi="sq-AL"/>
        </w:rPr>
        <w:t xml:space="preserve">Raporti i gjashtë i Komisionit në kuadrin e mekanizmit të pezullimit të vizave, publikuar në tetor 2023, arriti në përfundimin se Shqipëria ka ndërmarrë masa për të adresuar shumicën e rekomandimeve të mëparshme të Komisionit. Politika e Shqipërisë për vizat nuk është ende plotësisht e përafruar me atë të BE-së sa i përket listës së vendeve shtetasit e të cilëve duhet të marrin vizë për hyrje. Shqipëria ka marrëveshje për udhëtim pa viza gjatë gjithë vitit me Armeninë, Azerbajxhanin, Bjellorusinë, Kinën, </w:t>
      </w:r>
      <w:proofErr w:type="spellStart"/>
      <w:r w:rsidRPr="0032048B">
        <w:rPr>
          <w:sz w:val="24"/>
          <w:szCs w:val="24"/>
          <w:lang w:val="sq-AL" w:bidi="sq-AL"/>
        </w:rPr>
        <w:t>Guajanën</w:t>
      </w:r>
      <w:proofErr w:type="spellEnd"/>
      <w:r w:rsidRPr="0032048B">
        <w:rPr>
          <w:sz w:val="24"/>
          <w:szCs w:val="24"/>
          <w:lang w:val="sq-AL" w:bidi="sq-AL"/>
        </w:rPr>
        <w:t xml:space="preserve">, Kazakistanin, Kuvajtin dhe Turqinë, </w:t>
      </w:r>
      <w:r w:rsidRPr="0032048B">
        <w:rPr>
          <w:sz w:val="24"/>
          <w:szCs w:val="24"/>
          <w:lang w:val="sq-AL" w:bidi="sq-AL"/>
        </w:rPr>
        <w:lastRenderedPageBreak/>
        <w:t xml:space="preserve">të cilat nuk janë në listën e BE-së për udhëtim pa viza. Gjithashtu, një marrëveshje reciproke për liberalizimin e vizave me Kinën u firmos në shkurt të vitit 2023, gjë që konsolidon vendimin e mëparshëm të njëanshëm të Shqipërisë për t’i dhënë </w:t>
      </w:r>
      <w:proofErr w:type="spellStart"/>
      <w:r w:rsidRPr="0032048B">
        <w:rPr>
          <w:sz w:val="24"/>
          <w:szCs w:val="24"/>
          <w:lang w:val="sq-AL" w:bidi="sq-AL"/>
        </w:rPr>
        <w:t>akses</w:t>
      </w:r>
      <w:proofErr w:type="spellEnd"/>
      <w:r w:rsidRPr="0032048B">
        <w:rPr>
          <w:sz w:val="24"/>
          <w:szCs w:val="24"/>
          <w:lang w:val="sq-AL" w:bidi="sq-AL"/>
        </w:rPr>
        <w:t xml:space="preserve"> pa viza shtetasve kinezë. Shqipëria gjithashtu lejon hyrjen pa viza për shtetasit e vendeve të treta, të cilët kanë një leje qëndrimi në Emiratet e Bashkuara Arabe (EBA) për të paktën 10 vjet. Që nga viti 2022, shtetasit e </w:t>
      </w:r>
      <w:proofErr w:type="spellStart"/>
      <w:r w:rsidRPr="0032048B">
        <w:rPr>
          <w:sz w:val="24"/>
          <w:szCs w:val="24"/>
          <w:lang w:val="sq-AL" w:bidi="sq-AL"/>
        </w:rPr>
        <w:t>Bahreinit</w:t>
      </w:r>
      <w:proofErr w:type="spellEnd"/>
      <w:r w:rsidRPr="0032048B">
        <w:rPr>
          <w:sz w:val="24"/>
          <w:szCs w:val="24"/>
          <w:lang w:val="sq-AL" w:bidi="sq-AL"/>
        </w:rPr>
        <w:t xml:space="preserve">, Omanit, Katarit, Arabisë Saudite dhe Tajlandës, të cilët kanë nevojë për vizë për të udhëtuar në BE, përfituan nga heqja </w:t>
      </w:r>
      <w:proofErr w:type="spellStart"/>
      <w:r w:rsidRPr="0032048B">
        <w:rPr>
          <w:sz w:val="24"/>
          <w:szCs w:val="24"/>
          <w:lang w:val="sq-AL" w:bidi="sq-AL"/>
        </w:rPr>
        <w:t>sezonale</w:t>
      </w:r>
      <w:proofErr w:type="spellEnd"/>
      <w:r w:rsidRPr="0032048B">
        <w:rPr>
          <w:sz w:val="24"/>
          <w:szCs w:val="24"/>
          <w:lang w:val="sq-AL" w:bidi="sq-AL"/>
        </w:rPr>
        <w:t xml:space="preserve"> e vizave midis prillit dhe dhjetorit të vitit 2023. Me kërkesa të vazhdueshme të BE-së, Shqipëria nuk e ka shtrirë heqjen </w:t>
      </w:r>
      <w:proofErr w:type="spellStart"/>
      <w:r w:rsidRPr="0032048B">
        <w:rPr>
          <w:sz w:val="24"/>
          <w:szCs w:val="24"/>
          <w:lang w:val="sq-AL" w:bidi="sq-AL"/>
        </w:rPr>
        <w:t>sezonale</w:t>
      </w:r>
      <w:proofErr w:type="spellEnd"/>
      <w:r w:rsidRPr="0032048B">
        <w:rPr>
          <w:sz w:val="24"/>
          <w:szCs w:val="24"/>
          <w:lang w:val="sq-AL" w:bidi="sq-AL"/>
        </w:rPr>
        <w:t xml:space="preserve"> të vizave për shtetasit e Egjiptit, Indisë dhe Rusisë në vitin 2023, gjë që është një progres i konsiderueshëm. Në përgjithësi, praktika e heqjes së përkohshme të kërkesës për vizë nuk është në përputhje me </w:t>
      </w:r>
      <w:proofErr w:type="spellStart"/>
      <w:r w:rsidRPr="0032048B">
        <w:rPr>
          <w:i/>
          <w:sz w:val="24"/>
          <w:szCs w:val="24"/>
          <w:lang w:val="sq-AL" w:bidi="sq-AL"/>
        </w:rPr>
        <w:t>acquis</w:t>
      </w:r>
      <w:proofErr w:type="spellEnd"/>
      <w:r w:rsidRPr="0032048B">
        <w:rPr>
          <w:i/>
          <w:sz w:val="24"/>
          <w:szCs w:val="24"/>
          <w:lang w:val="sq-AL" w:bidi="sq-AL"/>
        </w:rPr>
        <w:t>-të</w:t>
      </w:r>
      <w:r w:rsidRPr="0032048B">
        <w:rPr>
          <w:sz w:val="24"/>
          <w:szCs w:val="24"/>
          <w:lang w:val="sq-AL" w:bidi="sq-AL"/>
        </w:rPr>
        <w:t xml:space="preserve"> e BE-së. Vazhdimi i harmonizimit progresiv të politikës së Shqipërisë për vizat me atë të BE-së është thelbësor, veçanërisht lidhur me vendet që përbëjnë risk për migracionin apo sigurinë.</w:t>
      </w:r>
    </w:p>
    <w:p w14:paraId="28696220" w14:textId="77777777" w:rsidR="00E6279B" w:rsidRPr="0032048B" w:rsidRDefault="00E6279B" w:rsidP="00E6279B">
      <w:pPr>
        <w:spacing w:before="119"/>
        <w:ind w:left="980" w:right="976"/>
        <w:jc w:val="both"/>
        <w:rPr>
          <w:rFonts w:eastAsia="TimesNewRomanPSMT"/>
          <w:sz w:val="24"/>
          <w:szCs w:val="24"/>
          <w:lang w:val="sq-AL" w:bidi="sq-AL"/>
        </w:rPr>
      </w:pPr>
      <w:r w:rsidRPr="0032048B">
        <w:rPr>
          <w:rFonts w:eastAsia="TimesNewRomanPSMT"/>
          <w:sz w:val="24"/>
          <w:szCs w:val="24"/>
          <w:lang w:val="sq-AL" w:bidi="sq-AL"/>
        </w:rPr>
        <w:t xml:space="preserve">Sipas të dhënave të </w:t>
      </w:r>
      <w:proofErr w:type="spellStart"/>
      <w:r w:rsidRPr="0032048B">
        <w:rPr>
          <w:rFonts w:eastAsia="TimesNewRomanPSMT"/>
          <w:sz w:val="24"/>
          <w:szCs w:val="24"/>
          <w:lang w:val="sq-AL" w:bidi="sq-AL"/>
        </w:rPr>
        <w:t>Eurostat</w:t>
      </w:r>
      <w:proofErr w:type="spellEnd"/>
      <w:r w:rsidRPr="0032048B">
        <w:rPr>
          <w:rFonts w:eastAsia="TimesNewRomanPSMT"/>
          <w:sz w:val="24"/>
          <w:szCs w:val="24"/>
          <w:lang w:val="sq-AL" w:bidi="sq-AL"/>
        </w:rPr>
        <w:t>-it, numri i qytetarëve shqiptarë që paraqesin kërkesa për azil në Vendet Anëtare të BE-së është rritur me 16% në vitin 2022 krahasuar me vitin 2021 (nga 11 300 në 13 100 kërkesa), por vijon të jetë nën nivelet përpara pandemisë (20 415 në vitin 2019). Niveli i njohjes për azilin është rritur nga 5,7% në vitin 2021 në 6,3% në vitin 2022 (9% në vitin 2021 dhe 10,6% në vitin 2022, duke përfshirë statusin humanitar).</w:t>
      </w:r>
    </w:p>
    <w:p w14:paraId="6DE621DD" w14:textId="77777777" w:rsidR="00E6279B" w:rsidRPr="0032048B" w:rsidRDefault="00E6279B" w:rsidP="00E6279B">
      <w:pPr>
        <w:spacing w:before="119"/>
        <w:ind w:left="980" w:right="976"/>
        <w:jc w:val="both"/>
        <w:rPr>
          <w:sz w:val="24"/>
          <w:szCs w:val="24"/>
          <w:lang w:val="sq-AL" w:bidi="sq-AL"/>
        </w:rPr>
      </w:pPr>
      <w:r w:rsidRPr="0032048B">
        <w:rPr>
          <w:sz w:val="24"/>
          <w:szCs w:val="24"/>
          <w:lang w:val="sq-AL" w:bidi="sq-AL"/>
        </w:rPr>
        <w:t xml:space="preserve">Në vitin 2022, 6 991 shtetasve shqiptarë iu refuzua leja për të dalë nga territori shqiptar në pikat e kalimit kufitar, gjë që shënon 33% rritje krahasuar me vitin 2021. Numri i minorëve të cilëve u është refuzuar leja për të dalë nga territori u rrit me 19%, nga 343 në vitin 2021 në 423 në vitin 2022. Në tetë muajt e parë të vitit 2023, numri i të miturve që u është refuzuar leja për të dalë nga territori nuk ka ndryshuar në krahasim me të njëjtën periudhë gjatë vitit 2022. Kjo rritje i atribuohet forcimit të kontrollit në pikat e kalimit kufitar, dhe zbatimit të legjislacionit përkatës. Duhet të vijojnë aktivitetet e ndërgjegjësimit, si dhe trajtimi i arsyeve bazë, dialogu dhe bashkëpunimi i strukturuar me Vendet Anëtare të BE-së që janë prekur më shumë nga kërkesat për azil të pabazuara nga shtetasit shqiptarë. Komisioni po monitoron nga afër këtë prirje në kuadër të mekanizmit të pezullimit të vizave dhe ka dhënë një rekomandim për Shqipërinë në raportin e tij të gjashtë lidhur me mekanizmin e pezullimit të vizave. </w:t>
      </w:r>
    </w:p>
    <w:p w14:paraId="30AE1CFD" w14:textId="77777777" w:rsidR="00E6279B" w:rsidRPr="0032048B" w:rsidRDefault="00E6279B" w:rsidP="00E6279B">
      <w:pPr>
        <w:spacing w:before="119"/>
        <w:ind w:left="980" w:right="976"/>
        <w:jc w:val="both"/>
        <w:rPr>
          <w:sz w:val="24"/>
          <w:szCs w:val="24"/>
          <w:lang w:val="sq-AL"/>
        </w:rPr>
      </w:pPr>
      <w:r w:rsidRPr="0032048B">
        <w:rPr>
          <w:sz w:val="24"/>
          <w:szCs w:val="24"/>
          <w:lang w:val="sq-AL"/>
        </w:rPr>
        <w:t xml:space="preserve">Vëmendje më e madhe duhet t’i kushtohet </w:t>
      </w:r>
      <w:proofErr w:type="spellStart"/>
      <w:r w:rsidRPr="0032048B">
        <w:rPr>
          <w:sz w:val="24"/>
          <w:szCs w:val="24"/>
          <w:lang w:val="sq-AL"/>
        </w:rPr>
        <w:t>riintegrimit</w:t>
      </w:r>
      <w:proofErr w:type="spellEnd"/>
      <w:r w:rsidRPr="0032048B">
        <w:rPr>
          <w:sz w:val="24"/>
          <w:szCs w:val="24"/>
          <w:lang w:val="sq-AL"/>
        </w:rPr>
        <w:t xml:space="preserve"> të </w:t>
      </w:r>
      <w:proofErr w:type="spellStart"/>
      <w:r w:rsidRPr="0032048B">
        <w:rPr>
          <w:sz w:val="24"/>
          <w:szCs w:val="24"/>
          <w:lang w:val="sq-AL"/>
        </w:rPr>
        <w:t>të</w:t>
      </w:r>
      <w:proofErr w:type="spellEnd"/>
      <w:r w:rsidRPr="0032048B">
        <w:rPr>
          <w:sz w:val="24"/>
          <w:szCs w:val="24"/>
          <w:lang w:val="sq-AL"/>
        </w:rPr>
        <w:t xml:space="preserve"> kthyerve, veçanërisht njerëzve më të cenueshëm. Sportelet e migracionit të ngritura në bashkitë përkatëse duhet të </w:t>
      </w:r>
      <w:proofErr w:type="spellStart"/>
      <w:r w:rsidRPr="0032048B">
        <w:rPr>
          <w:sz w:val="24"/>
          <w:szCs w:val="24"/>
          <w:lang w:val="sq-AL"/>
        </w:rPr>
        <w:t>formalizohen</w:t>
      </w:r>
      <w:proofErr w:type="spellEnd"/>
      <w:r w:rsidRPr="0032048B">
        <w:rPr>
          <w:sz w:val="24"/>
          <w:szCs w:val="24"/>
          <w:lang w:val="sq-AL"/>
        </w:rPr>
        <w:t xml:space="preserve"> dhe të forcohen me qëllim lehtësimin e </w:t>
      </w:r>
      <w:proofErr w:type="spellStart"/>
      <w:r w:rsidRPr="0032048B">
        <w:rPr>
          <w:sz w:val="24"/>
          <w:szCs w:val="24"/>
          <w:lang w:val="sq-AL"/>
        </w:rPr>
        <w:t>riintegrimit</w:t>
      </w:r>
      <w:proofErr w:type="spellEnd"/>
      <w:r w:rsidRPr="0032048B">
        <w:rPr>
          <w:sz w:val="24"/>
          <w:szCs w:val="24"/>
          <w:lang w:val="sq-AL"/>
        </w:rPr>
        <w:t xml:space="preserve"> të </w:t>
      </w:r>
      <w:proofErr w:type="spellStart"/>
      <w:r w:rsidRPr="0032048B">
        <w:rPr>
          <w:sz w:val="24"/>
          <w:szCs w:val="24"/>
          <w:lang w:val="sq-AL"/>
        </w:rPr>
        <w:t>të</w:t>
      </w:r>
      <w:proofErr w:type="spellEnd"/>
      <w:r w:rsidRPr="0032048B">
        <w:rPr>
          <w:sz w:val="24"/>
          <w:szCs w:val="24"/>
          <w:lang w:val="sq-AL"/>
        </w:rPr>
        <w:t xml:space="preserve"> kthyerve, si dhe më shumë oficerë policie duhet të trajnohen për të shoqëruar të kthyerit në Shqipëri.</w:t>
      </w:r>
    </w:p>
    <w:p w14:paraId="229AD993" w14:textId="77777777" w:rsidR="00E6279B" w:rsidRPr="0032048B" w:rsidRDefault="00E6279B" w:rsidP="00E6279B">
      <w:pPr>
        <w:spacing w:before="119"/>
        <w:ind w:left="980" w:right="976"/>
        <w:jc w:val="both"/>
        <w:rPr>
          <w:sz w:val="24"/>
          <w:szCs w:val="24"/>
          <w:lang w:val="sq-AL"/>
        </w:rPr>
      </w:pPr>
      <w:r w:rsidRPr="0032048B">
        <w:rPr>
          <w:sz w:val="24"/>
          <w:szCs w:val="24"/>
          <w:lang w:val="sq-AL"/>
        </w:rPr>
        <w:t xml:space="preserve"> </w:t>
      </w:r>
    </w:p>
    <w:p w14:paraId="299990B4" w14:textId="77777777" w:rsidR="00E6279B" w:rsidRPr="0032048B" w:rsidRDefault="00E6279B" w:rsidP="00E6279B">
      <w:pPr>
        <w:spacing w:before="120"/>
        <w:ind w:left="980"/>
        <w:jc w:val="both"/>
        <w:outlineLvl w:val="0"/>
        <w:rPr>
          <w:b/>
          <w:bCs/>
          <w:sz w:val="24"/>
          <w:szCs w:val="24"/>
          <w:lang w:val="sq-AL"/>
        </w:rPr>
      </w:pPr>
      <w:r w:rsidRPr="0032048B">
        <w:rPr>
          <w:b/>
          <w:bCs/>
          <w:spacing w:val="-2"/>
          <w:sz w:val="24"/>
          <w:szCs w:val="24"/>
          <w:lang w:val="sq-AL"/>
        </w:rPr>
        <w:t xml:space="preserve">Kufijtë me </w:t>
      </w:r>
      <w:proofErr w:type="spellStart"/>
      <w:r w:rsidRPr="0032048B">
        <w:rPr>
          <w:b/>
          <w:bCs/>
          <w:spacing w:val="-2"/>
          <w:sz w:val="24"/>
          <w:szCs w:val="24"/>
          <w:lang w:val="sq-AL"/>
        </w:rPr>
        <w:t>Shengenin</w:t>
      </w:r>
      <w:proofErr w:type="spellEnd"/>
      <w:r w:rsidRPr="0032048B">
        <w:rPr>
          <w:b/>
          <w:bCs/>
          <w:spacing w:val="-2"/>
          <w:sz w:val="24"/>
          <w:szCs w:val="24"/>
          <w:lang w:val="sq-AL"/>
        </w:rPr>
        <w:t xml:space="preserve"> dhe kufijtë e jashtëm</w:t>
      </w:r>
    </w:p>
    <w:p w14:paraId="03511AFE" w14:textId="77777777" w:rsidR="00E6279B" w:rsidRPr="0032048B" w:rsidRDefault="00E6279B" w:rsidP="00E6279B">
      <w:pPr>
        <w:spacing w:before="120"/>
        <w:ind w:left="980"/>
        <w:jc w:val="both"/>
        <w:rPr>
          <w:sz w:val="24"/>
          <w:szCs w:val="24"/>
          <w:lang w:val="sq-AL"/>
        </w:rPr>
      </w:pPr>
      <w:r w:rsidRPr="0032048B">
        <w:rPr>
          <w:spacing w:val="-2"/>
          <w:sz w:val="24"/>
          <w:szCs w:val="24"/>
          <w:u w:val="single"/>
          <w:lang w:val="sq-AL"/>
        </w:rPr>
        <w:t>Organizimi institucional dhe harmonizimi ligjor</w:t>
      </w:r>
    </w:p>
    <w:p w14:paraId="59852E54" w14:textId="77777777" w:rsidR="00E6279B" w:rsidRPr="0032048B" w:rsidRDefault="00E6279B" w:rsidP="00E6279B">
      <w:pPr>
        <w:spacing w:before="120"/>
        <w:ind w:left="980" w:right="976"/>
        <w:jc w:val="both"/>
        <w:rPr>
          <w:sz w:val="24"/>
          <w:szCs w:val="24"/>
          <w:lang w:val="sq-AL" w:eastAsia="en-GB"/>
        </w:rPr>
      </w:pPr>
      <w:r w:rsidRPr="0032048B">
        <w:rPr>
          <w:b/>
          <w:sz w:val="24"/>
          <w:szCs w:val="24"/>
          <w:lang w:val="sq-AL" w:bidi="sq-AL"/>
        </w:rPr>
        <w:t>Kuadri legjislativ</w:t>
      </w:r>
      <w:r w:rsidRPr="0032048B">
        <w:rPr>
          <w:sz w:val="24"/>
          <w:szCs w:val="24"/>
          <w:lang w:val="sq-AL" w:bidi="sq-AL"/>
        </w:rPr>
        <w:t xml:space="preserve"> për menaxhimin e kufijve të jashtëm të Shqipërisë nuk është ende i përafruar plotësisht me standardet e BE-së, ndërsa strategjia e saj për Menaxhimin e Integruar të Kufijve 2021-2027 dhe plani i veprimit 2021-2023 janë më së shumti të përafruara. Ligji për kontrollin e kufijve që prezantoi rregullat për informacionin e avancuar për pasagjerin dhe regjistrimin e emrit të pasagjerit (REP) në legjislacionin shqiptar nuk është në përputhje me </w:t>
      </w:r>
      <w:proofErr w:type="spellStart"/>
      <w:r w:rsidRPr="0032048B">
        <w:rPr>
          <w:i/>
          <w:sz w:val="24"/>
          <w:szCs w:val="24"/>
          <w:lang w:val="sq-AL" w:bidi="sq-AL"/>
        </w:rPr>
        <w:t>acquis</w:t>
      </w:r>
      <w:proofErr w:type="spellEnd"/>
      <w:r w:rsidRPr="0032048B">
        <w:rPr>
          <w:i/>
          <w:sz w:val="24"/>
          <w:szCs w:val="24"/>
          <w:lang w:val="sq-AL" w:bidi="sq-AL"/>
        </w:rPr>
        <w:t>-në</w:t>
      </w:r>
      <w:r w:rsidRPr="0032048B">
        <w:rPr>
          <w:sz w:val="24"/>
          <w:szCs w:val="24"/>
          <w:lang w:val="sq-AL" w:bidi="sq-AL"/>
        </w:rPr>
        <w:t xml:space="preserve"> e BE-së. Në shkurt të vitit 2022 është ngritur një njësi e informacionit të pasagjerit në Policinë e Shtetit të Shqipërisë. Autoritetet shqiptare janë në dijeni se transmetimi i të dhënave REP nga BE-ja në Shqipëri nuk është i mundur me kuadrin ligjor aktual.</w:t>
      </w:r>
    </w:p>
    <w:p w14:paraId="654F453A" w14:textId="77777777" w:rsidR="00E6279B" w:rsidRPr="0032048B" w:rsidRDefault="00E6279B" w:rsidP="00E6279B">
      <w:pPr>
        <w:spacing w:before="120"/>
        <w:ind w:left="980"/>
        <w:jc w:val="both"/>
        <w:rPr>
          <w:sz w:val="24"/>
          <w:szCs w:val="24"/>
          <w:lang w:val="sq-AL"/>
        </w:rPr>
      </w:pPr>
      <w:r w:rsidRPr="0032048B">
        <w:rPr>
          <w:spacing w:val="-2"/>
          <w:sz w:val="24"/>
          <w:szCs w:val="24"/>
          <w:u w:val="single"/>
          <w:lang w:val="sq-AL"/>
        </w:rPr>
        <w:t>Zbatimi dhe kapaciteti zbatues</w:t>
      </w:r>
    </w:p>
    <w:p w14:paraId="2D1FA474" w14:textId="77777777" w:rsidR="00E6279B" w:rsidRPr="0032048B" w:rsidRDefault="00E6279B" w:rsidP="00E6279B">
      <w:pPr>
        <w:spacing w:before="120"/>
        <w:ind w:left="980" w:right="976"/>
        <w:jc w:val="both"/>
        <w:rPr>
          <w:sz w:val="24"/>
          <w:szCs w:val="24"/>
          <w:highlight w:val="yellow"/>
          <w:lang w:val="sq-AL"/>
        </w:rPr>
      </w:pPr>
      <w:r w:rsidRPr="0032048B">
        <w:rPr>
          <w:sz w:val="24"/>
          <w:szCs w:val="24"/>
          <w:lang w:val="sq-AL" w:bidi="sq-AL"/>
        </w:rPr>
        <w:t xml:space="preserve">Shqipëria është angazhuar për modernizimin e infrastrukturës kufitare dhe për përmirësimin e </w:t>
      </w:r>
      <w:r w:rsidRPr="0032048B">
        <w:rPr>
          <w:sz w:val="24"/>
          <w:szCs w:val="24"/>
          <w:lang w:val="sq-AL" w:bidi="sq-AL"/>
        </w:rPr>
        <w:lastRenderedPageBreak/>
        <w:t xml:space="preserve">mbikëqyrjes së kufijve. Me mbështetjen e BE-së, Shqipëria ka përmirësuar mbulimin me radar për mbikëqyrjen e kufirit blu. Duhet të ketë </w:t>
      </w:r>
      <w:proofErr w:type="spellStart"/>
      <w:r w:rsidRPr="0032048B">
        <w:rPr>
          <w:sz w:val="24"/>
          <w:szCs w:val="24"/>
          <w:lang w:val="sq-AL" w:bidi="sq-AL"/>
        </w:rPr>
        <w:t>përjekje</w:t>
      </w:r>
      <w:proofErr w:type="spellEnd"/>
      <w:r w:rsidRPr="0032048B">
        <w:rPr>
          <w:sz w:val="24"/>
          <w:szCs w:val="24"/>
          <w:lang w:val="sq-AL" w:bidi="sq-AL"/>
        </w:rPr>
        <w:t xml:space="preserve"> të mëtejshme për ta plotësuar këtë </w:t>
      </w:r>
      <w:proofErr w:type="spellStart"/>
      <w:r w:rsidRPr="0032048B">
        <w:rPr>
          <w:sz w:val="24"/>
          <w:szCs w:val="24"/>
          <w:lang w:val="sq-AL" w:bidi="sq-AL"/>
        </w:rPr>
        <w:t>mbulin</w:t>
      </w:r>
      <w:proofErr w:type="spellEnd"/>
      <w:r w:rsidRPr="0032048B">
        <w:rPr>
          <w:sz w:val="24"/>
          <w:szCs w:val="24"/>
          <w:lang w:val="sq-AL" w:bidi="sq-AL"/>
        </w:rPr>
        <w:t xml:space="preserve"> dhe për të krijuar një sallë komande-dhe-kontrolli për mbledhjen e informacioneve të bazuara në situata nga niveli rajonal dhe për lejimin e ndërhyrjeve të koordinuara nga niveli qendror. Shqipëria duhet të ngrejë një sistem për analizimin e riskut të bazuar në modelin e Analizës së Përbashkët të Riskut të Integruar, të zhvilluar nga </w:t>
      </w:r>
      <w:proofErr w:type="spellStart"/>
      <w:r w:rsidRPr="0032048B">
        <w:rPr>
          <w:sz w:val="24"/>
          <w:szCs w:val="24"/>
          <w:lang w:val="sq-AL" w:bidi="sq-AL"/>
        </w:rPr>
        <w:t>Frontex</w:t>
      </w:r>
      <w:proofErr w:type="spellEnd"/>
      <w:r w:rsidRPr="0032048B">
        <w:rPr>
          <w:sz w:val="24"/>
          <w:szCs w:val="24"/>
          <w:lang w:val="sq-AL" w:bidi="sq-AL"/>
        </w:rPr>
        <w:t>-i.</w:t>
      </w:r>
    </w:p>
    <w:p w14:paraId="31F4BC93" w14:textId="77777777" w:rsidR="00E6279B" w:rsidRPr="0032048B" w:rsidRDefault="00E6279B" w:rsidP="00E6279B">
      <w:pPr>
        <w:spacing w:before="120"/>
        <w:ind w:left="979" w:right="977"/>
        <w:jc w:val="both"/>
        <w:rPr>
          <w:sz w:val="24"/>
          <w:szCs w:val="24"/>
          <w:lang w:val="sq-AL"/>
        </w:rPr>
      </w:pPr>
      <w:r w:rsidRPr="0032048B">
        <w:rPr>
          <w:sz w:val="24"/>
          <w:szCs w:val="24"/>
          <w:lang w:val="sq-AL"/>
        </w:rPr>
        <w:t xml:space="preserve">Në vitin 2022, janë regjistruar 418 vepra penale për asistim të kalimit kufitar të paligjshëm (29 më shumë se në 2021) dhe 631 të </w:t>
      </w:r>
      <w:proofErr w:type="spellStart"/>
      <w:r w:rsidRPr="0032048B">
        <w:rPr>
          <w:sz w:val="24"/>
          <w:szCs w:val="24"/>
          <w:lang w:val="sq-AL"/>
        </w:rPr>
        <w:t>të</w:t>
      </w:r>
      <w:proofErr w:type="spellEnd"/>
      <w:r w:rsidRPr="0032048B">
        <w:rPr>
          <w:sz w:val="24"/>
          <w:szCs w:val="24"/>
          <w:lang w:val="sq-AL"/>
        </w:rPr>
        <w:t xml:space="preserve"> pandehur janë ndjekur penalisht, 321 prej të cilëve janë arrestuar dhe ndaluar.</w:t>
      </w:r>
    </w:p>
    <w:p w14:paraId="14F3235B" w14:textId="77777777" w:rsidR="00E6279B" w:rsidRPr="0032048B" w:rsidRDefault="00E6279B" w:rsidP="00E6279B">
      <w:pPr>
        <w:spacing w:before="120"/>
        <w:ind w:left="979" w:right="977"/>
        <w:jc w:val="both"/>
        <w:rPr>
          <w:sz w:val="24"/>
          <w:szCs w:val="24"/>
          <w:lang w:val="sq-AL"/>
        </w:rPr>
      </w:pPr>
      <w:r w:rsidRPr="0032048B">
        <w:rPr>
          <w:sz w:val="24"/>
          <w:szCs w:val="24"/>
          <w:lang w:val="sq-AL"/>
        </w:rPr>
        <w:t xml:space="preserve">Si pjesë e reformës organizative dhe strukturore të Policisë së Shtetit, është krijuar një sektor hetimor në Policinë e Kufirit dhe Migracionit, i cili ka për qëllim parandalimin, zbulimin dhe trajtimin e aktivitetet të jashtëligjshëm ndërkufitar, përfshi </w:t>
      </w:r>
      <w:proofErr w:type="spellStart"/>
      <w:r w:rsidRPr="0032048B">
        <w:rPr>
          <w:sz w:val="24"/>
          <w:szCs w:val="24"/>
          <w:lang w:val="sq-AL"/>
        </w:rPr>
        <w:t>kontrabandimin</w:t>
      </w:r>
      <w:proofErr w:type="spellEnd"/>
      <w:r w:rsidRPr="0032048B">
        <w:rPr>
          <w:sz w:val="24"/>
          <w:szCs w:val="24"/>
          <w:lang w:val="sq-AL"/>
        </w:rPr>
        <w:t xml:space="preserve"> e njerëzve dhe trafikimin e qenieve njerëzore. Ky është një zhvillim mjaft pozitiv.</w:t>
      </w:r>
    </w:p>
    <w:p w14:paraId="4EA00644" w14:textId="670C3DBC" w:rsidR="00E6279B" w:rsidRPr="0032048B" w:rsidRDefault="00E6279B" w:rsidP="00E6279B">
      <w:pPr>
        <w:spacing w:before="120"/>
        <w:ind w:left="979" w:right="977"/>
        <w:jc w:val="both"/>
        <w:rPr>
          <w:sz w:val="24"/>
          <w:szCs w:val="24"/>
          <w:lang w:val="sq-AL"/>
        </w:rPr>
      </w:pPr>
      <w:r w:rsidRPr="0032048B">
        <w:rPr>
          <w:sz w:val="24"/>
          <w:szCs w:val="24"/>
          <w:lang w:val="sq-AL" w:bidi="sq-AL"/>
        </w:rPr>
        <w:t xml:space="preserve">Shqipëria vazhdon të marrë pjesë në mënyrë aktive në Rrjetin e Analizës së Riskut të Ballkanit Perëndimor. </w:t>
      </w:r>
      <w:r w:rsidRPr="0032048B">
        <w:rPr>
          <w:b/>
          <w:sz w:val="24"/>
          <w:szCs w:val="24"/>
          <w:lang w:val="sq-AL" w:bidi="sq-AL"/>
        </w:rPr>
        <w:t xml:space="preserve">Bashkëpunimi </w:t>
      </w:r>
      <w:proofErr w:type="spellStart"/>
      <w:r w:rsidRPr="0032048B">
        <w:rPr>
          <w:b/>
          <w:sz w:val="24"/>
          <w:szCs w:val="24"/>
          <w:lang w:val="sq-AL" w:bidi="sq-AL"/>
        </w:rPr>
        <w:t>operacional</w:t>
      </w:r>
      <w:proofErr w:type="spellEnd"/>
      <w:r w:rsidRPr="0032048B">
        <w:rPr>
          <w:b/>
          <w:sz w:val="24"/>
          <w:szCs w:val="24"/>
          <w:lang w:val="sq-AL" w:bidi="sq-AL"/>
        </w:rPr>
        <w:t xml:space="preserve"> me vendet fqinje</w:t>
      </w:r>
      <w:r w:rsidRPr="0032048B">
        <w:rPr>
          <w:sz w:val="24"/>
          <w:szCs w:val="24"/>
          <w:lang w:val="sq-AL" w:bidi="sq-AL"/>
        </w:rPr>
        <w:t xml:space="preserve"> vijon të jetë i mirë. Në vitin 2022, në lidhje me protokollet përkatëse, janë kryer 976 patrullime të përbashkëta me oficerë të policisë kufitare nga Mali i Zi, </w:t>
      </w:r>
      <w:proofErr w:type="spellStart"/>
      <w:r w:rsidRPr="0032048B">
        <w:rPr>
          <w:sz w:val="24"/>
          <w:szCs w:val="24"/>
          <w:lang w:val="sq-AL" w:bidi="sq-AL"/>
        </w:rPr>
        <w:t>Kosovo</w:t>
      </w:r>
      <w:proofErr w:type="spellEnd"/>
      <w:r w:rsidRPr="0032048B">
        <w:rPr>
          <w:lang w:val="sq-AL"/>
        </w:rPr>
        <w:fldChar w:fldCharType="begin"/>
      </w:r>
      <w:r w:rsidRPr="0032048B">
        <w:rPr>
          <w:lang w:val="sq-AL"/>
        </w:rPr>
        <w:instrText>HYPERLINK \l "_bookmark14"</w:instrText>
      </w:r>
      <w:r w:rsidRPr="0032048B">
        <w:rPr>
          <w:lang w:val="sq-AL"/>
        </w:rPr>
      </w:r>
      <w:r w:rsidRPr="0032048B">
        <w:rPr>
          <w:lang w:val="sq-AL"/>
        </w:rPr>
        <w:fldChar w:fldCharType="separate"/>
      </w:r>
      <w:r w:rsidRPr="0032048B">
        <w:rPr>
          <w:sz w:val="24"/>
          <w:szCs w:val="24"/>
          <w:vertAlign w:val="superscript"/>
          <w:lang w:val="sq-AL"/>
        </w:rPr>
        <w:t>*</w:t>
      </w:r>
      <w:r w:rsidRPr="0032048B">
        <w:rPr>
          <w:sz w:val="24"/>
          <w:szCs w:val="24"/>
          <w:vertAlign w:val="superscript"/>
          <w:lang w:val="sq-AL"/>
        </w:rPr>
        <w:fldChar w:fldCharType="end"/>
      </w:r>
      <w:r w:rsidRPr="0032048B">
        <w:rPr>
          <w:sz w:val="24"/>
          <w:szCs w:val="24"/>
          <w:lang w:val="sq-AL"/>
        </w:rPr>
        <w:t xml:space="preserve">, Maqedonia e Veriut dhe </w:t>
      </w:r>
      <w:proofErr w:type="spellStart"/>
      <w:r w:rsidRPr="0032048B">
        <w:rPr>
          <w:i/>
          <w:iCs/>
          <w:sz w:val="24"/>
          <w:szCs w:val="24"/>
          <w:lang w:val="sq-AL"/>
        </w:rPr>
        <w:t>Guardia</w:t>
      </w:r>
      <w:proofErr w:type="spellEnd"/>
      <w:r w:rsidRPr="0032048B">
        <w:rPr>
          <w:i/>
          <w:iCs/>
          <w:sz w:val="24"/>
          <w:szCs w:val="24"/>
          <w:lang w:val="sq-AL"/>
        </w:rPr>
        <w:t xml:space="preserve"> di </w:t>
      </w:r>
      <w:proofErr w:type="spellStart"/>
      <w:r w:rsidRPr="0032048B">
        <w:rPr>
          <w:i/>
          <w:iCs/>
          <w:sz w:val="24"/>
          <w:szCs w:val="24"/>
          <w:lang w:val="sq-AL"/>
        </w:rPr>
        <w:t>Finanza</w:t>
      </w:r>
      <w:proofErr w:type="spellEnd"/>
      <w:r w:rsidRPr="0032048B">
        <w:rPr>
          <w:sz w:val="24"/>
          <w:szCs w:val="24"/>
          <w:lang w:val="sq-AL"/>
        </w:rPr>
        <w:t xml:space="preserve"> e Italisë; nga 920 të kryera në vitin 2021. Në kufirin e gjelbër, janë kryer 592 patrullime të përbashkëta, ndërkohë që janë kryer 384 patrullime të përbashkëta në kufirin detar me Italinë. Në prill të vitit 2023, u inaugurua një qendër e përbashkët për bashkëpunimin policor dhe doganor me Greqinë në zonën kufitare të Kakavijës. Gjithashtu, në shkurt të vitit 2023, u firmos një marrëveshje me Malin e Zi për krijimin e një pike të përbashkët të kalimit kufitar në Shën </w:t>
      </w:r>
      <w:proofErr w:type="spellStart"/>
      <w:r w:rsidRPr="0032048B">
        <w:rPr>
          <w:sz w:val="24"/>
          <w:szCs w:val="24"/>
          <w:lang w:val="sq-AL"/>
        </w:rPr>
        <w:t>Nikolla-Pulaj</w:t>
      </w:r>
      <w:proofErr w:type="spellEnd"/>
      <w:r w:rsidRPr="0032048B">
        <w:rPr>
          <w:sz w:val="24"/>
          <w:szCs w:val="24"/>
          <w:lang w:val="sq-AL"/>
        </w:rPr>
        <w:t>, dhe në nëntor të vitit 2022,</w:t>
      </w:r>
      <w:r w:rsidR="004D53EC">
        <w:rPr>
          <w:sz w:val="24"/>
          <w:szCs w:val="24"/>
          <w:lang w:val="sq-AL"/>
        </w:rPr>
        <w:t xml:space="preserve"> </w:t>
      </w:r>
      <w:r w:rsidRPr="0032048B">
        <w:rPr>
          <w:sz w:val="24"/>
          <w:szCs w:val="24"/>
          <w:lang w:val="sq-AL"/>
        </w:rPr>
        <w:t>u firmos një protokoll zbatimi me Maqedoninë e Veriut për pikën e përbashkët të kalimit kufitar në Qafë Thanë/</w:t>
      </w:r>
      <w:proofErr w:type="spellStart"/>
      <w:r w:rsidRPr="0032048B">
        <w:rPr>
          <w:sz w:val="24"/>
          <w:szCs w:val="24"/>
          <w:lang w:val="sq-AL"/>
        </w:rPr>
        <w:t>Kjafasan</w:t>
      </w:r>
      <w:proofErr w:type="spellEnd"/>
      <w:r w:rsidRPr="0032048B">
        <w:rPr>
          <w:sz w:val="24"/>
          <w:szCs w:val="24"/>
          <w:lang w:val="sq-AL"/>
        </w:rPr>
        <w:t xml:space="preserve">. </w:t>
      </w:r>
    </w:p>
    <w:p w14:paraId="6C1D3EFC" w14:textId="77777777" w:rsidR="00E6279B" w:rsidRPr="0032048B" w:rsidRDefault="00E6279B" w:rsidP="00E6279B">
      <w:pPr>
        <w:spacing w:before="120"/>
        <w:ind w:left="980" w:right="976"/>
        <w:jc w:val="both"/>
        <w:rPr>
          <w:sz w:val="24"/>
          <w:szCs w:val="24"/>
          <w:lang w:val="sq-AL"/>
        </w:rPr>
      </w:pPr>
      <w:r w:rsidRPr="0032048B">
        <w:rPr>
          <w:sz w:val="24"/>
          <w:szCs w:val="24"/>
          <w:lang w:val="sq-AL"/>
        </w:rPr>
        <w:t xml:space="preserve">Zbatimi i suksesshëm i operacionit të përbashkët të </w:t>
      </w:r>
      <w:proofErr w:type="spellStart"/>
      <w:r w:rsidRPr="0032048B">
        <w:rPr>
          <w:sz w:val="24"/>
          <w:szCs w:val="24"/>
          <w:lang w:val="sq-AL"/>
        </w:rPr>
        <w:t>Frontex</w:t>
      </w:r>
      <w:proofErr w:type="spellEnd"/>
      <w:r w:rsidRPr="0032048B">
        <w:rPr>
          <w:sz w:val="24"/>
          <w:szCs w:val="24"/>
          <w:lang w:val="sq-AL"/>
        </w:rPr>
        <w:t xml:space="preserve">-it në tokën dhe detin shqiptar vazhdoi në vitin 2022 nën Marrëveshjen aktuale të Statusit BE-Shqipëri. Marrëveshja e përditësuar e Statusit BE-Shqipëri u firmos në shtator të vitit 2023, dhe lejon që skuadrat e Agjencisë Evropiane të Kufirit dhe Rojeve Bregdetare me fuqi ekzekutive të dërgohen në kufijtë që nuk janë pjesë e BE-së. Në qershor të vitit 2023, Ministria e Punëve të Brendshme e Shqipërisë dhe </w:t>
      </w:r>
      <w:proofErr w:type="spellStart"/>
      <w:r w:rsidRPr="0032048B">
        <w:rPr>
          <w:sz w:val="24"/>
          <w:szCs w:val="24"/>
          <w:lang w:val="sq-AL"/>
        </w:rPr>
        <w:t>Frontex</w:t>
      </w:r>
      <w:proofErr w:type="spellEnd"/>
      <w:r w:rsidRPr="0032048B">
        <w:rPr>
          <w:sz w:val="24"/>
          <w:szCs w:val="24"/>
          <w:lang w:val="sq-AL"/>
        </w:rPr>
        <w:t xml:space="preserve">-i firmosën një memorandum mirëkuptimi për krijimin e një mekanizmi ankesash për mbrojtjen e të drejtave themelore. </w:t>
      </w:r>
    </w:p>
    <w:p w14:paraId="3906330C" w14:textId="77777777" w:rsidR="00E6279B" w:rsidRPr="0032048B" w:rsidRDefault="00E6279B" w:rsidP="00E6279B">
      <w:pPr>
        <w:spacing w:before="120"/>
        <w:ind w:left="980" w:right="976"/>
        <w:jc w:val="both"/>
        <w:rPr>
          <w:sz w:val="24"/>
          <w:szCs w:val="24"/>
          <w:lang w:val="sq-AL" w:bidi="sq-AL"/>
        </w:rPr>
      </w:pPr>
      <w:r w:rsidRPr="0032048B">
        <w:rPr>
          <w:sz w:val="24"/>
          <w:szCs w:val="24"/>
          <w:lang w:val="sq-AL"/>
        </w:rPr>
        <w:t xml:space="preserve">Shqipëria duhet të garantojë që sistemi i identifikimit personal, krahasimit të sigurt dhe vlerësimit (PISCES) të funksionojë në harmoni me </w:t>
      </w:r>
      <w:proofErr w:type="spellStart"/>
      <w:r w:rsidRPr="0032048B">
        <w:rPr>
          <w:sz w:val="24"/>
          <w:szCs w:val="24"/>
          <w:lang w:val="sq-AL"/>
        </w:rPr>
        <w:t>acquis</w:t>
      </w:r>
      <w:proofErr w:type="spellEnd"/>
      <w:r w:rsidRPr="0032048B">
        <w:rPr>
          <w:sz w:val="24"/>
          <w:szCs w:val="24"/>
          <w:lang w:val="sq-AL"/>
        </w:rPr>
        <w:t xml:space="preserve">-në e BE-së lidhur me mbrojtjen e të dhënave personale. Në vitin 2022, </w:t>
      </w:r>
      <w:r w:rsidRPr="0032048B">
        <w:rPr>
          <w:sz w:val="24"/>
          <w:szCs w:val="24"/>
          <w:lang w:val="sq-AL" w:bidi="sq-AL"/>
        </w:rPr>
        <w:t>Departamenti për Kufirin dhe Migracionin nxori 14 masa disiplinore serioze kundër oficerëve të policisë kufitare për korrupsion dhe shpërdorim detyre, numër ky pak më i ulët se në vitin 2021 (16).</w:t>
      </w:r>
    </w:p>
    <w:p w14:paraId="3DE1239C" w14:textId="77777777" w:rsidR="00E6279B" w:rsidRPr="0032048B" w:rsidRDefault="00E6279B" w:rsidP="00E6279B">
      <w:pPr>
        <w:spacing w:before="120"/>
        <w:ind w:left="980" w:right="976"/>
        <w:jc w:val="both"/>
        <w:rPr>
          <w:sz w:val="24"/>
          <w:szCs w:val="24"/>
          <w:lang w:val="sq-AL"/>
        </w:rPr>
      </w:pPr>
      <w:r w:rsidRPr="0032048B">
        <w:rPr>
          <w:sz w:val="24"/>
          <w:szCs w:val="24"/>
          <w:lang w:val="sq-AL"/>
        </w:rPr>
        <w:t>Në gusht të vitit 2023, prodhimi dhe dorëzimi i dokumenteve biometrike shqiptare u zhvendos nga një kompani private e huaj në një agjenci shtetërore të re. Shqipëria duhet të garantojë që ajo do të respektojë standardet dhe procedurat ndërkombëtare për prodhimin dhe lëshimin e dokumenteve identifikuese të sigurta.</w:t>
      </w:r>
    </w:p>
    <w:p w14:paraId="011FDFC2" w14:textId="77777777" w:rsidR="00E6279B" w:rsidRPr="0032048B" w:rsidRDefault="00E6279B" w:rsidP="00E6279B">
      <w:pPr>
        <w:rPr>
          <w:sz w:val="20"/>
          <w:szCs w:val="24"/>
          <w:highlight w:val="yellow"/>
          <w:lang w:val="sq-AL"/>
        </w:rPr>
      </w:pPr>
    </w:p>
    <w:p w14:paraId="3ED7BEEA" w14:textId="77777777" w:rsidR="00E6279B" w:rsidRPr="0032048B" w:rsidRDefault="00E6279B" w:rsidP="00E6279B">
      <w:pPr>
        <w:rPr>
          <w:sz w:val="20"/>
          <w:szCs w:val="24"/>
          <w:highlight w:val="yellow"/>
          <w:lang w:val="sq-AL"/>
        </w:rPr>
      </w:pPr>
    </w:p>
    <w:p w14:paraId="75C3DBA4" w14:textId="77777777" w:rsidR="00E6279B" w:rsidRPr="0032048B" w:rsidRDefault="00E6279B" w:rsidP="00E6279B">
      <w:pPr>
        <w:rPr>
          <w:sz w:val="20"/>
          <w:szCs w:val="24"/>
          <w:highlight w:val="yellow"/>
          <w:lang w:val="sq-AL"/>
        </w:rPr>
      </w:pPr>
    </w:p>
    <w:p w14:paraId="75CE1690" w14:textId="77777777" w:rsidR="00E6279B" w:rsidRPr="0032048B" w:rsidRDefault="00E6279B" w:rsidP="00E6279B">
      <w:pPr>
        <w:rPr>
          <w:sz w:val="20"/>
          <w:szCs w:val="24"/>
          <w:highlight w:val="yellow"/>
          <w:lang w:val="sq-AL"/>
        </w:rPr>
      </w:pPr>
    </w:p>
    <w:p w14:paraId="7E449968" w14:textId="1CD8CECA" w:rsidR="00E6279B" w:rsidRPr="0032048B" w:rsidRDefault="00E6279B" w:rsidP="00E6279B">
      <w:pPr>
        <w:rPr>
          <w:sz w:val="20"/>
          <w:szCs w:val="24"/>
          <w:highlight w:val="yellow"/>
          <w:lang w:val="sq-AL"/>
        </w:rPr>
      </w:pPr>
    </w:p>
    <w:p w14:paraId="28BE17CE" w14:textId="3BC3F6B4" w:rsidR="00E6279B" w:rsidRPr="0032048B" w:rsidRDefault="00CC77B5" w:rsidP="00E6279B">
      <w:pPr>
        <w:rPr>
          <w:sz w:val="20"/>
          <w:szCs w:val="24"/>
          <w:highlight w:val="yellow"/>
          <w:lang w:val="sq-AL"/>
        </w:rPr>
      </w:pPr>
      <w:r w:rsidRPr="0032048B">
        <w:rPr>
          <w:sz w:val="24"/>
          <w:szCs w:val="24"/>
          <w:highlight w:val="yellow"/>
          <w:lang w:val="sq-AL"/>
        </w:rPr>
        <mc:AlternateContent>
          <mc:Choice Requires="wps">
            <w:drawing>
              <wp:anchor distT="0" distB="0" distL="0" distR="0" simplePos="0" relativeHeight="251667456" behindDoc="1" locked="0" layoutInCell="1" allowOverlap="1" wp14:anchorId="512F8920" wp14:editId="00AF68E9">
                <wp:simplePos x="0" y="0"/>
                <wp:positionH relativeFrom="page">
                  <wp:posOffset>923925</wp:posOffset>
                </wp:positionH>
                <wp:positionV relativeFrom="paragraph">
                  <wp:posOffset>203835</wp:posOffset>
                </wp:positionV>
                <wp:extent cx="1828800" cy="9525"/>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209562" id="Graphic 87" o:spid="_x0000_s1026" style="position:absolute;margin-left:72.75pt;margin-top:16.05pt;width:2in;height:.75pt;z-index:-25164902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" path="m1828800,l,,,9144r1828800,l1828800,xe" fillcolor="black" stroked="f">
                <v:path arrowok="t"/>
                <w10:wrap type="topAndBottom" anchorx="page"/>
              </v:shape>
            </w:pict>
          </mc:Fallback>
        </mc:AlternateContent>
      </w:r>
    </w:p>
    <w:p w14:paraId="6C36A141" w14:textId="0655533D" w:rsidR="00CC77B5" w:rsidRPr="0032048B" w:rsidRDefault="00CC77B5" w:rsidP="00CC77B5">
      <w:pPr>
        <w:spacing w:before="98"/>
        <w:ind w:left="980" w:right="972" w:hanging="1"/>
        <w:rPr>
          <w:sz w:val="20"/>
          <w:highlight w:val="yellow"/>
          <w:lang w:val="sq-AL"/>
        </w:rPr>
      </w:pPr>
      <w:r w:rsidRPr="0032048B">
        <w:rPr>
          <w:rFonts w:ascii="Calibri"/>
          <w:sz w:val="20"/>
          <w:vertAlign w:val="superscript"/>
          <w:lang w:val="sq-AL"/>
        </w:rPr>
        <w:t>*</w:t>
      </w:r>
      <w:r w:rsidRPr="0032048B">
        <w:rPr>
          <w:rFonts w:ascii="Calibri"/>
          <w:spacing w:val="-1"/>
          <w:sz w:val="20"/>
          <w:lang w:val="sq-AL"/>
        </w:rPr>
        <w:t xml:space="preserve"> </w:t>
      </w:r>
      <w:r w:rsidRPr="0032048B">
        <w:rPr>
          <w:sz w:val="20"/>
          <w:lang w:val="sq-AL"/>
        </w:rPr>
        <w:t>Ky përcaktim është pa asnjë paragjykim ndaj pozicionit të statusit, dhe në përputhje me UNSCR 1244(1999) dhe me Opinionin ICJ në deklaratën e Kosovës për pavarësi.</w:t>
      </w:r>
    </w:p>
    <w:p w14:paraId="334F6077" w14:textId="5BA749B8" w:rsidR="00E6279B" w:rsidRPr="0032048B" w:rsidRDefault="00E6279B" w:rsidP="00E6279B">
      <w:pPr>
        <w:rPr>
          <w:sz w:val="20"/>
          <w:szCs w:val="24"/>
          <w:highlight w:val="yellow"/>
          <w:lang w:val="sq-AL"/>
        </w:rPr>
        <w:sectPr w:rsidR="00E6279B" w:rsidRPr="0032048B">
          <w:pgSz w:w="11910" w:h="16840"/>
          <w:pgMar w:top="1360" w:right="460" w:bottom="1440" w:left="460" w:header="0" w:footer="1248" w:gutter="0"/>
          <w:cols w:space="720"/>
        </w:sectPr>
      </w:pPr>
      <w:bookmarkStart w:id="29" w:name="_bookmark14"/>
      <w:bookmarkEnd w:id="29"/>
    </w:p>
    <w:p w14:paraId="07347F30" w14:textId="77777777" w:rsidR="00E6279B" w:rsidRPr="0032048B" w:rsidRDefault="00E6279B" w:rsidP="00E6279B">
      <w:pPr>
        <w:numPr>
          <w:ilvl w:val="1"/>
          <w:numId w:val="6"/>
        </w:numPr>
        <w:tabs>
          <w:tab w:val="left" w:pos="1388"/>
        </w:tabs>
        <w:spacing w:before="62"/>
        <w:ind w:left="1388" w:hanging="408"/>
        <w:rPr>
          <w:b/>
          <w:sz w:val="19"/>
          <w:lang w:val="sq-AL"/>
        </w:rPr>
      </w:pPr>
      <w:bookmarkStart w:id="30" w:name="2.3._Economic_criteria"/>
      <w:bookmarkStart w:id="31" w:name="_bookmark15"/>
      <w:bookmarkEnd w:id="30"/>
      <w:bookmarkEnd w:id="31"/>
      <w:r w:rsidRPr="0032048B">
        <w:rPr>
          <w:b/>
          <w:spacing w:val="-2"/>
          <w:sz w:val="24"/>
          <w:lang w:val="sq-AL"/>
        </w:rPr>
        <w:lastRenderedPageBreak/>
        <w:t>KRITERI EKONOMIK</w:t>
      </w:r>
    </w:p>
    <w:p w14:paraId="040012A2" w14:textId="77777777" w:rsidR="00E6279B" w:rsidRPr="0032048B" w:rsidRDefault="00E6279B" w:rsidP="00E6279B">
      <w:pPr>
        <w:spacing w:before="4"/>
        <w:rPr>
          <w:b/>
          <w:sz w:val="10"/>
          <w:szCs w:val="24"/>
          <w:lang w:val="sq-AL"/>
        </w:rPr>
      </w:pPr>
    </w:p>
    <w:tbl>
      <w:tblPr>
        <w:tblW w:w="0" w:type="auto"/>
        <w:tblInd w:w="994" w:type="dxa"/>
        <w:tblLayout w:type="fixed"/>
        <w:tblCellMar>
          <w:left w:w="0" w:type="dxa"/>
          <w:right w:w="0" w:type="dxa"/>
        </w:tblCellMar>
        <w:tblLook w:val="01E0" w:firstRow="1" w:lastRow="1" w:firstColumn="1" w:lastColumn="1" w:noHBand="0" w:noVBand="0"/>
      </w:tblPr>
      <w:tblGrid>
        <w:gridCol w:w="5371"/>
        <w:gridCol w:w="892"/>
        <w:gridCol w:w="736"/>
        <w:gridCol w:w="797"/>
        <w:gridCol w:w="823"/>
      </w:tblGrid>
      <w:tr w:rsidR="00E6279B" w:rsidRPr="0032048B" w14:paraId="1941F592" w14:textId="77777777" w:rsidTr="00456F1B">
        <w:trPr>
          <w:trHeight w:val="671"/>
        </w:trPr>
        <w:tc>
          <w:tcPr>
            <w:tcW w:w="5371" w:type="dxa"/>
            <w:tcBorders>
              <w:top w:val="single" w:sz="6" w:space="0" w:color="000000"/>
              <w:left w:val="single" w:sz="6" w:space="0" w:color="000000"/>
              <w:bottom w:val="single" w:sz="6" w:space="0" w:color="000000"/>
            </w:tcBorders>
          </w:tcPr>
          <w:p w14:paraId="11D77B30" w14:textId="77777777" w:rsidR="00E6279B" w:rsidRPr="0032048B" w:rsidRDefault="00E6279B" w:rsidP="00E6279B">
            <w:pPr>
              <w:spacing w:before="48"/>
              <w:ind w:left="33"/>
              <w:rPr>
                <w:i/>
                <w:sz w:val="21"/>
                <w:lang w:val="sq-AL"/>
              </w:rPr>
            </w:pPr>
            <w:r w:rsidRPr="0032048B">
              <w:rPr>
                <w:i/>
                <w:spacing w:val="-2"/>
                <w:sz w:val="21"/>
                <w:lang w:val="sq-AL"/>
              </w:rPr>
              <w:t>Tabela</w:t>
            </w:r>
            <w:r w:rsidRPr="0032048B">
              <w:rPr>
                <w:i/>
                <w:spacing w:val="-4"/>
                <w:sz w:val="21"/>
                <w:lang w:val="sq-AL"/>
              </w:rPr>
              <w:t xml:space="preserve"> 1.1:</w:t>
            </w:r>
          </w:p>
          <w:p w14:paraId="129DABF8" w14:textId="77777777" w:rsidR="00E6279B" w:rsidRPr="0032048B" w:rsidRDefault="00E6279B" w:rsidP="00E6279B">
            <w:pPr>
              <w:spacing w:before="102"/>
              <w:ind w:left="33"/>
              <w:rPr>
                <w:b/>
                <w:sz w:val="21"/>
                <w:lang w:val="sq-AL"/>
              </w:rPr>
            </w:pPr>
            <w:r w:rsidRPr="0032048B">
              <w:rPr>
                <w:b/>
                <w:spacing w:val="-6"/>
                <w:sz w:val="21"/>
                <w:lang w:val="sq-AL"/>
              </w:rPr>
              <w:t>Shqipëria – shifrat ekonomike kyçe</w:t>
            </w:r>
          </w:p>
        </w:tc>
        <w:tc>
          <w:tcPr>
            <w:tcW w:w="892" w:type="dxa"/>
            <w:tcBorders>
              <w:top w:val="single" w:sz="6" w:space="0" w:color="000000"/>
              <w:bottom w:val="single" w:sz="6" w:space="0" w:color="000000"/>
            </w:tcBorders>
          </w:tcPr>
          <w:p w14:paraId="45DB002B" w14:textId="77777777" w:rsidR="00E6279B" w:rsidRPr="0032048B" w:rsidRDefault="00E6279B" w:rsidP="00E6279B">
            <w:pPr>
              <w:spacing w:before="70"/>
              <w:ind w:left="99"/>
              <w:rPr>
                <w:b/>
                <w:sz w:val="21"/>
                <w:lang w:val="sq-AL"/>
              </w:rPr>
            </w:pPr>
            <w:r w:rsidRPr="0032048B">
              <w:rPr>
                <w:b/>
                <w:spacing w:val="-4"/>
                <w:sz w:val="21"/>
                <w:lang w:val="sq-AL"/>
              </w:rPr>
              <w:t>2014-</w:t>
            </w:r>
            <w:r w:rsidRPr="0032048B">
              <w:rPr>
                <w:b/>
                <w:spacing w:val="-5"/>
                <w:sz w:val="21"/>
                <w:lang w:val="sq-AL"/>
              </w:rPr>
              <w:t>19</w:t>
            </w:r>
          </w:p>
          <w:p w14:paraId="7DA23880" w14:textId="77777777" w:rsidR="00E6279B" w:rsidRPr="0032048B" w:rsidRDefault="00E6279B" w:rsidP="00E6279B">
            <w:pPr>
              <w:spacing w:before="37"/>
              <w:ind w:left="130"/>
              <w:rPr>
                <w:sz w:val="21"/>
                <w:lang w:val="sq-AL"/>
              </w:rPr>
            </w:pPr>
            <w:r w:rsidRPr="0032048B">
              <w:rPr>
                <w:spacing w:val="-2"/>
                <w:sz w:val="21"/>
                <w:lang w:val="sq-AL"/>
              </w:rPr>
              <w:t>mesatare</w:t>
            </w:r>
          </w:p>
        </w:tc>
        <w:tc>
          <w:tcPr>
            <w:tcW w:w="736" w:type="dxa"/>
            <w:tcBorders>
              <w:top w:val="single" w:sz="6" w:space="0" w:color="000000"/>
              <w:bottom w:val="single" w:sz="6" w:space="0" w:color="000000"/>
            </w:tcBorders>
          </w:tcPr>
          <w:p w14:paraId="535E8042" w14:textId="77777777" w:rsidR="00E6279B" w:rsidRPr="0032048B" w:rsidRDefault="00E6279B" w:rsidP="00E6279B">
            <w:pPr>
              <w:spacing w:before="48"/>
              <w:ind w:left="31" w:right="80"/>
              <w:jc w:val="center"/>
              <w:rPr>
                <w:b/>
                <w:sz w:val="21"/>
                <w:lang w:val="sq-AL"/>
              </w:rPr>
            </w:pPr>
            <w:r w:rsidRPr="0032048B">
              <w:rPr>
                <w:b/>
                <w:spacing w:val="-4"/>
                <w:sz w:val="21"/>
                <w:lang w:val="sq-AL"/>
              </w:rPr>
              <w:t>2020</w:t>
            </w:r>
          </w:p>
        </w:tc>
        <w:tc>
          <w:tcPr>
            <w:tcW w:w="797" w:type="dxa"/>
            <w:tcBorders>
              <w:top w:val="single" w:sz="6" w:space="0" w:color="000000"/>
              <w:bottom w:val="single" w:sz="6" w:space="0" w:color="000000"/>
            </w:tcBorders>
          </w:tcPr>
          <w:p w14:paraId="6B6B4442" w14:textId="77777777" w:rsidR="00E6279B" w:rsidRPr="0032048B" w:rsidRDefault="00E6279B" w:rsidP="00E6279B">
            <w:pPr>
              <w:spacing w:before="48"/>
              <w:ind w:left="31" w:right="38"/>
              <w:jc w:val="center"/>
              <w:rPr>
                <w:b/>
                <w:sz w:val="21"/>
                <w:lang w:val="sq-AL"/>
              </w:rPr>
            </w:pPr>
            <w:r w:rsidRPr="0032048B">
              <w:rPr>
                <w:b/>
                <w:spacing w:val="-4"/>
                <w:sz w:val="21"/>
                <w:lang w:val="sq-AL"/>
              </w:rPr>
              <w:t>2021</w:t>
            </w:r>
          </w:p>
        </w:tc>
        <w:tc>
          <w:tcPr>
            <w:tcW w:w="823" w:type="dxa"/>
            <w:tcBorders>
              <w:top w:val="single" w:sz="6" w:space="0" w:color="000000"/>
              <w:bottom w:val="single" w:sz="6" w:space="0" w:color="000000"/>
              <w:right w:val="single" w:sz="6" w:space="0" w:color="000000"/>
            </w:tcBorders>
          </w:tcPr>
          <w:p w14:paraId="0D26817B" w14:textId="77777777" w:rsidR="00E6279B" w:rsidRPr="0032048B" w:rsidRDefault="00E6279B" w:rsidP="00E6279B">
            <w:pPr>
              <w:spacing w:before="48"/>
              <w:ind w:left="27" w:right="14"/>
              <w:jc w:val="center"/>
              <w:rPr>
                <w:b/>
                <w:sz w:val="21"/>
                <w:lang w:val="sq-AL"/>
              </w:rPr>
            </w:pPr>
            <w:r w:rsidRPr="0032048B">
              <w:rPr>
                <w:b/>
                <w:spacing w:val="-4"/>
                <w:sz w:val="21"/>
                <w:lang w:val="sq-AL"/>
              </w:rPr>
              <w:t>2022</w:t>
            </w:r>
          </w:p>
        </w:tc>
      </w:tr>
      <w:tr w:rsidR="00E6279B" w:rsidRPr="0032048B" w14:paraId="74860F59" w14:textId="77777777" w:rsidTr="00456F1B">
        <w:trPr>
          <w:trHeight w:val="419"/>
        </w:trPr>
        <w:tc>
          <w:tcPr>
            <w:tcW w:w="5371" w:type="dxa"/>
            <w:tcBorders>
              <w:top w:val="single" w:sz="6" w:space="0" w:color="000000"/>
              <w:left w:val="single" w:sz="6" w:space="0" w:color="000000"/>
            </w:tcBorders>
          </w:tcPr>
          <w:p w14:paraId="1276AA20" w14:textId="77777777" w:rsidR="00E6279B" w:rsidRPr="0032048B" w:rsidRDefault="00E6279B" w:rsidP="00E6279B">
            <w:pPr>
              <w:spacing w:before="156"/>
              <w:ind w:left="33"/>
              <w:rPr>
                <w:sz w:val="21"/>
                <w:lang w:val="sq-AL"/>
              </w:rPr>
            </w:pPr>
            <w:r w:rsidRPr="0032048B">
              <w:rPr>
                <w:b/>
                <w:spacing w:val="-4"/>
                <w:sz w:val="21"/>
                <w:lang w:val="sq-AL"/>
              </w:rPr>
              <w:t xml:space="preserve">PBB për frymë </w:t>
            </w:r>
            <w:r w:rsidRPr="0032048B">
              <w:rPr>
                <w:spacing w:val="-4"/>
                <w:sz w:val="21"/>
                <w:lang w:val="sq-AL"/>
              </w:rPr>
              <w:t>(%</w:t>
            </w:r>
            <w:r w:rsidRPr="0032048B">
              <w:rPr>
                <w:spacing w:val="1"/>
                <w:sz w:val="21"/>
                <w:lang w:val="sq-AL"/>
              </w:rPr>
              <w:t xml:space="preserve"> e BE-së për standardet e fuqisë </w:t>
            </w:r>
            <w:proofErr w:type="spellStart"/>
            <w:r w:rsidRPr="0032048B">
              <w:rPr>
                <w:spacing w:val="1"/>
                <w:sz w:val="21"/>
                <w:lang w:val="sq-AL"/>
              </w:rPr>
              <w:t>paguese</w:t>
            </w:r>
            <w:proofErr w:type="spellEnd"/>
            <w:r w:rsidRPr="0032048B">
              <w:rPr>
                <w:spacing w:val="1"/>
                <w:sz w:val="21"/>
                <w:lang w:val="sq-AL"/>
              </w:rPr>
              <w:t xml:space="preserve"> (</w:t>
            </w:r>
            <w:r w:rsidRPr="0032048B">
              <w:rPr>
                <w:spacing w:val="-4"/>
                <w:sz w:val="21"/>
                <w:lang w:val="sq-AL"/>
              </w:rPr>
              <w:t>PPS))</w:t>
            </w:r>
            <w:r w:rsidRPr="0032048B">
              <w:rPr>
                <w:spacing w:val="-4"/>
                <w:sz w:val="21"/>
                <w:vertAlign w:val="superscript"/>
                <w:lang w:val="sq-AL"/>
              </w:rPr>
              <w:t>1)</w:t>
            </w:r>
          </w:p>
        </w:tc>
        <w:tc>
          <w:tcPr>
            <w:tcW w:w="892" w:type="dxa"/>
            <w:tcBorders>
              <w:top w:val="single" w:sz="6" w:space="0" w:color="000000"/>
            </w:tcBorders>
          </w:tcPr>
          <w:p w14:paraId="6D69370F" w14:textId="77777777" w:rsidR="00E6279B" w:rsidRPr="0032048B" w:rsidRDefault="00E6279B" w:rsidP="00E6279B">
            <w:pPr>
              <w:spacing w:before="156"/>
              <w:ind w:left="27" w:right="26"/>
              <w:jc w:val="center"/>
              <w:rPr>
                <w:sz w:val="21"/>
                <w:lang w:val="sq-AL"/>
              </w:rPr>
            </w:pPr>
            <w:r w:rsidRPr="0032048B">
              <w:rPr>
                <w:spacing w:val="-5"/>
                <w:sz w:val="21"/>
                <w:lang w:val="sq-AL"/>
              </w:rPr>
              <w:t>30</w:t>
            </w:r>
          </w:p>
        </w:tc>
        <w:tc>
          <w:tcPr>
            <w:tcW w:w="736" w:type="dxa"/>
            <w:tcBorders>
              <w:top w:val="single" w:sz="6" w:space="0" w:color="000000"/>
            </w:tcBorders>
          </w:tcPr>
          <w:p w14:paraId="78722572" w14:textId="77777777" w:rsidR="00E6279B" w:rsidRPr="0032048B" w:rsidRDefault="00E6279B" w:rsidP="00E6279B">
            <w:pPr>
              <w:spacing w:before="156"/>
              <w:ind w:left="31" w:right="80"/>
              <w:jc w:val="center"/>
              <w:rPr>
                <w:sz w:val="21"/>
                <w:lang w:val="sq-AL"/>
              </w:rPr>
            </w:pPr>
            <w:r w:rsidRPr="0032048B">
              <w:rPr>
                <w:spacing w:val="-5"/>
                <w:sz w:val="21"/>
                <w:lang w:val="sq-AL"/>
              </w:rPr>
              <w:t>31</w:t>
            </w:r>
          </w:p>
        </w:tc>
        <w:tc>
          <w:tcPr>
            <w:tcW w:w="797" w:type="dxa"/>
            <w:tcBorders>
              <w:top w:val="single" w:sz="6" w:space="0" w:color="000000"/>
            </w:tcBorders>
          </w:tcPr>
          <w:p w14:paraId="4E136EF0" w14:textId="77777777" w:rsidR="00E6279B" w:rsidRPr="0032048B" w:rsidRDefault="00E6279B" w:rsidP="00E6279B">
            <w:pPr>
              <w:spacing w:before="156"/>
              <w:ind w:left="31" w:right="38"/>
              <w:jc w:val="center"/>
              <w:rPr>
                <w:sz w:val="21"/>
                <w:lang w:val="sq-AL"/>
              </w:rPr>
            </w:pPr>
            <w:r w:rsidRPr="0032048B">
              <w:rPr>
                <w:spacing w:val="-5"/>
                <w:sz w:val="21"/>
                <w:lang w:val="sq-AL"/>
              </w:rPr>
              <w:t>32</w:t>
            </w:r>
          </w:p>
        </w:tc>
        <w:tc>
          <w:tcPr>
            <w:tcW w:w="823" w:type="dxa"/>
            <w:tcBorders>
              <w:top w:val="single" w:sz="6" w:space="0" w:color="000000"/>
              <w:right w:val="single" w:sz="6" w:space="0" w:color="000000"/>
            </w:tcBorders>
          </w:tcPr>
          <w:p w14:paraId="5A93D603" w14:textId="77777777" w:rsidR="00E6279B" w:rsidRPr="0032048B" w:rsidRDefault="00E6279B" w:rsidP="00E6279B">
            <w:pPr>
              <w:spacing w:before="156"/>
              <w:ind w:left="27" w:right="14"/>
              <w:jc w:val="center"/>
              <w:rPr>
                <w:sz w:val="21"/>
                <w:lang w:val="sq-AL"/>
              </w:rPr>
            </w:pPr>
            <w:r w:rsidRPr="0032048B">
              <w:rPr>
                <w:spacing w:val="-5"/>
                <w:sz w:val="21"/>
                <w:lang w:val="sq-AL"/>
              </w:rPr>
              <w:t>34</w:t>
            </w:r>
          </w:p>
        </w:tc>
      </w:tr>
      <w:tr w:rsidR="00E6279B" w:rsidRPr="0032048B" w14:paraId="3192662F" w14:textId="77777777" w:rsidTr="00456F1B">
        <w:trPr>
          <w:trHeight w:val="278"/>
        </w:trPr>
        <w:tc>
          <w:tcPr>
            <w:tcW w:w="5371" w:type="dxa"/>
            <w:tcBorders>
              <w:left w:val="single" w:sz="6" w:space="0" w:color="000000"/>
            </w:tcBorders>
          </w:tcPr>
          <w:p w14:paraId="5607B680" w14:textId="77777777" w:rsidR="00E6279B" w:rsidRPr="0032048B" w:rsidRDefault="00E6279B" w:rsidP="00E6279B">
            <w:pPr>
              <w:spacing w:before="16"/>
              <w:ind w:left="33"/>
              <w:rPr>
                <w:b/>
                <w:sz w:val="21"/>
                <w:lang w:val="sq-AL"/>
              </w:rPr>
            </w:pPr>
            <w:r w:rsidRPr="0032048B">
              <w:rPr>
                <w:b/>
                <w:spacing w:val="-2"/>
                <w:sz w:val="21"/>
                <w:lang w:val="sq-AL"/>
              </w:rPr>
              <w:t xml:space="preserve">Rritja e vërtetë e PBB-së </w:t>
            </w:r>
          </w:p>
        </w:tc>
        <w:tc>
          <w:tcPr>
            <w:tcW w:w="892" w:type="dxa"/>
          </w:tcPr>
          <w:p w14:paraId="00F13F5F" w14:textId="77777777" w:rsidR="00E6279B" w:rsidRPr="0032048B" w:rsidRDefault="00E6279B" w:rsidP="00E6279B">
            <w:pPr>
              <w:spacing w:before="16"/>
              <w:ind w:left="38" w:right="26"/>
              <w:jc w:val="center"/>
              <w:rPr>
                <w:sz w:val="21"/>
                <w:lang w:val="sq-AL"/>
              </w:rPr>
            </w:pPr>
            <w:r w:rsidRPr="0032048B">
              <w:rPr>
                <w:spacing w:val="-5"/>
                <w:sz w:val="21"/>
                <w:lang w:val="sq-AL"/>
              </w:rPr>
              <w:t>2.9</w:t>
            </w:r>
          </w:p>
        </w:tc>
        <w:tc>
          <w:tcPr>
            <w:tcW w:w="736" w:type="dxa"/>
          </w:tcPr>
          <w:p w14:paraId="4218BE15" w14:textId="77777777" w:rsidR="00E6279B" w:rsidRPr="0032048B" w:rsidRDefault="00E6279B" w:rsidP="00E6279B">
            <w:pPr>
              <w:spacing w:before="16"/>
              <w:ind w:left="31" w:right="80"/>
              <w:jc w:val="center"/>
              <w:rPr>
                <w:sz w:val="21"/>
                <w:lang w:val="sq-AL"/>
              </w:rPr>
            </w:pPr>
            <w:r w:rsidRPr="0032048B">
              <w:rPr>
                <w:sz w:val="21"/>
                <w:lang w:val="sq-AL"/>
              </w:rPr>
              <w:t>-</w:t>
            </w:r>
            <w:r w:rsidRPr="0032048B">
              <w:rPr>
                <w:spacing w:val="-5"/>
                <w:sz w:val="21"/>
                <w:lang w:val="sq-AL"/>
              </w:rPr>
              <w:t>3.3</w:t>
            </w:r>
          </w:p>
        </w:tc>
        <w:tc>
          <w:tcPr>
            <w:tcW w:w="797" w:type="dxa"/>
          </w:tcPr>
          <w:p w14:paraId="4A4109AA" w14:textId="77777777" w:rsidR="00E6279B" w:rsidRPr="0032048B" w:rsidRDefault="00E6279B" w:rsidP="00E6279B">
            <w:pPr>
              <w:spacing w:before="16"/>
              <w:ind w:left="38" w:right="38"/>
              <w:jc w:val="center"/>
              <w:rPr>
                <w:sz w:val="21"/>
                <w:lang w:val="sq-AL"/>
              </w:rPr>
            </w:pPr>
            <w:r w:rsidRPr="0032048B">
              <w:rPr>
                <w:spacing w:val="-5"/>
                <w:sz w:val="21"/>
                <w:lang w:val="sq-AL"/>
              </w:rPr>
              <w:t>8.9</w:t>
            </w:r>
          </w:p>
        </w:tc>
        <w:tc>
          <w:tcPr>
            <w:tcW w:w="823" w:type="dxa"/>
            <w:tcBorders>
              <w:right w:val="single" w:sz="6" w:space="0" w:color="000000"/>
            </w:tcBorders>
          </w:tcPr>
          <w:p w14:paraId="3C1CA27D" w14:textId="77777777" w:rsidR="00E6279B" w:rsidRPr="0032048B" w:rsidRDefault="00E6279B" w:rsidP="00E6279B">
            <w:pPr>
              <w:spacing w:before="16"/>
              <w:ind w:left="17" w:right="14"/>
              <w:jc w:val="center"/>
              <w:rPr>
                <w:sz w:val="21"/>
                <w:lang w:val="sq-AL"/>
              </w:rPr>
            </w:pPr>
            <w:r w:rsidRPr="0032048B">
              <w:rPr>
                <w:spacing w:val="-5"/>
                <w:sz w:val="21"/>
                <w:lang w:val="sq-AL"/>
              </w:rPr>
              <w:t>4.8</w:t>
            </w:r>
          </w:p>
        </w:tc>
      </w:tr>
      <w:tr w:rsidR="00E6279B" w:rsidRPr="0032048B" w14:paraId="0B3B7CB3" w14:textId="77777777" w:rsidTr="00456F1B">
        <w:trPr>
          <w:trHeight w:val="268"/>
        </w:trPr>
        <w:tc>
          <w:tcPr>
            <w:tcW w:w="5371" w:type="dxa"/>
            <w:tcBorders>
              <w:left w:val="single" w:sz="6" w:space="0" w:color="000000"/>
            </w:tcBorders>
          </w:tcPr>
          <w:p w14:paraId="5866EB92" w14:textId="77777777" w:rsidR="00E6279B" w:rsidRPr="0032048B" w:rsidRDefault="00E6279B" w:rsidP="00E6279B">
            <w:pPr>
              <w:spacing w:before="16" w:line="232" w:lineRule="exact"/>
              <w:ind w:left="33"/>
              <w:rPr>
                <w:sz w:val="21"/>
                <w:lang w:val="sq-AL"/>
              </w:rPr>
            </w:pPr>
            <w:r w:rsidRPr="0032048B">
              <w:rPr>
                <w:b/>
                <w:spacing w:val="-4"/>
                <w:sz w:val="21"/>
                <w:lang w:val="sq-AL"/>
              </w:rPr>
              <w:t>Norma totale e aktivitetit ekonomik të popullsisë së moshës 15-64 vjeç</w:t>
            </w:r>
            <w:r w:rsidRPr="0032048B">
              <w:rPr>
                <w:b/>
                <w:spacing w:val="-6"/>
                <w:sz w:val="21"/>
                <w:lang w:val="sq-AL"/>
              </w:rPr>
              <w:t xml:space="preserve"> </w:t>
            </w:r>
            <w:r w:rsidRPr="0032048B">
              <w:rPr>
                <w:spacing w:val="-4"/>
                <w:sz w:val="21"/>
                <w:lang w:val="sq-AL"/>
              </w:rPr>
              <w:t>(%),</w:t>
            </w:r>
            <w:r w:rsidRPr="0032048B">
              <w:rPr>
                <w:spacing w:val="-5"/>
                <w:sz w:val="21"/>
                <w:lang w:val="sq-AL"/>
              </w:rPr>
              <w:t xml:space="preserve"> </w:t>
            </w:r>
          </w:p>
        </w:tc>
        <w:tc>
          <w:tcPr>
            <w:tcW w:w="892" w:type="dxa"/>
          </w:tcPr>
          <w:p w14:paraId="7F68195A" w14:textId="77777777" w:rsidR="00E6279B" w:rsidRPr="0032048B" w:rsidRDefault="00E6279B" w:rsidP="00E6279B">
            <w:pPr>
              <w:spacing w:before="16" w:line="232" w:lineRule="exact"/>
              <w:ind w:left="38" w:right="26"/>
              <w:jc w:val="center"/>
              <w:rPr>
                <w:sz w:val="21"/>
                <w:lang w:val="sq-AL"/>
              </w:rPr>
            </w:pPr>
            <w:r w:rsidRPr="0032048B">
              <w:rPr>
                <w:spacing w:val="-4"/>
                <w:sz w:val="21"/>
                <w:lang w:val="sq-AL"/>
              </w:rPr>
              <w:t>66.1</w:t>
            </w:r>
          </w:p>
        </w:tc>
        <w:tc>
          <w:tcPr>
            <w:tcW w:w="736" w:type="dxa"/>
          </w:tcPr>
          <w:p w14:paraId="57A17F50" w14:textId="77777777" w:rsidR="00E6279B" w:rsidRPr="0032048B" w:rsidRDefault="00E6279B" w:rsidP="00E6279B">
            <w:pPr>
              <w:spacing w:before="16" w:line="232" w:lineRule="exact"/>
              <w:ind w:left="41" w:right="80"/>
              <w:jc w:val="center"/>
              <w:rPr>
                <w:sz w:val="21"/>
                <w:lang w:val="sq-AL"/>
              </w:rPr>
            </w:pPr>
            <w:r w:rsidRPr="0032048B">
              <w:rPr>
                <w:spacing w:val="-4"/>
                <w:sz w:val="21"/>
                <w:lang w:val="sq-AL"/>
              </w:rPr>
              <w:t>69.1</w:t>
            </w:r>
          </w:p>
        </w:tc>
        <w:tc>
          <w:tcPr>
            <w:tcW w:w="797" w:type="dxa"/>
          </w:tcPr>
          <w:p w14:paraId="699E165F" w14:textId="77777777" w:rsidR="00E6279B" w:rsidRPr="0032048B" w:rsidRDefault="00E6279B" w:rsidP="00E6279B">
            <w:pPr>
              <w:spacing w:before="16" w:line="232" w:lineRule="exact"/>
              <w:ind w:left="38" w:right="38"/>
              <w:jc w:val="center"/>
              <w:rPr>
                <w:sz w:val="21"/>
                <w:lang w:val="sq-AL"/>
              </w:rPr>
            </w:pPr>
            <w:r w:rsidRPr="0032048B">
              <w:rPr>
                <w:spacing w:val="-4"/>
                <w:sz w:val="21"/>
                <w:lang w:val="sq-AL"/>
              </w:rPr>
              <w:t>69.3</w:t>
            </w:r>
          </w:p>
        </w:tc>
        <w:tc>
          <w:tcPr>
            <w:tcW w:w="823" w:type="dxa"/>
            <w:tcBorders>
              <w:right w:val="single" w:sz="6" w:space="0" w:color="000000"/>
            </w:tcBorders>
          </w:tcPr>
          <w:p w14:paraId="70CD3371" w14:textId="77777777" w:rsidR="00E6279B" w:rsidRPr="0032048B" w:rsidRDefault="00E6279B" w:rsidP="00E6279B">
            <w:pPr>
              <w:spacing w:before="16" w:line="232" w:lineRule="exact"/>
              <w:ind w:left="17" w:right="14"/>
              <w:jc w:val="center"/>
              <w:rPr>
                <w:sz w:val="21"/>
                <w:lang w:val="sq-AL"/>
              </w:rPr>
            </w:pPr>
            <w:r w:rsidRPr="0032048B">
              <w:rPr>
                <w:spacing w:val="-4"/>
                <w:sz w:val="21"/>
                <w:lang w:val="sq-AL"/>
              </w:rPr>
              <w:t>73.2</w:t>
            </w:r>
          </w:p>
        </w:tc>
      </w:tr>
      <w:tr w:rsidR="00E6279B" w:rsidRPr="0032048B" w14:paraId="71DA34DB" w14:textId="77777777" w:rsidTr="00456F1B">
        <w:trPr>
          <w:trHeight w:val="257"/>
        </w:trPr>
        <w:tc>
          <w:tcPr>
            <w:tcW w:w="5371" w:type="dxa"/>
            <w:tcBorders>
              <w:left w:val="single" w:sz="6" w:space="0" w:color="000000"/>
            </w:tcBorders>
          </w:tcPr>
          <w:p w14:paraId="042BA23E" w14:textId="77777777" w:rsidR="00E6279B" w:rsidRPr="0032048B" w:rsidRDefault="00E6279B" w:rsidP="00E6279B">
            <w:pPr>
              <w:spacing w:before="5" w:line="232" w:lineRule="exact"/>
              <w:ind w:left="340"/>
              <w:rPr>
                <w:i/>
                <w:sz w:val="21"/>
                <w:lang w:val="sq-AL"/>
              </w:rPr>
            </w:pPr>
            <w:r w:rsidRPr="0032048B">
              <w:rPr>
                <w:i/>
                <w:spacing w:val="-2"/>
                <w:sz w:val="21"/>
                <w:lang w:val="sq-AL"/>
              </w:rPr>
              <w:t>Femra</w:t>
            </w:r>
          </w:p>
        </w:tc>
        <w:tc>
          <w:tcPr>
            <w:tcW w:w="892" w:type="dxa"/>
          </w:tcPr>
          <w:p w14:paraId="18FBD561" w14:textId="77777777" w:rsidR="00E6279B" w:rsidRPr="0032048B" w:rsidRDefault="00E6279B" w:rsidP="00E6279B">
            <w:pPr>
              <w:spacing w:before="5" w:line="232" w:lineRule="exact"/>
              <w:ind w:left="12" w:right="38"/>
              <w:jc w:val="center"/>
              <w:rPr>
                <w:i/>
                <w:sz w:val="21"/>
                <w:lang w:val="sq-AL"/>
              </w:rPr>
            </w:pPr>
            <w:r w:rsidRPr="0032048B">
              <w:rPr>
                <w:i/>
                <w:spacing w:val="-4"/>
                <w:sz w:val="21"/>
                <w:lang w:val="sq-AL"/>
              </w:rPr>
              <w:t>57.3</w:t>
            </w:r>
          </w:p>
        </w:tc>
        <w:tc>
          <w:tcPr>
            <w:tcW w:w="736" w:type="dxa"/>
          </w:tcPr>
          <w:p w14:paraId="1035AE34" w14:textId="77777777" w:rsidR="00E6279B" w:rsidRPr="0032048B" w:rsidRDefault="00E6279B" w:rsidP="00E6279B">
            <w:pPr>
              <w:spacing w:before="5" w:line="232" w:lineRule="exact"/>
              <w:ind w:right="80"/>
              <w:jc w:val="center"/>
              <w:rPr>
                <w:i/>
                <w:sz w:val="21"/>
                <w:lang w:val="sq-AL"/>
              </w:rPr>
            </w:pPr>
            <w:r w:rsidRPr="0032048B">
              <w:rPr>
                <w:i/>
                <w:spacing w:val="-4"/>
                <w:sz w:val="21"/>
                <w:lang w:val="sq-AL"/>
              </w:rPr>
              <w:t>61.2</w:t>
            </w:r>
          </w:p>
        </w:tc>
        <w:tc>
          <w:tcPr>
            <w:tcW w:w="797" w:type="dxa"/>
          </w:tcPr>
          <w:p w14:paraId="7668AAB3" w14:textId="77777777" w:rsidR="00E6279B" w:rsidRPr="0032048B" w:rsidRDefault="00E6279B" w:rsidP="00E6279B">
            <w:pPr>
              <w:spacing w:before="5" w:line="232" w:lineRule="exact"/>
              <w:ind w:right="38"/>
              <w:jc w:val="center"/>
              <w:rPr>
                <w:i/>
                <w:sz w:val="21"/>
                <w:lang w:val="sq-AL"/>
              </w:rPr>
            </w:pPr>
            <w:r w:rsidRPr="0032048B">
              <w:rPr>
                <w:i/>
                <w:spacing w:val="-4"/>
                <w:sz w:val="21"/>
                <w:lang w:val="sq-AL"/>
              </w:rPr>
              <w:t>61.4</w:t>
            </w:r>
          </w:p>
        </w:tc>
        <w:tc>
          <w:tcPr>
            <w:tcW w:w="823" w:type="dxa"/>
            <w:tcBorders>
              <w:right w:val="single" w:sz="6" w:space="0" w:color="000000"/>
            </w:tcBorders>
          </w:tcPr>
          <w:p w14:paraId="28697C81" w14:textId="77777777" w:rsidR="00E6279B" w:rsidRPr="0032048B" w:rsidRDefault="00E6279B" w:rsidP="00E6279B">
            <w:pPr>
              <w:spacing w:before="5" w:line="232" w:lineRule="exact"/>
              <w:ind w:left="13" w:right="27"/>
              <w:jc w:val="center"/>
              <w:rPr>
                <w:i/>
                <w:sz w:val="21"/>
                <w:lang w:val="sq-AL"/>
              </w:rPr>
            </w:pPr>
            <w:r w:rsidRPr="0032048B">
              <w:rPr>
                <w:i/>
                <w:spacing w:val="-4"/>
                <w:sz w:val="21"/>
                <w:lang w:val="sq-AL"/>
              </w:rPr>
              <w:t>66.8</w:t>
            </w:r>
          </w:p>
        </w:tc>
      </w:tr>
      <w:tr w:rsidR="00E6279B" w:rsidRPr="0032048B" w14:paraId="090677C8" w14:textId="77777777" w:rsidTr="00456F1B">
        <w:trPr>
          <w:trHeight w:val="268"/>
        </w:trPr>
        <w:tc>
          <w:tcPr>
            <w:tcW w:w="5371" w:type="dxa"/>
            <w:tcBorders>
              <w:left w:val="single" w:sz="6" w:space="0" w:color="000000"/>
            </w:tcBorders>
          </w:tcPr>
          <w:p w14:paraId="5B2AA726" w14:textId="77777777" w:rsidR="00E6279B" w:rsidRPr="0032048B" w:rsidRDefault="00E6279B" w:rsidP="00E6279B">
            <w:pPr>
              <w:spacing w:before="5"/>
              <w:ind w:left="340"/>
              <w:rPr>
                <w:i/>
                <w:sz w:val="21"/>
                <w:lang w:val="sq-AL"/>
              </w:rPr>
            </w:pPr>
            <w:r w:rsidRPr="0032048B">
              <w:rPr>
                <w:i/>
                <w:spacing w:val="-4"/>
                <w:sz w:val="21"/>
                <w:lang w:val="sq-AL"/>
              </w:rPr>
              <w:t>Meshkuj</w:t>
            </w:r>
          </w:p>
        </w:tc>
        <w:tc>
          <w:tcPr>
            <w:tcW w:w="892" w:type="dxa"/>
          </w:tcPr>
          <w:p w14:paraId="0E5B44BC" w14:textId="77777777" w:rsidR="00E6279B" w:rsidRPr="0032048B" w:rsidRDefault="00E6279B" w:rsidP="00E6279B">
            <w:pPr>
              <w:spacing w:before="5"/>
              <w:ind w:left="12" w:right="38"/>
              <w:jc w:val="center"/>
              <w:rPr>
                <w:i/>
                <w:sz w:val="21"/>
                <w:lang w:val="sq-AL"/>
              </w:rPr>
            </w:pPr>
            <w:r w:rsidRPr="0032048B">
              <w:rPr>
                <w:i/>
                <w:spacing w:val="-4"/>
                <w:sz w:val="21"/>
                <w:lang w:val="sq-AL"/>
              </w:rPr>
              <w:t>75.0</w:t>
            </w:r>
          </w:p>
        </w:tc>
        <w:tc>
          <w:tcPr>
            <w:tcW w:w="736" w:type="dxa"/>
          </w:tcPr>
          <w:p w14:paraId="5E68914C" w14:textId="77777777" w:rsidR="00E6279B" w:rsidRPr="0032048B" w:rsidRDefault="00E6279B" w:rsidP="00E6279B">
            <w:pPr>
              <w:spacing w:before="5"/>
              <w:ind w:right="80"/>
              <w:jc w:val="center"/>
              <w:rPr>
                <w:i/>
                <w:sz w:val="21"/>
                <w:lang w:val="sq-AL"/>
              </w:rPr>
            </w:pPr>
            <w:r w:rsidRPr="0032048B">
              <w:rPr>
                <w:i/>
                <w:spacing w:val="-4"/>
                <w:sz w:val="21"/>
                <w:lang w:val="sq-AL"/>
              </w:rPr>
              <w:t>77.1</w:t>
            </w:r>
          </w:p>
        </w:tc>
        <w:tc>
          <w:tcPr>
            <w:tcW w:w="797" w:type="dxa"/>
          </w:tcPr>
          <w:p w14:paraId="6C9B08DE" w14:textId="77777777" w:rsidR="00E6279B" w:rsidRPr="0032048B" w:rsidRDefault="00E6279B" w:rsidP="00E6279B">
            <w:pPr>
              <w:spacing w:before="5"/>
              <w:ind w:right="38"/>
              <w:jc w:val="center"/>
              <w:rPr>
                <w:i/>
                <w:sz w:val="21"/>
                <w:lang w:val="sq-AL"/>
              </w:rPr>
            </w:pPr>
            <w:r w:rsidRPr="0032048B">
              <w:rPr>
                <w:i/>
                <w:spacing w:val="-4"/>
                <w:sz w:val="21"/>
                <w:lang w:val="sq-AL"/>
              </w:rPr>
              <w:t>77.3</w:t>
            </w:r>
          </w:p>
        </w:tc>
        <w:tc>
          <w:tcPr>
            <w:tcW w:w="823" w:type="dxa"/>
            <w:tcBorders>
              <w:right w:val="single" w:sz="6" w:space="0" w:color="000000"/>
            </w:tcBorders>
          </w:tcPr>
          <w:p w14:paraId="12B01AF2" w14:textId="77777777" w:rsidR="00E6279B" w:rsidRPr="0032048B" w:rsidRDefault="00E6279B" w:rsidP="00E6279B">
            <w:pPr>
              <w:spacing w:before="5"/>
              <w:ind w:left="13" w:right="27"/>
              <w:jc w:val="center"/>
              <w:rPr>
                <w:i/>
                <w:sz w:val="21"/>
                <w:lang w:val="sq-AL"/>
              </w:rPr>
            </w:pPr>
            <w:r w:rsidRPr="0032048B">
              <w:rPr>
                <w:i/>
                <w:spacing w:val="-4"/>
                <w:sz w:val="21"/>
                <w:lang w:val="sq-AL"/>
              </w:rPr>
              <w:t>80.0</w:t>
            </w:r>
          </w:p>
        </w:tc>
      </w:tr>
      <w:tr w:rsidR="00E6279B" w:rsidRPr="0032048B" w14:paraId="0398B0AC" w14:textId="77777777" w:rsidTr="00456F1B">
        <w:trPr>
          <w:trHeight w:val="268"/>
        </w:trPr>
        <w:tc>
          <w:tcPr>
            <w:tcW w:w="5371" w:type="dxa"/>
            <w:tcBorders>
              <w:left w:val="single" w:sz="6" w:space="0" w:color="000000"/>
            </w:tcBorders>
          </w:tcPr>
          <w:p w14:paraId="582DDA2B" w14:textId="77777777" w:rsidR="00E6279B" w:rsidRPr="0032048B" w:rsidRDefault="00E6279B" w:rsidP="00E6279B">
            <w:pPr>
              <w:spacing w:before="16" w:line="232" w:lineRule="exact"/>
              <w:ind w:left="33"/>
              <w:rPr>
                <w:sz w:val="21"/>
                <w:lang w:val="sq-AL"/>
              </w:rPr>
            </w:pPr>
            <w:r w:rsidRPr="0032048B">
              <w:rPr>
                <w:b/>
                <w:spacing w:val="-4"/>
                <w:sz w:val="21"/>
                <w:lang w:val="sq-AL"/>
              </w:rPr>
              <w:t>Norma totale e papunësisë e popullsisë së moshës 15-64</w:t>
            </w:r>
            <w:r w:rsidRPr="0032048B">
              <w:rPr>
                <w:b/>
                <w:spacing w:val="-9"/>
                <w:sz w:val="21"/>
                <w:lang w:val="sq-AL"/>
              </w:rPr>
              <w:t xml:space="preserve"> vjeç </w:t>
            </w:r>
            <w:r w:rsidRPr="0032048B">
              <w:rPr>
                <w:spacing w:val="-4"/>
                <w:sz w:val="21"/>
                <w:lang w:val="sq-AL"/>
              </w:rPr>
              <w:t>(%),</w:t>
            </w:r>
            <w:r w:rsidRPr="0032048B">
              <w:rPr>
                <w:spacing w:val="-9"/>
                <w:sz w:val="21"/>
                <w:lang w:val="sq-AL"/>
              </w:rPr>
              <w:t xml:space="preserve"> </w:t>
            </w:r>
          </w:p>
        </w:tc>
        <w:tc>
          <w:tcPr>
            <w:tcW w:w="892" w:type="dxa"/>
          </w:tcPr>
          <w:p w14:paraId="72178B65" w14:textId="77777777" w:rsidR="00E6279B" w:rsidRPr="0032048B" w:rsidRDefault="00E6279B" w:rsidP="00E6279B">
            <w:pPr>
              <w:spacing w:before="16" w:line="232" w:lineRule="exact"/>
              <w:ind w:left="38" w:right="26"/>
              <w:jc w:val="center"/>
              <w:rPr>
                <w:sz w:val="21"/>
                <w:lang w:val="sq-AL"/>
              </w:rPr>
            </w:pPr>
            <w:r w:rsidRPr="0032048B">
              <w:rPr>
                <w:spacing w:val="-4"/>
                <w:sz w:val="21"/>
                <w:lang w:val="sq-AL"/>
              </w:rPr>
              <w:t>15.0</w:t>
            </w:r>
          </w:p>
        </w:tc>
        <w:tc>
          <w:tcPr>
            <w:tcW w:w="736" w:type="dxa"/>
          </w:tcPr>
          <w:p w14:paraId="0C4B917D" w14:textId="77777777" w:rsidR="00E6279B" w:rsidRPr="0032048B" w:rsidRDefault="00E6279B" w:rsidP="00E6279B">
            <w:pPr>
              <w:spacing w:before="16" w:line="232" w:lineRule="exact"/>
              <w:ind w:left="41" w:right="80"/>
              <w:jc w:val="center"/>
              <w:rPr>
                <w:sz w:val="21"/>
                <w:lang w:val="sq-AL"/>
              </w:rPr>
            </w:pPr>
            <w:r w:rsidRPr="0032048B">
              <w:rPr>
                <w:spacing w:val="-4"/>
                <w:sz w:val="21"/>
                <w:lang w:val="sq-AL"/>
              </w:rPr>
              <w:t>12.2</w:t>
            </w:r>
          </w:p>
        </w:tc>
        <w:tc>
          <w:tcPr>
            <w:tcW w:w="797" w:type="dxa"/>
          </w:tcPr>
          <w:p w14:paraId="4A191C2F" w14:textId="77777777" w:rsidR="00E6279B" w:rsidRPr="0032048B" w:rsidRDefault="00E6279B" w:rsidP="00E6279B">
            <w:pPr>
              <w:spacing w:before="16" w:line="232" w:lineRule="exact"/>
              <w:ind w:left="38" w:right="38"/>
              <w:jc w:val="center"/>
              <w:rPr>
                <w:sz w:val="21"/>
                <w:lang w:val="sq-AL"/>
              </w:rPr>
            </w:pPr>
            <w:r w:rsidRPr="0032048B">
              <w:rPr>
                <w:spacing w:val="-4"/>
                <w:sz w:val="21"/>
                <w:lang w:val="sq-AL"/>
              </w:rPr>
              <w:t>12.1</w:t>
            </w:r>
          </w:p>
        </w:tc>
        <w:tc>
          <w:tcPr>
            <w:tcW w:w="823" w:type="dxa"/>
            <w:tcBorders>
              <w:right w:val="single" w:sz="6" w:space="0" w:color="000000"/>
            </w:tcBorders>
          </w:tcPr>
          <w:p w14:paraId="405B249F" w14:textId="77777777" w:rsidR="00E6279B" w:rsidRPr="0032048B" w:rsidRDefault="00E6279B" w:rsidP="00E6279B">
            <w:pPr>
              <w:spacing w:before="16" w:line="232" w:lineRule="exact"/>
              <w:ind w:left="17" w:right="14"/>
              <w:jc w:val="center"/>
              <w:rPr>
                <w:sz w:val="21"/>
                <w:lang w:val="sq-AL"/>
              </w:rPr>
            </w:pPr>
            <w:r w:rsidRPr="0032048B">
              <w:rPr>
                <w:spacing w:val="-4"/>
                <w:sz w:val="21"/>
                <w:lang w:val="sq-AL"/>
              </w:rPr>
              <w:t>11.3</w:t>
            </w:r>
          </w:p>
        </w:tc>
      </w:tr>
      <w:tr w:rsidR="00E6279B" w:rsidRPr="0032048B" w14:paraId="47BB6D61" w14:textId="77777777" w:rsidTr="00456F1B">
        <w:trPr>
          <w:trHeight w:val="257"/>
        </w:trPr>
        <w:tc>
          <w:tcPr>
            <w:tcW w:w="5371" w:type="dxa"/>
            <w:tcBorders>
              <w:left w:val="single" w:sz="6" w:space="0" w:color="000000"/>
            </w:tcBorders>
          </w:tcPr>
          <w:p w14:paraId="13BE5FD9" w14:textId="77777777" w:rsidR="00E6279B" w:rsidRPr="0032048B" w:rsidRDefault="00E6279B" w:rsidP="00E6279B">
            <w:pPr>
              <w:spacing w:before="5" w:line="232" w:lineRule="exact"/>
              <w:ind w:left="340"/>
              <w:rPr>
                <w:i/>
                <w:sz w:val="21"/>
                <w:lang w:val="sq-AL"/>
              </w:rPr>
            </w:pPr>
            <w:r w:rsidRPr="0032048B">
              <w:rPr>
                <w:i/>
                <w:spacing w:val="-2"/>
                <w:sz w:val="21"/>
                <w:lang w:val="sq-AL"/>
              </w:rPr>
              <w:t>Femra</w:t>
            </w:r>
          </w:p>
        </w:tc>
        <w:tc>
          <w:tcPr>
            <w:tcW w:w="892" w:type="dxa"/>
          </w:tcPr>
          <w:p w14:paraId="096FC580" w14:textId="77777777" w:rsidR="00E6279B" w:rsidRPr="0032048B" w:rsidRDefault="00E6279B" w:rsidP="00E6279B">
            <w:pPr>
              <w:spacing w:before="5" w:line="232" w:lineRule="exact"/>
              <w:ind w:left="12" w:right="38"/>
              <w:jc w:val="center"/>
              <w:rPr>
                <w:i/>
                <w:sz w:val="21"/>
                <w:lang w:val="sq-AL"/>
              </w:rPr>
            </w:pPr>
            <w:r w:rsidRPr="0032048B">
              <w:rPr>
                <w:i/>
                <w:spacing w:val="-4"/>
                <w:sz w:val="21"/>
                <w:lang w:val="sq-AL"/>
              </w:rPr>
              <w:t>14.1</w:t>
            </w:r>
          </w:p>
        </w:tc>
        <w:tc>
          <w:tcPr>
            <w:tcW w:w="736" w:type="dxa"/>
          </w:tcPr>
          <w:p w14:paraId="1FF885C9" w14:textId="77777777" w:rsidR="00E6279B" w:rsidRPr="0032048B" w:rsidRDefault="00E6279B" w:rsidP="00E6279B">
            <w:pPr>
              <w:spacing w:before="5" w:line="232" w:lineRule="exact"/>
              <w:ind w:right="80"/>
              <w:jc w:val="center"/>
              <w:rPr>
                <w:i/>
                <w:sz w:val="21"/>
                <w:lang w:val="sq-AL"/>
              </w:rPr>
            </w:pPr>
            <w:r w:rsidRPr="0032048B">
              <w:rPr>
                <w:i/>
                <w:spacing w:val="-4"/>
                <w:sz w:val="21"/>
                <w:lang w:val="sq-AL"/>
              </w:rPr>
              <w:t>12.4</w:t>
            </w:r>
          </w:p>
        </w:tc>
        <w:tc>
          <w:tcPr>
            <w:tcW w:w="797" w:type="dxa"/>
          </w:tcPr>
          <w:p w14:paraId="1C313209" w14:textId="77777777" w:rsidR="00E6279B" w:rsidRPr="0032048B" w:rsidRDefault="00E6279B" w:rsidP="00E6279B">
            <w:pPr>
              <w:spacing w:before="5" w:line="232" w:lineRule="exact"/>
              <w:ind w:right="38"/>
              <w:jc w:val="center"/>
              <w:rPr>
                <w:i/>
                <w:sz w:val="21"/>
                <w:lang w:val="sq-AL"/>
              </w:rPr>
            </w:pPr>
            <w:r w:rsidRPr="0032048B">
              <w:rPr>
                <w:i/>
                <w:spacing w:val="-4"/>
                <w:sz w:val="21"/>
                <w:lang w:val="sq-AL"/>
              </w:rPr>
              <w:t>12.4</w:t>
            </w:r>
          </w:p>
        </w:tc>
        <w:tc>
          <w:tcPr>
            <w:tcW w:w="823" w:type="dxa"/>
            <w:tcBorders>
              <w:right w:val="single" w:sz="6" w:space="0" w:color="000000"/>
            </w:tcBorders>
          </w:tcPr>
          <w:p w14:paraId="265937B9" w14:textId="77777777" w:rsidR="00E6279B" w:rsidRPr="0032048B" w:rsidRDefault="00E6279B" w:rsidP="00E6279B">
            <w:pPr>
              <w:spacing w:before="5" w:line="232" w:lineRule="exact"/>
              <w:ind w:left="13" w:right="27"/>
              <w:jc w:val="center"/>
              <w:rPr>
                <w:i/>
                <w:sz w:val="21"/>
                <w:lang w:val="sq-AL"/>
              </w:rPr>
            </w:pPr>
            <w:r w:rsidRPr="0032048B">
              <w:rPr>
                <w:i/>
                <w:spacing w:val="-4"/>
                <w:sz w:val="21"/>
                <w:lang w:val="sq-AL"/>
              </w:rPr>
              <w:t>11.7</w:t>
            </w:r>
          </w:p>
        </w:tc>
      </w:tr>
      <w:tr w:rsidR="00E6279B" w:rsidRPr="0032048B" w14:paraId="50BEB447" w14:textId="77777777" w:rsidTr="00456F1B">
        <w:trPr>
          <w:trHeight w:val="268"/>
        </w:trPr>
        <w:tc>
          <w:tcPr>
            <w:tcW w:w="5371" w:type="dxa"/>
            <w:tcBorders>
              <w:left w:val="single" w:sz="6" w:space="0" w:color="000000"/>
            </w:tcBorders>
          </w:tcPr>
          <w:p w14:paraId="7C5FEC6A" w14:textId="77777777" w:rsidR="00E6279B" w:rsidRPr="0032048B" w:rsidRDefault="00E6279B" w:rsidP="00E6279B">
            <w:pPr>
              <w:spacing w:before="5"/>
              <w:ind w:left="340"/>
              <w:rPr>
                <w:i/>
                <w:sz w:val="21"/>
                <w:lang w:val="sq-AL"/>
              </w:rPr>
            </w:pPr>
            <w:r w:rsidRPr="0032048B">
              <w:rPr>
                <w:i/>
                <w:spacing w:val="-4"/>
                <w:sz w:val="21"/>
                <w:lang w:val="sq-AL"/>
              </w:rPr>
              <w:t>Meshkuj</w:t>
            </w:r>
          </w:p>
        </w:tc>
        <w:tc>
          <w:tcPr>
            <w:tcW w:w="892" w:type="dxa"/>
          </w:tcPr>
          <w:p w14:paraId="06FD97F8" w14:textId="77777777" w:rsidR="00E6279B" w:rsidRPr="0032048B" w:rsidRDefault="00E6279B" w:rsidP="00E6279B">
            <w:pPr>
              <w:spacing w:before="5"/>
              <w:ind w:left="12" w:right="38"/>
              <w:jc w:val="center"/>
              <w:rPr>
                <w:i/>
                <w:sz w:val="21"/>
                <w:lang w:val="sq-AL"/>
              </w:rPr>
            </w:pPr>
            <w:r w:rsidRPr="0032048B">
              <w:rPr>
                <w:i/>
                <w:spacing w:val="-4"/>
                <w:sz w:val="21"/>
                <w:lang w:val="sq-AL"/>
              </w:rPr>
              <w:t>15.7</w:t>
            </w:r>
          </w:p>
        </w:tc>
        <w:tc>
          <w:tcPr>
            <w:tcW w:w="736" w:type="dxa"/>
          </w:tcPr>
          <w:p w14:paraId="49BBC981" w14:textId="77777777" w:rsidR="00E6279B" w:rsidRPr="0032048B" w:rsidRDefault="00E6279B" w:rsidP="00E6279B">
            <w:pPr>
              <w:spacing w:before="5"/>
              <w:ind w:right="80"/>
              <w:jc w:val="center"/>
              <w:rPr>
                <w:i/>
                <w:sz w:val="21"/>
                <w:lang w:val="sq-AL"/>
              </w:rPr>
            </w:pPr>
            <w:r w:rsidRPr="0032048B">
              <w:rPr>
                <w:i/>
                <w:spacing w:val="-4"/>
                <w:sz w:val="21"/>
                <w:lang w:val="sq-AL"/>
              </w:rPr>
              <w:t>12.1</w:t>
            </w:r>
          </w:p>
        </w:tc>
        <w:tc>
          <w:tcPr>
            <w:tcW w:w="797" w:type="dxa"/>
          </w:tcPr>
          <w:p w14:paraId="442E2D7C" w14:textId="77777777" w:rsidR="00E6279B" w:rsidRPr="0032048B" w:rsidRDefault="00E6279B" w:rsidP="00E6279B">
            <w:pPr>
              <w:spacing w:before="5"/>
              <w:ind w:right="38"/>
              <w:jc w:val="center"/>
              <w:rPr>
                <w:i/>
                <w:sz w:val="21"/>
                <w:lang w:val="sq-AL"/>
              </w:rPr>
            </w:pPr>
            <w:r w:rsidRPr="0032048B">
              <w:rPr>
                <w:i/>
                <w:spacing w:val="-4"/>
                <w:sz w:val="21"/>
                <w:lang w:val="sq-AL"/>
              </w:rPr>
              <w:t>11.8</w:t>
            </w:r>
          </w:p>
        </w:tc>
        <w:tc>
          <w:tcPr>
            <w:tcW w:w="823" w:type="dxa"/>
            <w:tcBorders>
              <w:right w:val="single" w:sz="6" w:space="0" w:color="000000"/>
            </w:tcBorders>
          </w:tcPr>
          <w:p w14:paraId="3A93BCCC" w14:textId="77777777" w:rsidR="00E6279B" w:rsidRPr="0032048B" w:rsidRDefault="00E6279B" w:rsidP="00E6279B">
            <w:pPr>
              <w:spacing w:before="5"/>
              <w:ind w:left="13" w:right="27"/>
              <w:jc w:val="center"/>
              <w:rPr>
                <w:i/>
                <w:sz w:val="21"/>
                <w:lang w:val="sq-AL"/>
              </w:rPr>
            </w:pPr>
            <w:r w:rsidRPr="0032048B">
              <w:rPr>
                <w:i/>
                <w:spacing w:val="-4"/>
                <w:sz w:val="21"/>
                <w:lang w:val="sq-AL"/>
              </w:rPr>
              <w:t>10.9</w:t>
            </w:r>
          </w:p>
        </w:tc>
      </w:tr>
      <w:tr w:rsidR="00E6279B" w:rsidRPr="0032048B" w14:paraId="1875114D" w14:textId="77777777" w:rsidTr="00456F1B">
        <w:trPr>
          <w:trHeight w:val="305"/>
        </w:trPr>
        <w:tc>
          <w:tcPr>
            <w:tcW w:w="5371" w:type="dxa"/>
            <w:tcBorders>
              <w:left w:val="single" w:sz="6" w:space="0" w:color="000000"/>
            </w:tcBorders>
          </w:tcPr>
          <w:p w14:paraId="3F16DD49" w14:textId="77777777" w:rsidR="00E6279B" w:rsidRPr="0032048B" w:rsidRDefault="00E6279B" w:rsidP="00E6279B">
            <w:pPr>
              <w:spacing w:before="16"/>
              <w:ind w:left="33"/>
              <w:rPr>
                <w:sz w:val="21"/>
                <w:lang w:val="sq-AL"/>
              </w:rPr>
            </w:pPr>
            <w:r w:rsidRPr="0032048B">
              <w:rPr>
                <w:b/>
                <w:spacing w:val="-6"/>
                <w:sz w:val="21"/>
                <w:lang w:val="sq-AL"/>
              </w:rPr>
              <w:t>Punësimi i popullsisë së moshës 15-64</w:t>
            </w:r>
            <w:r w:rsidRPr="0032048B">
              <w:rPr>
                <w:b/>
                <w:spacing w:val="-1"/>
                <w:sz w:val="21"/>
                <w:lang w:val="sq-AL"/>
              </w:rPr>
              <w:t xml:space="preserve"> vjeç </w:t>
            </w:r>
            <w:r w:rsidRPr="0032048B">
              <w:rPr>
                <w:spacing w:val="-6"/>
                <w:sz w:val="21"/>
                <w:lang w:val="sq-AL"/>
              </w:rPr>
              <w:t>(rritja vjetore %)</w:t>
            </w:r>
          </w:p>
        </w:tc>
        <w:tc>
          <w:tcPr>
            <w:tcW w:w="892" w:type="dxa"/>
          </w:tcPr>
          <w:p w14:paraId="6B341D06" w14:textId="77777777" w:rsidR="00E6279B" w:rsidRPr="0032048B" w:rsidRDefault="00E6279B" w:rsidP="00E6279B">
            <w:pPr>
              <w:spacing w:before="16"/>
              <w:ind w:left="38" w:right="26"/>
              <w:jc w:val="center"/>
              <w:rPr>
                <w:sz w:val="21"/>
                <w:lang w:val="sq-AL"/>
              </w:rPr>
            </w:pPr>
            <w:r w:rsidRPr="0032048B">
              <w:rPr>
                <w:spacing w:val="-5"/>
                <w:sz w:val="21"/>
                <w:lang w:val="sq-AL"/>
              </w:rPr>
              <w:t>3.3</w:t>
            </w:r>
          </w:p>
        </w:tc>
        <w:tc>
          <w:tcPr>
            <w:tcW w:w="736" w:type="dxa"/>
          </w:tcPr>
          <w:p w14:paraId="494A5169" w14:textId="77777777" w:rsidR="00E6279B" w:rsidRPr="0032048B" w:rsidRDefault="00E6279B" w:rsidP="00E6279B">
            <w:pPr>
              <w:spacing w:before="16"/>
              <w:ind w:left="31" w:right="80"/>
              <w:jc w:val="center"/>
              <w:rPr>
                <w:sz w:val="21"/>
                <w:lang w:val="sq-AL"/>
              </w:rPr>
            </w:pPr>
            <w:r w:rsidRPr="0032048B">
              <w:rPr>
                <w:sz w:val="21"/>
                <w:lang w:val="sq-AL"/>
              </w:rPr>
              <w:t>-</w:t>
            </w:r>
            <w:r w:rsidRPr="0032048B">
              <w:rPr>
                <w:spacing w:val="-5"/>
                <w:sz w:val="21"/>
                <w:lang w:val="sq-AL"/>
              </w:rPr>
              <w:t>1.9</w:t>
            </w:r>
          </w:p>
        </w:tc>
        <w:tc>
          <w:tcPr>
            <w:tcW w:w="797" w:type="dxa"/>
          </w:tcPr>
          <w:p w14:paraId="43220814" w14:textId="77777777" w:rsidR="00E6279B" w:rsidRPr="0032048B" w:rsidRDefault="00E6279B" w:rsidP="00E6279B">
            <w:pPr>
              <w:spacing w:before="16"/>
              <w:ind w:left="31" w:right="38"/>
              <w:jc w:val="center"/>
              <w:rPr>
                <w:sz w:val="21"/>
                <w:lang w:val="sq-AL"/>
              </w:rPr>
            </w:pPr>
            <w:r w:rsidRPr="0032048B">
              <w:rPr>
                <w:sz w:val="21"/>
                <w:lang w:val="sq-AL"/>
              </w:rPr>
              <w:t>-</w:t>
            </w:r>
            <w:r w:rsidRPr="0032048B">
              <w:rPr>
                <w:spacing w:val="-5"/>
                <w:sz w:val="21"/>
                <w:lang w:val="sq-AL"/>
              </w:rPr>
              <w:t>0.4</w:t>
            </w:r>
          </w:p>
        </w:tc>
        <w:tc>
          <w:tcPr>
            <w:tcW w:w="823" w:type="dxa"/>
            <w:tcBorders>
              <w:right w:val="single" w:sz="6" w:space="0" w:color="000000"/>
            </w:tcBorders>
          </w:tcPr>
          <w:p w14:paraId="0B9CC66E" w14:textId="77777777" w:rsidR="00E6279B" w:rsidRPr="0032048B" w:rsidRDefault="00E6279B" w:rsidP="00E6279B">
            <w:pPr>
              <w:spacing w:before="16"/>
              <w:ind w:left="17" w:right="14"/>
              <w:jc w:val="center"/>
              <w:rPr>
                <w:sz w:val="21"/>
                <w:lang w:val="sq-AL"/>
              </w:rPr>
            </w:pPr>
            <w:r w:rsidRPr="0032048B">
              <w:rPr>
                <w:spacing w:val="-5"/>
                <w:sz w:val="21"/>
                <w:lang w:val="sq-AL"/>
              </w:rPr>
              <w:t>4.8</w:t>
            </w:r>
          </w:p>
        </w:tc>
      </w:tr>
      <w:tr w:rsidR="00E6279B" w:rsidRPr="0032048B" w14:paraId="5F3C4F29" w14:textId="77777777" w:rsidTr="00456F1B">
        <w:trPr>
          <w:trHeight w:val="305"/>
        </w:trPr>
        <w:tc>
          <w:tcPr>
            <w:tcW w:w="5371" w:type="dxa"/>
            <w:tcBorders>
              <w:left w:val="single" w:sz="6" w:space="0" w:color="000000"/>
            </w:tcBorders>
          </w:tcPr>
          <w:p w14:paraId="5E25784F" w14:textId="77777777" w:rsidR="00E6279B" w:rsidRPr="0032048B" w:rsidRDefault="00E6279B" w:rsidP="00E6279B">
            <w:pPr>
              <w:spacing w:before="42"/>
              <w:ind w:left="33"/>
              <w:rPr>
                <w:sz w:val="21"/>
                <w:lang w:val="sq-AL"/>
              </w:rPr>
            </w:pPr>
            <w:r w:rsidRPr="0032048B">
              <w:rPr>
                <w:b/>
                <w:spacing w:val="-6"/>
                <w:sz w:val="21"/>
                <w:lang w:val="sq-AL"/>
              </w:rPr>
              <w:t xml:space="preserve">Pagat nominale </w:t>
            </w:r>
            <w:r w:rsidRPr="0032048B">
              <w:rPr>
                <w:spacing w:val="-6"/>
                <w:sz w:val="21"/>
                <w:lang w:val="sq-AL"/>
              </w:rPr>
              <w:t>(rritja vjetore</w:t>
            </w:r>
            <w:r w:rsidRPr="0032048B">
              <w:rPr>
                <w:spacing w:val="-11"/>
                <w:sz w:val="21"/>
                <w:lang w:val="sq-AL"/>
              </w:rPr>
              <w:t xml:space="preserve"> </w:t>
            </w:r>
            <w:r w:rsidRPr="0032048B">
              <w:rPr>
                <w:spacing w:val="-6"/>
                <w:sz w:val="21"/>
                <w:lang w:val="sq-AL"/>
              </w:rPr>
              <w:t>%)</w:t>
            </w:r>
            <w:r w:rsidRPr="0032048B">
              <w:rPr>
                <w:spacing w:val="-6"/>
                <w:sz w:val="21"/>
                <w:vertAlign w:val="superscript"/>
                <w:lang w:val="sq-AL"/>
              </w:rPr>
              <w:t>2)</w:t>
            </w:r>
          </w:p>
        </w:tc>
        <w:tc>
          <w:tcPr>
            <w:tcW w:w="892" w:type="dxa"/>
          </w:tcPr>
          <w:p w14:paraId="5E855786" w14:textId="77777777" w:rsidR="00E6279B" w:rsidRPr="0032048B" w:rsidRDefault="00E6279B" w:rsidP="00E6279B">
            <w:pPr>
              <w:spacing w:before="42"/>
              <w:ind w:left="38" w:right="26"/>
              <w:jc w:val="center"/>
              <w:rPr>
                <w:sz w:val="21"/>
                <w:lang w:val="sq-AL"/>
              </w:rPr>
            </w:pPr>
            <w:r w:rsidRPr="0032048B">
              <w:rPr>
                <w:spacing w:val="-4"/>
                <w:sz w:val="21"/>
                <w:lang w:val="sq-AL"/>
              </w:rPr>
              <w:t>2.9*</w:t>
            </w:r>
          </w:p>
        </w:tc>
        <w:tc>
          <w:tcPr>
            <w:tcW w:w="736" w:type="dxa"/>
          </w:tcPr>
          <w:p w14:paraId="3C7B8DF1" w14:textId="77777777" w:rsidR="00E6279B" w:rsidRPr="0032048B" w:rsidRDefault="00E6279B" w:rsidP="00E6279B">
            <w:pPr>
              <w:spacing w:before="42"/>
              <w:ind w:left="41" w:right="80"/>
              <w:jc w:val="center"/>
              <w:rPr>
                <w:sz w:val="21"/>
                <w:lang w:val="sq-AL"/>
              </w:rPr>
            </w:pPr>
            <w:r w:rsidRPr="0032048B">
              <w:rPr>
                <w:spacing w:val="-5"/>
                <w:sz w:val="21"/>
                <w:lang w:val="sq-AL"/>
              </w:rPr>
              <w:t>2.7</w:t>
            </w:r>
          </w:p>
        </w:tc>
        <w:tc>
          <w:tcPr>
            <w:tcW w:w="797" w:type="dxa"/>
          </w:tcPr>
          <w:p w14:paraId="6B011D5B" w14:textId="77777777" w:rsidR="00E6279B" w:rsidRPr="0032048B" w:rsidRDefault="00E6279B" w:rsidP="00E6279B">
            <w:pPr>
              <w:spacing w:before="42"/>
              <w:ind w:left="38" w:right="38"/>
              <w:jc w:val="center"/>
              <w:rPr>
                <w:sz w:val="21"/>
                <w:lang w:val="sq-AL"/>
              </w:rPr>
            </w:pPr>
            <w:r w:rsidRPr="0032048B">
              <w:rPr>
                <w:spacing w:val="-5"/>
                <w:sz w:val="21"/>
                <w:lang w:val="sq-AL"/>
              </w:rPr>
              <w:t>6.3</w:t>
            </w:r>
          </w:p>
        </w:tc>
        <w:tc>
          <w:tcPr>
            <w:tcW w:w="823" w:type="dxa"/>
            <w:tcBorders>
              <w:right w:val="single" w:sz="6" w:space="0" w:color="000000"/>
            </w:tcBorders>
          </w:tcPr>
          <w:p w14:paraId="24D01EDA" w14:textId="77777777" w:rsidR="00E6279B" w:rsidRPr="0032048B" w:rsidRDefault="00E6279B" w:rsidP="00E6279B">
            <w:pPr>
              <w:spacing w:before="42"/>
              <w:ind w:left="17" w:right="14"/>
              <w:jc w:val="center"/>
              <w:rPr>
                <w:sz w:val="21"/>
                <w:lang w:val="sq-AL"/>
              </w:rPr>
            </w:pPr>
            <w:r w:rsidRPr="0032048B">
              <w:rPr>
                <w:spacing w:val="-5"/>
                <w:sz w:val="21"/>
                <w:lang w:val="sq-AL"/>
              </w:rPr>
              <w:t>8.2</w:t>
            </w:r>
          </w:p>
        </w:tc>
      </w:tr>
      <w:tr w:rsidR="00E6279B" w:rsidRPr="0032048B" w14:paraId="00A90AF8" w14:textId="77777777" w:rsidTr="00456F1B">
        <w:trPr>
          <w:trHeight w:val="278"/>
        </w:trPr>
        <w:tc>
          <w:tcPr>
            <w:tcW w:w="5371" w:type="dxa"/>
            <w:tcBorders>
              <w:left w:val="single" w:sz="6" w:space="0" w:color="000000"/>
            </w:tcBorders>
          </w:tcPr>
          <w:p w14:paraId="27B5BA0D" w14:textId="77777777" w:rsidR="00E6279B" w:rsidRPr="0032048B" w:rsidRDefault="00E6279B" w:rsidP="00E6279B">
            <w:pPr>
              <w:spacing w:before="16"/>
              <w:ind w:left="33"/>
              <w:rPr>
                <w:sz w:val="21"/>
                <w:lang w:val="sq-AL"/>
              </w:rPr>
            </w:pPr>
            <w:r w:rsidRPr="0032048B">
              <w:rPr>
                <w:b/>
                <w:spacing w:val="-6"/>
                <w:sz w:val="21"/>
                <w:lang w:val="sq-AL"/>
              </w:rPr>
              <w:t xml:space="preserve">Treguesi i çmimit të konsumatorit </w:t>
            </w:r>
            <w:r w:rsidRPr="0032048B">
              <w:rPr>
                <w:spacing w:val="-6"/>
                <w:sz w:val="21"/>
                <w:lang w:val="sq-AL"/>
              </w:rPr>
              <w:t>(rritja vjetore %)</w:t>
            </w:r>
          </w:p>
        </w:tc>
        <w:tc>
          <w:tcPr>
            <w:tcW w:w="892" w:type="dxa"/>
          </w:tcPr>
          <w:p w14:paraId="01AF5C9E" w14:textId="77777777" w:rsidR="00E6279B" w:rsidRPr="0032048B" w:rsidRDefault="00E6279B" w:rsidP="00E6279B">
            <w:pPr>
              <w:spacing w:before="16"/>
              <w:ind w:left="38" w:right="26"/>
              <w:jc w:val="center"/>
              <w:rPr>
                <w:sz w:val="21"/>
                <w:lang w:val="sq-AL"/>
              </w:rPr>
            </w:pPr>
            <w:r w:rsidRPr="0032048B">
              <w:rPr>
                <w:spacing w:val="-5"/>
                <w:sz w:val="21"/>
                <w:lang w:val="sq-AL"/>
              </w:rPr>
              <w:t>1.7</w:t>
            </w:r>
          </w:p>
        </w:tc>
        <w:tc>
          <w:tcPr>
            <w:tcW w:w="736" w:type="dxa"/>
          </w:tcPr>
          <w:p w14:paraId="3F80CF59" w14:textId="77777777" w:rsidR="00E6279B" w:rsidRPr="0032048B" w:rsidRDefault="00E6279B" w:rsidP="00E6279B">
            <w:pPr>
              <w:spacing w:before="16"/>
              <w:ind w:left="41" w:right="80"/>
              <w:jc w:val="center"/>
              <w:rPr>
                <w:sz w:val="21"/>
                <w:lang w:val="sq-AL"/>
              </w:rPr>
            </w:pPr>
            <w:r w:rsidRPr="0032048B">
              <w:rPr>
                <w:spacing w:val="-5"/>
                <w:sz w:val="21"/>
                <w:lang w:val="sq-AL"/>
              </w:rPr>
              <w:t>1.6</w:t>
            </w:r>
          </w:p>
        </w:tc>
        <w:tc>
          <w:tcPr>
            <w:tcW w:w="797" w:type="dxa"/>
          </w:tcPr>
          <w:p w14:paraId="4B9F5AC8" w14:textId="77777777" w:rsidR="00E6279B" w:rsidRPr="0032048B" w:rsidRDefault="00E6279B" w:rsidP="00E6279B">
            <w:pPr>
              <w:spacing w:before="16"/>
              <w:ind w:left="38" w:right="38"/>
              <w:jc w:val="center"/>
              <w:rPr>
                <w:sz w:val="21"/>
                <w:lang w:val="sq-AL"/>
              </w:rPr>
            </w:pPr>
            <w:r w:rsidRPr="0032048B">
              <w:rPr>
                <w:spacing w:val="-5"/>
                <w:sz w:val="21"/>
                <w:lang w:val="sq-AL"/>
              </w:rPr>
              <w:t>2.0</w:t>
            </w:r>
          </w:p>
        </w:tc>
        <w:tc>
          <w:tcPr>
            <w:tcW w:w="823" w:type="dxa"/>
            <w:tcBorders>
              <w:right w:val="single" w:sz="6" w:space="0" w:color="000000"/>
            </w:tcBorders>
          </w:tcPr>
          <w:p w14:paraId="3B6A8625" w14:textId="77777777" w:rsidR="00E6279B" w:rsidRPr="0032048B" w:rsidRDefault="00E6279B" w:rsidP="00E6279B">
            <w:pPr>
              <w:spacing w:before="16"/>
              <w:ind w:left="17" w:right="14"/>
              <w:jc w:val="center"/>
              <w:rPr>
                <w:sz w:val="21"/>
                <w:lang w:val="sq-AL"/>
              </w:rPr>
            </w:pPr>
            <w:r w:rsidRPr="0032048B">
              <w:rPr>
                <w:spacing w:val="-5"/>
                <w:sz w:val="21"/>
                <w:lang w:val="sq-AL"/>
              </w:rPr>
              <w:t>6.7</w:t>
            </w:r>
          </w:p>
        </w:tc>
      </w:tr>
      <w:tr w:rsidR="00E6279B" w:rsidRPr="0032048B" w14:paraId="1E51585C" w14:textId="77777777" w:rsidTr="00456F1B">
        <w:trPr>
          <w:trHeight w:val="278"/>
        </w:trPr>
        <w:tc>
          <w:tcPr>
            <w:tcW w:w="5371" w:type="dxa"/>
            <w:tcBorders>
              <w:left w:val="single" w:sz="6" w:space="0" w:color="000000"/>
            </w:tcBorders>
          </w:tcPr>
          <w:p w14:paraId="7016712E" w14:textId="77777777" w:rsidR="00E6279B" w:rsidRPr="0032048B" w:rsidRDefault="00E6279B" w:rsidP="00E6279B">
            <w:pPr>
              <w:spacing w:before="16"/>
              <w:ind w:left="33"/>
              <w:rPr>
                <w:b/>
                <w:sz w:val="21"/>
                <w:lang w:val="sq-AL"/>
              </w:rPr>
            </w:pPr>
            <w:r w:rsidRPr="0032048B">
              <w:rPr>
                <w:b/>
                <w:spacing w:val="-5"/>
                <w:sz w:val="21"/>
                <w:lang w:val="sq-AL"/>
              </w:rPr>
              <w:t>Kursi i këmbimit kundër EUR</w:t>
            </w:r>
          </w:p>
        </w:tc>
        <w:tc>
          <w:tcPr>
            <w:tcW w:w="892" w:type="dxa"/>
          </w:tcPr>
          <w:p w14:paraId="2800EE8B" w14:textId="77777777" w:rsidR="00E6279B" w:rsidRPr="0032048B" w:rsidRDefault="00E6279B" w:rsidP="00E6279B">
            <w:pPr>
              <w:spacing w:before="16"/>
              <w:ind w:left="38" w:right="26"/>
              <w:jc w:val="center"/>
              <w:rPr>
                <w:sz w:val="21"/>
                <w:lang w:val="sq-AL"/>
              </w:rPr>
            </w:pPr>
            <w:r w:rsidRPr="0032048B">
              <w:rPr>
                <w:spacing w:val="-2"/>
                <w:sz w:val="21"/>
                <w:lang w:val="sq-AL"/>
              </w:rPr>
              <w:t>133.7</w:t>
            </w:r>
          </w:p>
        </w:tc>
        <w:tc>
          <w:tcPr>
            <w:tcW w:w="736" w:type="dxa"/>
          </w:tcPr>
          <w:p w14:paraId="46CC210A" w14:textId="77777777" w:rsidR="00E6279B" w:rsidRPr="0032048B" w:rsidRDefault="00E6279B" w:rsidP="00E6279B">
            <w:pPr>
              <w:spacing w:before="16"/>
              <w:ind w:left="41" w:right="80"/>
              <w:jc w:val="center"/>
              <w:rPr>
                <w:sz w:val="21"/>
                <w:lang w:val="sq-AL"/>
              </w:rPr>
            </w:pPr>
            <w:r w:rsidRPr="0032048B">
              <w:rPr>
                <w:spacing w:val="-2"/>
                <w:sz w:val="21"/>
                <w:lang w:val="sq-AL"/>
              </w:rPr>
              <w:t>123.7</w:t>
            </w:r>
          </w:p>
        </w:tc>
        <w:tc>
          <w:tcPr>
            <w:tcW w:w="797" w:type="dxa"/>
          </w:tcPr>
          <w:p w14:paraId="201C4E9B" w14:textId="77777777" w:rsidR="00E6279B" w:rsidRPr="0032048B" w:rsidRDefault="00E6279B" w:rsidP="00E6279B">
            <w:pPr>
              <w:spacing w:before="16"/>
              <w:ind w:left="38" w:right="38"/>
              <w:jc w:val="center"/>
              <w:rPr>
                <w:sz w:val="21"/>
                <w:lang w:val="sq-AL"/>
              </w:rPr>
            </w:pPr>
            <w:r w:rsidRPr="0032048B">
              <w:rPr>
                <w:spacing w:val="-2"/>
                <w:sz w:val="21"/>
                <w:lang w:val="sq-AL"/>
              </w:rPr>
              <w:t>122.5</w:t>
            </w:r>
          </w:p>
        </w:tc>
        <w:tc>
          <w:tcPr>
            <w:tcW w:w="823" w:type="dxa"/>
            <w:tcBorders>
              <w:right w:val="single" w:sz="6" w:space="0" w:color="000000"/>
            </w:tcBorders>
          </w:tcPr>
          <w:p w14:paraId="79005F34" w14:textId="77777777" w:rsidR="00E6279B" w:rsidRPr="0032048B" w:rsidRDefault="00E6279B" w:rsidP="00E6279B">
            <w:pPr>
              <w:spacing w:before="16"/>
              <w:ind w:left="17" w:right="14"/>
              <w:jc w:val="center"/>
              <w:rPr>
                <w:sz w:val="21"/>
                <w:lang w:val="sq-AL"/>
              </w:rPr>
            </w:pPr>
            <w:r w:rsidRPr="0032048B">
              <w:rPr>
                <w:spacing w:val="-2"/>
                <w:sz w:val="21"/>
                <w:lang w:val="sq-AL"/>
              </w:rPr>
              <w:t>119.0</w:t>
            </w:r>
          </w:p>
        </w:tc>
      </w:tr>
      <w:tr w:rsidR="00E6279B" w:rsidRPr="0032048B" w14:paraId="41C9FDC0" w14:textId="77777777" w:rsidTr="00456F1B">
        <w:trPr>
          <w:trHeight w:val="278"/>
        </w:trPr>
        <w:tc>
          <w:tcPr>
            <w:tcW w:w="5371" w:type="dxa"/>
            <w:tcBorders>
              <w:left w:val="single" w:sz="6" w:space="0" w:color="000000"/>
            </w:tcBorders>
          </w:tcPr>
          <w:p w14:paraId="31B78EAD" w14:textId="77777777" w:rsidR="00E6279B" w:rsidRPr="0032048B" w:rsidRDefault="00E6279B" w:rsidP="00E6279B">
            <w:pPr>
              <w:spacing w:before="16"/>
              <w:ind w:left="33"/>
              <w:rPr>
                <w:sz w:val="21"/>
                <w:lang w:val="sq-AL"/>
              </w:rPr>
            </w:pPr>
            <w:r w:rsidRPr="0032048B">
              <w:rPr>
                <w:b/>
                <w:spacing w:val="-6"/>
                <w:sz w:val="21"/>
                <w:lang w:val="sq-AL"/>
              </w:rPr>
              <w:t xml:space="preserve">Bilanci i llogarive </w:t>
            </w:r>
            <w:proofErr w:type="spellStart"/>
            <w:r w:rsidRPr="0032048B">
              <w:rPr>
                <w:b/>
                <w:spacing w:val="-6"/>
                <w:sz w:val="21"/>
                <w:lang w:val="sq-AL"/>
              </w:rPr>
              <w:t>korente</w:t>
            </w:r>
            <w:proofErr w:type="spellEnd"/>
            <w:r w:rsidRPr="0032048B">
              <w:rPr>
                <w:b/>
                <w:spacing w:val="-6"/>
                <w:sz w:val="21"/>
                <w:lang w:val="sq-AL"/>
              </w:rPr>
              <w:t xml:space="preserve"> </w:t>
            </w:r>
            <w:r w:rsidRPr="0032048B">
              <w:rPr>
                <w:spacing w:val="-6"/>
                <w:sz w:val="21"/>
                <w:lang w:val="sq-AL"/>
              </w:rPr>
              <w:t>(%</w:t>
            </w:r>
            <w:r w:rsidRPr="0032048B">
              <w:rPr>
                <w:sz w:val="21"/>
                <w:lang w:val="sq-AL"/>
              </w:rPr>
              <w:t xml:space="preserve"> e PBB-së</w:t>
            </w:r>
            <w:r w:rsidRPr="0032048B">
              <w:rPr>
                <w:spacing w:val="-6"/>
                <w:sz w:val="21"/>
                <w:lang w:val="sq-AL"/>
              </w:rPr>
              <w:t>)</w:t>
            </w:r>
          </w:p>
        </w:tc>
        <w:tc>
          <w:tcPr>
            <w:tcW w:w="892" w:type="dxa"/>
          </w:tcPr>
          <w:p w14:paraId="69E940BC" w14:textId="77777777" w:rsidR="00E6279B" w:rsidRPr="0032048B" w:rsidRDefault="00E6279B" w:rsidP="00E6279B">
            <w:pPr>
              <w:spacing w:before="16"/>
              <w:ind w:left="27" w:right="26"/>
              <w:jc w:val="center"/>
              <w:rPr>
                <w:sz w:val="21"/>
                <w:lang w:val="sq-AL"/>
              </w:rPr>
            </w:pPr>
            <w:r w:rsidRPr="0032048B">
              <w:rPr>
                <w:sz w:val="21"/>
                <w:lang w:val="sq-AL"/>
              </w:rPr>
              <w:t>-</w:t>
            </w:r>
            <w:r w:rsidRPr="0032048B">
              <w:rPr>
                <w:spacing w:val="-5"/>
                <w:sz w:val="21"/>
                <w:lang w:val="sq-AL"/>
              </w:rPr>
              <w:t>8.2</w:t>
            </w:r>
          </w:p>
        </w:tc>
        <w:tc>
          <w:tcPr>
            <w:tcW w:w="736" w:type="dxa"/>
          </w:tcPr>
          <w:p w14:paraId="34656DD9" w14:textId="77777777" w:rsidR="00E6279B" w:rsidRPr="0032048B" w:rsidRDefault="00E6279B" w:rsidP="00E6279B">
            <w:pPr>
              <w:spacing w:before="16"/>
              <w:ind w:left="31" w:right="80"/>
              <w:jc w:val="center"/>
              <w:rPr>
                <w:sz w:val="21"/>
                <w:lang w:val="sq-AL"/>
              </w:rPr>
            </w:pPr>
            <w:r w:rsidRPr="0032048B">
              <w:rPr>
                <w:sz w:val="21"/>
                <w:lang w:val="sq-AL"/>
              </w:rPr>
              <w:t>-</w:t>
            </w:r>
            <w:r w:rsidRPr="0032048B">
              <w:rPr>
                <w:spacing w:val="-5"/>
                <w:sz w:val="21"/>
                <w:lang w:val="sq-AL"/>
              </w:rPr>
              <w:t>8.7</w:t>
            </w:r>
          </w:p>
        </w:tc>
        <w:tc>
          <w:tcPr>
            <w:tcW w:w="797" w:type="dxa"/>
          </w:tcPr>
          <w:p w14:paraId="3233F9D8" w14:textId="77777777" w:rsidR="00E6279B" w:rsidRPr="0032048B" w:rsidRDefault="00E6279B" w:rsidP="00E6279B">
            <w:pPr>
              <w:spacing w:before="16"/>
              <w:ind w:left="31" w:right="38"/>
              <w:jc w:val="center"/>
              <w:rPr>
                <w:sz w:val="21"/>
                <w:lang w:val="sq-AL"/>
              </w:rPr>
            </w:pPr>
            <w:r w:rsidRPr="0032048B">
              <w:rPr>
                <w:sz w:val="21"/>
                <w:lang w:val="sq-AL"/>
              </w:rPr>
              <w:t>-</w:t>
            </w:r>
            <w:r w:rsidRPr="0032048B">
              <w:rPr>
                <w:spacing w:val="-5"/>
                <w:sz w:val="21"/>
                <w:lang w:val="sq-AL"/>
              </w:rPr>
              <w:t>7.7</w:t>
            </w:r>
          </w:p>
        </w:tc>
        <w:tc>
          <w:tcPr>
            <w:tcW w:w="823" w:type="dxa"/>
            <w:tcBorders>
              <w:right w:val="single" w:sz="6" w:space="0" w:color="000000"/>
            </w:tcBorders>
          </w:tcPr>
          <w:p w14:paraId="0F04AF69" w14:textId="77777777" w:rsidR="00E6279B" w:rsidRPr="0032048B" w:rsidRDefault="00E6279B" w:rsidP="00E6279B">
            <w:pPr>
              <w:spacing w:before="16"/>
              <w:ind w:left="27" w:right="14"/>
              <w:jc w:val="center"/>
              <w:rPr>
                <w:sz w:val="21"/>
                <w:lang w:val="sq-AL"/>
              </w:rPr>
            </w:pPr>
            <w:r w:rsidRPr="0032048B">
              <w:rPr>
                <w:sz w:val="21"/>
                <w:lang w:val="sq-AL"/>
              </w:rPr>
              <w:t>-</w:t>
            </w:r>
            <w:r w:rsidRPr="0032048B">
              <w:rPr>
                <w:spacing w:val="-5"/>
                <w:sz w:val="21"/>
                <w:lang w:val="sq-AL"/>
              </w:rPr>
              <w:t>6.0</w:t>
            </w:r>
          </w:p>
        </w:tc>
      </w:tr>
      <w:tr w:rsidR="00E6279B" w:rsidRPr="0032048B" w14:paraId="0B04AFD0" w14:textId="77777777" w:rsidTr="00456F1B">
        <w:trPr>
          <w:trHeight w:val="278"/>
        </w:trPr>
        <w:tc>
          <w:tcPr>
            <w:tcW w:w="5371" w:type="dxa"/>
            <w:tcBorders>
              <w:left w:val="single" w:sz="6" w:space="0" w:color="000000"/>
            </w:tcBorders>
          </w:tcPr>
          <w:p w14:paraId="7D1887D6" w14:textId="77777777" w:rsidR="00E6279B" w:rsidRPr="0032048B" w:rsidRDefault="00E6279B" w:rsidP="00E6279B">
            <w:pPr>
              <w:spacing w:before="16"/>
              <w:ind w:left="33"/>
              <w:rPr>
                <w:sz w:val="21"/>
                <w:lang w:val="sq-AL"/>
              </w:rPr>
            </w:pPr>
            <w:r w:rsidRPr="0032048B">
              <w:rPr>
                <w:b/>
                <w:spacing w:val="-4"/>
                <w:sz w:val="21"/>
                <w:lang w:val="sq-AL"/>
              </w:rPr>
              <w:t xml:space="preserve">Investimet e huaja </w:t>
            </w:r>
            <w:proofErr w:type="spellStart"/>
            <w:r w:rsidRPr="0032048B">
              <w:rPr>
                <w:b/>
                <w:spacing w:val="-4"/>
                <w:sz w:val="21"/>
                <w:lang w:val="sq-AL"/>
              </w:rPr>
              <w:t>direkte</w:t>
            </w:r>
            <w:proofErr w:type="spellEnd"/>
            <w:r w:rsidRPr="0032048B">
              <w:rPr>
                <w:b/>
                <w:spacing w:val="-4"/>
                <w:sz w:val="21"/>
                <w:lang w:val="sq-AL"/>
              </w:rPr>
              <w:t xml:space="preserve"> neto,</w:t>
            </w:r>
            <w:r w:rsidRPr="0032048B">
              <w:rPr>
                <w:b/>
                <w:spacing w:val="-2"/>
                <w:sz w:val="21"/>
                <w:lang w:val="sq-AL"/>
              </w:rPr>
              <w:t xml:space="preserve"> IHD </w:t>
            </w:r>
            <w:r w:rsidRPr="0032048B">
              <w:rPr>
                <w:spacing w:val="-4"/>
                <w:sz w:val="21"/>
                <w:lang w:val="sq-AL"/>
              </w:rPr>
              <w:t>(%</w:t>
            </w:r>
            <w:r w:rsidRPr="0032048B">
              <w:rPr>
                <w:spacing w:val="1"/>
                <w:sz w:val="21"/>
                <w:lang w:val="sq-AL"/>
              </w:rPr>
              <w:t xml:space="preserve"> e PBB-së</w:t>
            </w:r>
            <w:r w:rsidRPr="0032048B">
              <w:rPr>
                <w:spacing w:val="-4"/>
                <w:sz w:val="21"/>
                <w:lang w:val="sq-AL"/>
              </w:rPr>
              <w:t>)</w:t>
            </w:r>
          </w:p>
        </w:tc>
        <w:tc>
          <w:tcPr>
            <w:tcW w:w="892" w:type="dxa"/>
          </w:tcPr>
          <w:p w14:paraId="31201BD2" w14:textId="77777777" w:rsidR="00E6279B" w:rsidRPr="0032048B" w:rsidRDefault="00E6279B" w:rsidP="00E6279B">
            <w:pPr>
              <w:spacing w:before="16"/>
              <w:ind w:left="38" w:right="26"/>
              <w:jc w:val="center"/>
              <w:rPr>
                <w:sz w:val="21"/>
                <w:lang w:val="sq-AL"/>
              </w:rPr>
            </w:pPr>
            <w:r w:rsidRPr="0032048B">
              <w:rPr>
                <w:spacing w:val="-5"/>
                <w:sz w:val="21"/>
                <w:lang w:val="sq-AL"/>
              </w:rPr>
              <w:t>8.2</w:t>
            </w:r>
          </w:p>
        </w:tc>
        <w:tc>
          <w:tcPr>
            <w:tcW w:w="736" w:type="dxa"/>
          </w:tcPr>
          <w:p w14:paraId="37D82387" w14:textId="77777777" w:rsidR="00E6279B" w:rsidRPr="0032048B" w:rsidRDefault="00E6279B" w:rsidP="00E6279B">
            <w:pPr>
              <w:spacing w:before="16"/>
              <w:ind w:left="41" w:right="80"/>
              <w:jc w:val="center"/>
              <w:rPr>
                <w:sz w:val="21"/>
                <w:lang w:val="sq-AL"/>
              </w:rPr>
            </w:pPr>
            <w:r w:rsidRPr="0032048B">
              <w:rPr>
                <w:spacing w:val="-5"/>
                <w:sz w:val="21"/>
                <w:lang w:val="sq-AL"/>
              </w:rPr>
              <w:t>6.7</w:t>
            </w:r>
          </w:p>
        </w:tc>
        <w:tc>
          <w:tcPr>
            <w:tcW w:w="797" w:type="dxa"/>
          </w:tcPr>
          <w:p w14:paraId="79D7BC85" w14:textId="77777777" w:rsidR="00E6279B" w:rsidRPr="0032048B" w:rsidRDefault="00E6279B" w:rsidP="00E6279B">
            <w:pPr>
              <w:spacing w:before="16"/>
              <w:ind w:left="38" w:right="38"/>
              <w:jc w:val="center"/>
              <w:rPr>
                <w:sz w:val="21"/>
                <w:lang w:val="sq-AL"/>
              </w:rPr>
            </w:pPr>
            <w:r w:rsidRPr="0032048B">
              <w:rPr>
                <w:spacing w:val="-5"/>
                <w:sz w:val="21"/>
                <w:lang w:val="sq-AL"/>
              </w:rPr>
              <w:t>6.5</w:t>
            </w:r>
          </w:p>
        </w:tc>
        <w:tc>
          <w:tcPr>
            <w:tcW w:w="823" w:type="dxa"/>
            <w:tcBorders>
              <w:right w:val="single" w:sz="6" w:space="0" w:color="000000"/>
            </w:tcBorders>
          </w:tcPr>
          <w:p w14:paraId="64682949" w14:textId="77777777" w:rsidR="00E6279B" w:rsidRPr="0032048B" w:rsidRDefault="00E6279B" w:rsidP="00E6279B">
            <w:pPr>
              <w:spacing w:before="16"/>
              <w:ind w:left="17" w:right="14"/>
              <w:jc w:val="center"/>
              <w:rPr>
                <w:sz w:val="21"/>
                <w:lang w:val="sq-AL"/>
              </w:rPr>
            </w:pPr>
            <w:r w:rsidRPr="0032048B">
              <w:rPr>
                <w:spacing w:val="-5"/>
                <w:sz w:val="21"/>
                <w:lang w:val="sq-AL"/>
              </w:rPr>
              <w:t>6.7</w:t>
            </w:r>
          </w:p>
        </w:tc>
      </w:tr>
      <w:tr w:rsidR="00E6279B" w:rsidRPr="0032048B" w14:paraId="5B0B6928" w14:textId="77777777" w:rsidTr="00456F1B">
        <w:trPr>
          <w:trHeight w:val="273"/>
        </w:trPr>
        <w:tc>
          <w:tcPr>
            <w:tcW w:w="5371" w:type="dxa"/>
            <w:tcBorders>
              <w:left w:val="single" w:sz="6" w:space="0" w:color="000000"/>
            </w:tcBorders>
          </w:tcPr>
          <w:p w14:paraId="4DD96D51" w14:textId="77777777" w:rsidR="00E6279B" w:rsidRPr="0032048B" w:rsidRDefault="00E6279B" w:rsidP="00E6279B">
            <w:pPr>
              <w:spacing w:before="16" w:line="238" w:lineRule="exact"/>
              <w:ind w:left="33"/>
              <w:rPr>
                <w:sz w:val="21"/>
                <w:lang w:val="sq-AL"/>
              </w:rPr>
            </w:pPr>
            <w:r w:rsidRPr="0032048B">
              <w:rPr>
                <w:b/>
                <w:spacing w:val="-4"/>
                <w:sz w:val="21"/>
                <w:lang w:val="sq-AL"/>
              </w:rPr>
              <w:t xml:space="preserve">Bilanci i përgjithshëm i qeverisë </w:t>
            </w:r>
            <w:r w:rsidRPr="0032048B">
              <w:rPr>
                <w:spacing w:val="-4"/>
                <w:sz w:val="21"/>
                <w:lang w:val="sq-AL"/>
              </w:rPr>
              <w:t>(%</w:t>
            </w:r>
            <w:r w:rsidRPr="0032048B">
              <w:rPr>
                <w:spacing w:val="-3"/>
                <w:sz w:val="21"/>
                <w:lang w:val="sq-AL"/>
              </w:rPr>
              <w:t xml:space="preserve"> e PBB-së</w:t>
            </w:r>
            <w:r w:rsidRPr="0032048B">
              <w:rPr>
                <w:spacing w:val="-4"/>
                <w:sz w:val="21"/>
                <w:lang w:val="sq-AL"/>
              </w:rPr>
              <w:t>)</w:t>
            </w:r>
          </w:p>
        </w:tc>
        <w:tc>
          <w:tcPr>
            <w:tcW w:w="892" w:type="dxa"/>
          </w:tcPr>
          <w:p w14:paraId="2943A374" w14:textId="77777777" w:rsidR="00E6279B" w:rsidRPr="0032048B" w:rsidRDefault="00E6279B" w:rsidP="00E6279B">
            <w:pPr>
              <w:spacing w:before="16" w:line="238" w:lineRule="exact"/>
              <w:ind w:left="27" w:right="26"/>
              <w:jc w:val="center"/>
              <w:rPr>
                <w:sz w:val="21"/>
                <w:lang w:val="sq-AL"/>
              </w:rPr>
            </w:pPr>
            <w:r w:rsidRPr="0032048B">
              <w:rPr>
                <w:sz w:val="21"/>
                <w:lang w:val="sq-AL"/>
              </w:rPr>
              <w:t>-</w:t>
            </w:r>
            <w:r w:rsidRPr="0032048B">
              <w:rPr>
                <w:spacing w:val="-5"/>
                <w:sz w:val="21"/>
                <w:lang w:val="sq-AL"/>
              </w:rPr>
              <w:t>2.8</w:t>
            </w:r>
          </w:p>
        </w:tc>
        <w:tc>
          <w:tcPr>
            <w:tcW w:w="736" w:type="dxa"/>
          </w:tcPr>
          <w:p w14:paraId="22E2699E" w14:textId="77777777" w:rsidR="00E6279B" w:rsidRPr="0032048B" w:rsidRDefault="00E6279B" w:rsidP="00E6279B">
            <w:pPr>
              <w:spacing w:before="16" w:line="238" w:lineRule="exact"/>
              <w:ind w:left="31" w:right="80"/>
              <w:jc w:val="center"/>
              <w:rPr>
                <w:sz w:val="21"/>
                <w:lang w:val="sq-AL"/>
              </w:rPr>
            </w:pPr>
            <w:r w:rsidRPr="0032048B">
              <w:rPr>
                <w:sz w:val="21"/>
                <w:lang w:val="sq-AL"/>
              </w:rPr>
              <w:t>-</w:t>
            </w:r>
            <w:r w:rsidRPr="0032048B">
              <w:rPr>
                <w:spacing w:val="-5"/>
                <w:sz w:val="21"/>
                <w:lang w:val="sq-AL"/>
              </w:rPr>
              <w:t>6.7</w:t>
            </w:r>
          </w:p>
        </w:tc>
        <w:tc>
          <w:tcPr>
            <w:tcW w:w="797" w:type="dxa"/>
          </w:tcPr>
          <w:p w14:paraId="62FA8905" w14:textId="77777777" w:rsidR="00E6279B" w:rsidRPr="0032048B" w:rsidRDefault="00E6279B" w:rsidP="00E6279B">
            <w:pPr>
              <w:spacing w:before="16" w:line="238" w:lineRule="exact"/>
              <w:ind w:left="31" w:right="38"/>
              <w:jc w:val="center"/>
              <w:rPr>
                <w:sz w:val="21"/>
                <w:lang w:val="sq-AL"/>
              </w:rPr>
            </w:pPr>
            <w:r w:rsidRPr="0032048B">
              <w:rPr>
                <w:sz w:val="21"/>
                <w:lang w:val="sq-AL"/>
              </w:rPr>
              <w:t>-</w:t>
            </w:r>
            <w:r w:rsidRPr="0032048B">
              <w:rPr>
                <w:spacing w:val="-5"/>
                <w:sz w:val="21"/>
                <w:lang w:val="sq-AL"/>
              </w:rPr>
              <w:t>4.6</w:t>
            </w:r>
          </w:p>
        </w:tc>
        <w:tc>
          <w:tcPr>
            <w:tcW w:w="823" w:type="dxa"/>
            <w:tcBorders>
              <w:right w:val="single" w:sz="6" w:space="0" w:color="000000"/>
            </w:tcBorders>
          </w:tcPr>
          <w:p w14:paraId="40676E9E" w14:textId="77777777" w:rsidR="00E6279B" w:rsidRPr="0032048B" w:rsidRDefault="00E6279B" w:rsidP="00E6279B">
            <w:pPr>
              <w:spacing w:before="16" w:line="238" w:lineRule="exact"/>
              <w:ind w:left="27" w:right="14"/>
              <w:jc w:val="center"/>
              <w:rPr>
                <w:sz w:val="21"/>
                <w:lang w:val="sq-AL"/>
              </w:rPr>
            </w:pPr>
            <w:r w:rsidRPr="0032048B">
              <w:rPr>
                <w:sz w:val="21"/>
                <w:lang w:val="sq-AL"/>
              </w:rPr>
              <w:t>-</w:t>
            </w:r>
            <w:r w:rsidRPr="0032048B">
              <w:rPr>
                <w:spacing w:val="-5"/>
                <w:sz w:val="21"/>
                <w:lang w:val="sq-AL"/>
              </w:rPr>
              <w:t>3.7</w:t>
            </w:r>
          </w:p>
        </w:tc>
      </w:tr>
      <w:tr w:rsidR="00E6279B" w:rsidRPr="0032048B" w14:paraId="38ABA9CF" w14:textId="77777777" w:rsidTr="00456F1B">
        <w:trPr>
          <w:trHeight w:val="311"/>
        </w:trPr>
        <w:tc>
          <w:tcPr>
            <w:tcW w:w="5371" w:type="dxa"/>
            <w:tcBorders>
              <w:left w:val="single" w:sz="6" w:space="0" w:color="000000"/>
              <w:bottom w:val="single" w:sz="6" w:space="0" w:color="000000"/>
            </w:tcBorders>
          </w:tcPr>
          <w:p w14:paraId="5FCE017D" w14:textId="77777777" w:rsidR="00E6279B" w:rsidRPr="0032048B" w:rsidRDefault="00E6279B" w:rsidP="00E6279B">
            <w:pPr>
              <w:spacing w:before="10"/>
              <w:ind w:left="33"/>
              <w:rPr>
                <w:sz w:val="21"/>
                <w:lang w:val="sq-AL"/>
              </w:rPr>
            </w:pPr>
            <w:r w:rsidRPr="0032048B">
              <w:rPr>
                <w:b/>
                <w:spacing w:val="-4"/>
                <w:sz w:val="21"/>
                <w:lang w:val="sq-AL"/>
              </w:rPr>
              <w:t xml:space="preserve">Borxhi i përgjithshëm i qeverisë </w:t>
            </w:r>
            <w:r w:rsidRPr="0032048B">
              <w:rPr>
                <w:spacing w:val="-4"/>
                <w:sz w:val="21"/>
                <w:lang w:val="sq-AL"/>
              </w:rPr>
              <w:t>(%</w:t>
            </w:r>
            <w:r w:rsidRPr="0032048B">
              <w:rPr>
                <w:spacing w:val="-1"/>
                <w:sz w:val="21"/>
                <w:lang w:val="sq-AL"/>
              </w:rPr>
              <w:t xml:space="preserve"> e PBB-së</w:t>
            </w:r>
            <w:r w:rsidRPr="0032048B">
              <w:rPr>
                <w:spacing w:val="-4"/>
                <w:sz w:val="21"/>
                <w:lang w:val="sq-AL"/>
              </w:rPr>
              <w:t>)</w:t>
            </w:r>
          </w:p>
        </w:tc>
        <w:tc>
          <w:tcPr>
            <w:tcW w:w="892" w:type="dxa"/>
            <w:tcBorders>
              <w:bottom w:val="single" w:sz="6" w:space="0" w:color="000000"/>
            </w:tcBorders>
          </w:tcPr>
          <w:p w14:paraId="7D1C1011" w14:textId="77777777" w:rsidR="00E6279B" w:rsidRPr="0032048B" w:rsidRDefault="00E6279B" w:rsidP="00E6279B">
            <w:pPr>
              <w:spacing w:before="10"/>
              <w:ind w:left="38" w:right="26"/>
              <w:jc w:val="center"/>
              <w:rPr>
                <w:sz w:val="21"/>
                <w:lang w:val="sq-AL"/>
              </w:rPr>
            </w:pPr>
            <w:r w:rsidRPr="0032048B">
              <w:rPr>
                <w:spacing w:val="-4"/>
                <w:sz w:val="21"/>
                <w:lang w:val="sq-AL"/>
              </w:rPr>
              <w:t>69.8</w:t>
            </w:r>
          </w:p>
        </w:tc>
        <w:tc>
          <w:tcPr>
            <w:tcW w:w="736" w:type="dxa"/>
            <w:tcBorders>
              <w:bottom w:val="single" w:sz="6" w:space="0" w:color="000000"/>
            </w:tcBorders>
          </w:tcPr>
          <w:p w14:paraId="38A15F73" w14:textId="77777777" w:rsidR="00E6279B" w:rsidRPr="0032048B" w:rsidRDefault="00E6279B" w:rsidP="00E6279B">
            <w:pPr>
              <w:spacing w:before="10"/>
              <w:ind w:left="41" w:right="80"/>
              <w:jc w:val="center"/>
              <w:rPr>
                <w:sz w:val="21"/>
                <w:lang w:val="sq-AL"/>
              </w:rPr>
            </w:pPr>
            <w:r w:rsidRPr="0032048B">
              <w:rPr>
                <w:spacing w:val="-4"/>
                <w:sz w:val="21"/>
                <w:lang w:val="sq-AL"/>
              </w:rPr>
              <w:t>74.3</w:t>
            </w:r>
          </w:p>
        </w:tc>
        <w:tc>
          <w:tcPr>
            <w:tcW w:w="797" w:type="dxa"/>
            <w:tcBorders>
              <w:bottom w:val="single" w:sz="6" w:space="0" w:color="000000"/>
            </w:tcBorders>
          </w:tcPr>
          <w:p w14:paraId="21D7A19C" w14:textId="77777777" w:rsidR="00E6279B" w:rsidRPr="0032048B" w:rsidRDefault="00E6279B" w:rsidP="00E6279B">
            <w:pPr>
              <w:spacing w:before="10"/>
              <w:ind w:left="38" w:right="38"/>
              <w:jc w:val="center"/>
              <w:rPr>
                <w:sz w:val="21"/>
                <w:lang w:val="sq-AL"/>
              </w:rPr>
            </w:pPr>
            <w:r w:rsidRPr="0032048B">
              <w:rPr>
                <w:spacing w:val="-4"/>
                <w:sz w:val="21"/>
                <w:lang w:val="sq-AL"/>
              </w:rPr>
              <w:t>74.5</w:t>
            </w:r>
          </w:p>
        </w:tc>
        <w:tc>
          <w:tcPr>
            <w:tcW w:w="823" w:type="dxa"/>
            <w:tcBorders>
              <w:bottom w:val="single" w:sz="6" w:space="0" w:color="000000"/>
              <w:right w:val="single" w:sz="6" w:space="0" w:color="000000"/>
            </w:tcBorders>
          </w:tcPr>
          <w:p w14:paraId="685FA78D" w14:textId="77777777" w:rsidR="00E6279B" w:rsidRPr="0032048B" w:rsidRDefault="00E6279B" w:rsidP="00E6279B">
            <w:pPr>
              <w:spacing w:before="10"/>
              <w:ind w:left="17" w:right="14"/>
              <w:jc w:val="center"/>
              <w:rPr>
                <w:sz w:val="21"/>
                <w:lang w:val="sq-AL"/>
              </w:rPr>
            </w:pPr>
            <w:r w:rsidRPr="0032048B">
              <w:rPr>
                <w:spacing w:val="-4"/>
                <w:sz w:val="21"/>
                <w:lang w:val="sq-AL"/>
              </w:rPr>
              <w:t>64.6</w:t>
            </w:r>
          </w:p>
        </w:tc>
      </w:tr>
    </w:tbl>
    <w:p w14:paraId="2C9E3F05" w14:textId="77777777" w:rsidR="00E6279B" w:rsidRPr="0032048B" w:rsidRDefault="00E6279B" w:rsidP="00E6279B">
      <w:pPr>
        <w:spacing w:before="23"/>
        <w:ind w:left="1020"/>
        <w:rPr>
          <w:i/>
          <w:sz w:val="20"/>
          <w:lang w:val="sq-AL"/>
        </w:rPr>
      </w:pPr>
      <w:r w:rsidRPr="0032048B">
        <w:rPr>
          <w:i/>
          <w:spacing w:val="-6"/>
          <w:sz w:val="20"/>
          <w:u w:val="single"/>
          <w:lang w:val="sq-AL"/>
        </w:rPr>
        <w:t>Shënime</w:t>
      </w:r>
      <w:r w:rsidRPr="0032048B">
        <w:rPr>
          <w:i/>
          <w:spacing w:val="-10"/>
          <w:sz w:val="20"/>
          <w:lang w:val="sq-AL"/>
        </w:rPr>
        <w:t>:</w:t>
      </w:r>
    </w:p>
    <w:p w14:paraId="4DE46DF8" w14:textId="77777777" w:rsidR="00E6279B" w:rsidRPr="0032048B" w:rsidRDefault="00E6279B" w:rsidP="00E6279B">
      <w:pPr>
        <w:numPr>
          <w:ilvl w:val="0"/>
          <w:numId w:val="3"/>
        </w:numPr>
        <w:tabs>
          <w:tab w:val="left" w:pos="1243"/>
        </w:tabs>
        <w:spacing w:before="38"/>
        <w:ind w:left="1243" w:hanging="223"/>
        <w:rPr>
          <w:i/>
          <w:sz w:val="20"/>
          <w:lang w:val="sq-AL"/>
        </w:rPr>
      </w:pPr>
      <w:proofErr w:type="spellStart"/>
      <w:r w:rsidRPr="0032048B">
        <w:rPr>
          <w:i/>
          <w:spacing w:val="-2"/>
          <w:sz w:val="20"/>
          <w:lang w:val="sq-AL"/>
        </w:rPr>
        <w:t>Eurostat</w:t>
      </w:r>
      <w:proofErr w:type="spellEnd"/>
    </w:p>
    <w:p w14:paraId="4F5BA40D" w14:textId="77777777" w:rsidR="00E6279B" w:rsidRPr="0032048B" w:rsidRDefault="00E6279B" w:rsidP="00E6279B">
      <w:pPr>
        <w:numPr>
          <w:ilvl w:val="0"/>
          <w:numId w:val="3"/>
        </w:numPr>
        <w:tabs>
          <w:tab w:val="left" w:pos="1243"/>
        </w:tabs>
        <w:spacing w:before="7" w:line="280" w:lineRule="auto"/>
        <w:ind w:left="1020" w:right="5050" w:firstLine="0"/>
        <w:rPr>
          <w:i/>
          <w:sz w:val="20"/>
          <w:lang w:val="sq-AL"/>
        </w:rPr>
      </w:pPr>
      <w:r w:rsidRPr="0032048B">
        <w:rPr>
          <w:i/>
          <w:spacing w:val="-2"/>
          <w:sz w:val="20"/>
          <w:lang w:val="sq-AL"/>
        </w:rPr>
        <w:t xml:space="preserve">Paga mesatare mujore bruto: mesatarja për 2015-2019 Burimi: Burimet kombëtare </w:t>
      </w:r>
    </w:p>
    <w:p w14:paraId="09B16237" w14:textId="77777777" w:rsidR="00E6279B" w:rsidRPr="0032048B" w:rsidRDefault="00E6279B" w:rsidP="00E6279B">
      <w:pPr>
        <w:spacing w:before="111"/>
        <w:ind w:left="980" w:right="978"/>
        <w:jc w:val="both"/>
        <w:rPr>
          <w:i/>
          <w:sz w:val="24"/>
          <w:highlight w:val="yellow"/>
          <w:lang w:val="sq-AL"/>
        </w:rPr>
      </w:pPr>
      <w:r w:rsidRPr="0032048B">
        <w:rPr>
          <w:i/>
          <w:sz w:val="24"/>
          <w:lang w:val="sq-AL"/>
        </w:rPr>
        <w:t>Në përputhje me përfundimet e Këshillit Evropian në Kopenhagë në qershor të vitit 1993, anëtarësimi në BE kërkon praninë e një ekonomie tregu funksionale dhe aftësinë për të përballuar presionin konkurrues dhe forcat e tregut brenda Bashkimit.</w:t>
      </w:r>
    </w:p>
    <w:p w14:paraId="75118323" w14:textId="77777777" w:rsidR="00E6279B" w:rsidRPr="0032048B" w:rsidRDefault="00E6279B" w:rsidP="00E6279B">
      <w:pPr>
        <w:numPr>
          <w:ilvl w:val="2"/>
          <w:numId w:val="2"/>
        </w:numPr>
        <w:tabs>
          <w:tab w:val="left" w:pos="1640"/>
        </w:tabs>
        <w:spacing w:before="120"/>
        <w:jc w:val="both"/>
        <w:outlineLvl w:val="0"/>
        <w:rPr>
          <w:b/>
          <w:bCs/>
          <w:sz w:val="24"/>
          <w:szCs w:val="24"/>
          <w:lang w:val="sq-AL"/>
        </w:rPr>
      </w:pPr>
      <w:bookmarkStart w:id="32" w:name="2.3.1._The_existence_of_a_functioning_ma"/>
      <w:bookmarkStart w:id="33" w:name="_bookmark16"/>
      <w:bookmarkEnd w:id="32"/>
      <w:bookmarkEnd w:id="33"/>
      <w:r w:rsidRPr="0032048B">
        <w:rPr>
          <w:b/>
          <w:bCs/>
          <w:spacing w:val="-2"/>
          <w:sz w:val="24"/>
          <w:szCs w:val="24"/>
          <w:lang w:val="sq-AL"/>
        </w:rPr>
        <w:t>Prania e një ekonomie tregu funksionale</w:t>
      </w:r>
    </w:p>
    <w:p w14:paraId="3BE0C788" w14:textId="77777777" w:rsidR="00E6279B" w:rsidRPr="0032048B" w:rsidRDefault="00E6279B" w:rsidP="00E6279B">
      <w:pPr>
        <w:spacing w:before="5"/>
        <w:rPr>
          <w:b/>
          <w:sz w:val="10"/>
          <w:szCs w:val="24"/>
          <w:highlight w:val="yellow"/>
          <w:lang w:val="sq-AL"/>
        </w:rPr>
      </w:pPr>
    </w:p>
    <w:tbl>
      <w:tblPr>
        <w:tblW w:w="0" w:type="auto"/>
        <w:tblInd w:w="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2"/>
      </w:tblGrid>
      <w:tr w:rsidR="00E6279B" w:rsidRPr="0032048B" w14:paraId="53D3763F" w14:textId="77777777" w:rsidTr="00CC77B5">
        <w:trPr>
          <w:trHeight w:val="3959"/>
        </w:trPr>
        <w:tc>
          <w:tcPr>
            <w:tcW w:w="9242" w:type="dxa"/>
            <w:tcBorders>
              <w:top w:val="nil"/>
              <w:bottom w:val="nil"/>
            </w:tcBorders>
            <w:shd w:val="clear" w:color="auto" w:fill="D9D9D9"/>
          </w:tcPr>
          <w:p w14:paraId="34ECCE4C" w14:textId="77777777" w:rsidR="00E6279B" w:rsidRPr="0032048B" w:rsidRDefault="00E6279B" w:rsidP="00E6279B">
            <w:pPr>
              <w:spacing w:line="256" w:lineRule="exact"/>
              <w:ind w:left="11" w:right="2"/>
              <w:jc w:val="both"/>
              <w:rPr>
                <w:sz w:val="24"/>
                <w:lang w:val="sq-AL"/>
              </w:rPr>
            </w:pPr>
            <w:r w:rsidRPr="0032048B">
              <w:rPr>
                <w:sz w:val="24"/>
                <w:lang w:val="sq-AL"/>
              </w:rPr>
              <w:t xml:space="preserve">Shqipëria është </w:t>
            </w:r>
            <w:r w:rsidRPr="0032048B">
              <w:rPr>
                <w:b/>
                <w:bCs/>
                <w:sz w:val="24"/>
                <w:lang w:val="sq-AL"/>
              </w:rPr>
              <w:t>mes një përgatitjeje mesatare dhe një përgatitjeje të mirë</w:t>
            </w:r>
            <w:r w:rsidRPr="0032048B">
              <w:rPr>
                <w:sz w:val="24"/>
                <w:lang w:val="sq-AL"/>
              </w:rPr>
              <w:t xml:space="preserve"> për zhvillimin e një ekonomie tregu funksionale, dhe ka bërë </w:t>
            </w:r>
            <w:r w:rsidRPr="0032048B">
              <w:rPr>
                <w:b/>
                <w:bCs/>
                <w:sz w:val="24"/>
                <w:lang w:val="sq-AL"/>
              </w:rPr>
              <w:t>progres të mirë</w:t>
            </w:r>
            <w:r w:rsidRPr="0032048B">
              <w:rPr>
                <w:sz w:val="24"/>
                <w:lang w:val="sq-AL"/>
              </w:rPr>
              <w:t xml:space="preserve"> në këtë fushë. Pavarësisht rënies ekonomike të shkaktuar nga lufta e Rusisë kundër Ukrainës, ekonomia shqiptare ka treguar qëndrueshmëri dhe rritja e PBB-së vazhdoi të jetë e qëndrueshme në vitin 2022. Inflacioni u rrit mbi nivelin e synuar në vitin 2022, por vazhdoi të mbetej me një shifër dhe pastaj u ul në fillim të vitit 2023. Kjo rimëkëmbje mbështeti </w:t>
            </w:r>
            <w:proofErr w:type="spellStart"/>
            <w:r w:rsidRPr="0032048B">
              <w:rPr>
                <w:sz w:val="24"/>
                <w:lang w:val="sq-AL"/>
              </w:rPr>
              <w:t>performancën</w:t>
            </w:r>
            <w:proofErr w:type="spellEnd"/>
            <w:r w:rsidRPr="0032048B">
              <w:rPr>
                <w:sz w:val="24"/>
                <w:lang w:val="sq-AL"/>
              </w:rPr>
              <w:t xml:space="preserve"> e tregut të punës, duke i dhënë Shqipërisë normën më të lartë pjesëmarrës dhe një ndër normat më të ulëta të papunësisë në rajon. Falë rritjes së qëndrueshme të </w:t>
            </w:r>
            <w:proofErr w:type="spellStart"/>
            <w:r w:rsidRPr="0032048B">
              <w:rPr>
                <w:sz w:val="24"/>
                <w:lang w:val="sq-AL"/>
              </w:rPr>
              <w:t>të</w:t>
            </w:r>
            <w:proofErr w:type="spellEnd"/>
            <w:r w:rsidRPr="0032048B">
              <w:rPr>
                <w:sz w:val="24"/>
                <w:lang w:val="sq-AL"/>
              </w:rPr>
              <w:t xml:space="preserve"> ardhurave dhe një rritjeje të madhe në PBB-në nominale, norma e borxhit publik ra shumë më tepër nga sa pritej, në një nivel më të ulët se sa ai i krizës së vitit 2019, por ajo mbetet një ndër normat më të larta në rajon. Vendi prezantoi reformat e shumëpritura për të përmirësuar shpenzimet e investimeve, planifikimin dhe zbatimin, dhe monitorimi i </w:t>
            </w:r>
            <w:proofErr w:type="spellStart"/>
            <w:r w:rsidRPr="0032048B">
              <w:rPr>
                <w:sz w:val="24"/>
                <w:lang w:val="sq-AL"/>
              </w:rPr>
              <w:t>risqeve</w:t>
            </w:r>
            <w:proofErr w:type="spellEnd"/>
            <w:r w:rsidRPr="0032048B">
              <w:rPr>
                <w:sz w:val="24"/>
                <w:lang w:val="sq-AL"/>
              </w:rPr>
              <w:t xml:space="preserve"> financiare filloi të përmirësohet, por të dyja këto fusha vazhdojnë të kenë ende mangësi. Ka pasur progres të mirë në lidhje me reformat që lidhen me të ardhurat, por planet për të miratuar një strategji afatmesme për të ardhurat janë lënë pezull, ndërkohë që niveli i ulët i të ardhurave vazhdon të pengojë investimet e nevojshme. Sistemi financiar vazhdon të jetë i qëndrueshëm dhe të zgjerohet, por ndërmjetësimi financiar mbetet i ulët. Mjedisi i biznesit ka përfituar nga një nivel më i lartë i digjitalizimit të shërbimeve publike. Megjithatë, sfidat që lidhen me një ekonominë të gjerë </w:t>
            </w:r>
            <w:proofErr w:type="spellStart"/>
            <w:r w:rsidRPr="0032048B">
              <w:rPr>
                <w:sz w:val="24"/>
                <w:lang w:val="sq-AL"/>
              </w:rPr>
              <w:t>informale</w:t>
            </w:r>
            <w:proofErr w:type="spellEnd"/>
            <w:r w:rsidRPr="0032048B">
              <w:rPr>
                <w:sz w:val="24"/>
                <w:lang w:val="sq-AL"/>
              </w:rPr>
              <w:t xml:space="preserve"> dhe mungesën e punës me aftësitë përkatëse vazhdojnë të ekzistojnë. Konsultimet e qeverisë me publikun nuk kanë pasur një përmirësim të </w:t>
            </w:r>
            <w:r w:rsidRPr="0032048B">
              <w:rPr>
                <w:sz w:val="24"/>
                <w:lang w:val="sq-AL"/>
              </w:rPr>
              <w:lastRenderedPageBreak/>
              <w:t>konsiderueshëm. Rekomandimet e vitit të kaluar për përmirësimin e funksionimit të ekonomisë së tregut janë zbatuar pjesërisht, dhe mbeten pjesërisht të vlefshme. Në vitin e ardhshëm, Shqipëria duhet në veçanti të:</w:t>
            </w:r>
          </w:p>
          <w:p w14:paraId="7BB302E3" w14:textId="77777777" w:rsidR="00CC77B5" w:rsidRPr="0032048B" w:rsidRDefault="00CC77B5" w:rsidP="00CC77B5">
            <w:pPr>
              <w:spacing w:before="119"/>
              <w:ind w:left="467" w:right="96" w:hanging="360"/>
              <w:jc w:val="both"/>
              <w:rPr>
                <w:sz w:val="24"/>
                <w:lang w:val="sq-AL"/>
              </w:rPr>
            </w:pPr>
            <w:r w:rsidRPr="0032048B">
              <w:rPr>
                <w:rFonts w:ascii="Symbol" w:hAnsi="Symbol"/>
                <w:sz w:val="24"/>
                <w:lang w:val="sq-AL"/>
              </w:rPr>
              <w:t></w:t>
            </w:r>
            <w:r w:rsidRPr="0032048B">
              <w:rPr>
                <w:spacing w:val="40"/>
                <w:sz w:val="24"/>
                <w:lang w:val="sq-AL"/>
              </w:rPr>
              <w:t xml:space="preserve"> </w:t>
            </w:r>
            <w:r w:rsidRPr="0032048B">
              <w:rPr>
                <w:sz w:val="24"/>
                <w:lang w:val="sq-AL"/>
              </w:rPr>
              <w:t xml:space="preserve">arrijë një bilanc parësor </w:t>
            </w:r>
            <w:proofErr w:type="spellStart"/>
            <w:r w:rsidRPr="0032048B">
              <w:rPr>
                <w:sz w:val="24"/>
                <w:lang w:val="sq-AL"/>
              </w:rPr>
              <w:t>jonegativ</w:t>
            </w:r>
            <w:proofErr w:type="spellEnd"/>
            <w:r w:rsidRPr="0032048B">
              <w:rPr>
                <w:sz w:val="24"/>
                <w:lang w:val="sq-AL"/>
              </w:rPr>
              <w:t xml:space="preserve"> dhe të vazhdojë të zvogëlojë borxhin publik ndërkohë që ofron mbështetje të synuar për familjet dhe kompanitë e cenueshme, nëse është e nevojshme, dhe të vazhdojë të ulë detyrimet e prapambetura dhe të përdorë procesin e rishikimit të rregullt për ndryshimet në buxhet; </w:t>
            </w:r>
          </w:p>
          <w:p w14:paraId="1D82BC89" w14:textId="6A11811F" w:rsidR="00CC77B5" w:rsidRPr="0032048B" w:rsidRDefault="00CC77B5" w:rsidP="00CC77B5">
            <w:pPr>
              <w:spacing w:before="120"/>
              <w:ind w:left="467" w:right="94" w:hanging="360"/>
              <w:jc w:val="both"/>
              <w:rPr>
                <w:sz w:val="24"/>
                <w:lang w:val="sq-AL"/>
              </w:rPr>
            </w:pPr>
            <w:r w:rsidRPr="0032048B">
              <w:rPr>
                <w:rFonts w:ascii="Symbol" w:hAnsi="Symbol"/>
                <w:sz w:val="24"/>
                <w:lang w:val="sq-AL"/>
              </w:rPr>
              <w:t></w:t>
            </w:r>
            <w:r w:rsidRPr="0032048B">
              <w:rPr>
                <w:spacing w:val="40"/>
                <w:sz w:val="24"/>
                <w:lang w:val="sq-AL"/>
              </w:rPr>
              <w:t xml:space="preserve"> </w:t>
            </w:r>
            <w:r w:rsidRPr="0032048B">
              <w:rPr>
                <w:sz w:val="24"/>
                <w:lang w:val="sq-AL"/>
              </w:rPr>
              <w:t xml:space="preserve">përfundojë procedurat për krijimin e </w:t>
            </w:r>
            <w:r w:rsidR="000857D8">
              <w:rPr>
                <w:sz w:val="24"/>
                <w:lang w:val="sq-AL"/>
              </w:rPr>
              <w:t>Planit të Vetëm Kombëtar të Projektit</w:t>
            </w:r>
            <w:r w:rsidRPr="0032048B">
              <w:rPr>
                <w:sz w:val="24"/>
                <w:lang w:val="sq-AL"/>
              </w:rPr>
              <w:t xml:space="preserve"> dhe të përparojë në hartimin e ndryshimeve ligjore të nevojshme për të integruar plotësisht partneritetet publike private (PPP-të) në të, dhe të përdorë një vlerësim sistematik të riskut kur vendos për garancitë e reja shtetërore dhe huadhënien; </w:t>
            </w:r>
          </w:p>
          <w:p w14:paraId="395382F3" w14:textId="3B878B97" w:rsidR="00CC77B5" w:rsidRPr="0032048B" w:rsidRDefault="00CC77B5" w:rsidP="00CC77B5">
            <w:pPr>
              <w:spacing w:line="256" w:lineRule="exact"/>
              <w:ind w:left="11" w:right="2"/>
              <w:jc w:val="both"/>
              <w:rPr>
                <w:sz w:val="24"/>
                <w:highlight w:val="yellow"/>
                <w:lang w:val="sq-AL"/>
              </w:rPr>
            </w:pPr>
            <w:r w:rsidRPr="0032048B">
              <w:rPr>
                <w:rFonts w:ascii="Symbol" w:hAnsi="Symbol"/>
                <w:sz w:val="24"/>
                <w:lang w:val="sq-AL"/>
              </w:rPr>
              <w:t></w:t>
            </w:r>
            <w:r w:rsidRPr="0032048B">
              <w:rPr>
                <w:spacing w:val="40"/>
                <w:sz w:val="24"/>
                <w:lang w:val="sq-AL"/>
              </w:rPr>
              <w:t xml:space="preserve"> </w:t>
            </w:r>
            <w:r w:rsidRPr="0032048B">
              <w:rPr>
                <w:sz w:val="24"/>
                <w:lang w:val="sq-AL"/>
              </w:rPr>
              <w:t>adoptojë masa për të rritur të ardhurat tatimore si pjesë e PBB-së në mënyrë që të promovojë rritjen, duke marrë parasysh rezultatet e një konsultimi të gjerë publik mbi politikat tatimore.</w:t>
            </w:r>
          </w:p>
        </w:tc>
      </w:tr>
    </w:tbl>
    <w:p w14:paraId="7E2846A7" w14:textId="77777777" w:rsidR="00CC77B5" w:rsidRPr="0032048B" w:rsidRDefault="00CC77B5" w:rsidP="00CC77B5">
      <w:pPr>
        <w:spacing w:before="82"/>
        <w:jc w:val="both"/>
        <w:rPr>
          <w:spacing w:val="-2"/>
          <w:sz w:val="24"/>
          <w:szCs w:val="24"/>
          <w:u w:val="single"/>
          <w:lang w:val="sq-AL"/>
        </w:rPr>
      </w:pPr>
    </w:p>
    <w:p w14:paraId="11C6DAF2" w14:textId="295A096C" w:rsidR="00E6279B" w:rsidRPr="0032048B" w:rsidRDefault="00E6279B" w:rsidP="006C790B">
      <w:pPr>
        <w:spacing w:before="82"/>
        <w:ind w:left="810"/>
        <w:jc w:val="both"/>
        <w:rPr>
          <w:spacing w:val="-2"/>
          <w:sz w:val="24"/>
          <w:szCs w:val="24"/>
          <w:u w:val="single"/>
          <w:lang w:val="sq-AL"/>
        </w:rPr>
      </w:pPr>
      <w:r w:rsidRPr="0032048B">
        <w:rPr>
          <w:spacing w:val="-2"/>
          <w:sz w:val="24"/>
          <w:szCs w:val="24"/>
          <w:u w:val="single"/>
          <w:lang w:val="sq-AL"/>
        </w:rPr>
        <w:t>Qeverisja ekonomike</w:t>
      </w:r>
    </w:p>
    <w:p w14:paraId="14CA2486" w14:textId="77777777" w:rsidR="00E6279B" w:rsidRPr="0032048B" w:rsidRDefault="00E6279B" w:rsidP="00E6279B">
      <w:pPr>
        <w:spacing w:before="118"/>
        <w:ind w:left="979" w:right="976"/>
        <w:jc w:val="both"/>
        <w:rPr>
          <w:b/>
          <w:sz w:val="24"/>
          <w:szCs w:val="24"/>
          <w:highlight w:val="yellow"/>
          <w:lang w:val="sq-AL"/>
        </w:rPr>
      </w:pPr>
      <w:r w:rsidRPr="0032048B">
        <w:rPr>
          <w:b/>
          <w:bCs/>
          <w:sz w:val="24"/>
          <w:szCs w:val="24"/>
          <w:lang w:val="sq-AL"/>
        </w:rPr>
        <w:t xml:space="preserve">Shqipëria vazhdon të ndjekë politika ekonomike të orientuara nga stabiliteti. </w:t>
      </w:r>
      <w:r w:rsidRPr="0032048B">
        <w:rPr>
          <w:sz w:val="24"/>
          <w:szCs w:val="24"/>
          <w:lang w:val="sq-AL"/>
        </w:rPr>
        <w:t xml:space="preserve">Autoritet mbështetën familjet, bizneset dhe ndërmarrjet shtetërore të energjisë elektrike për të zbutur ndikimin e çmimeve të larta të energjisë elektrike dhe ushqimeve, në përputhje me rregullat fiskale. Pas një rritjeje të madhe në vitin 2022, borxhi publik ra nën nivelin e para pandemisë. Qeveria vazhdoi të përdorë akte specifike ligjore (‘normative’) në vend të procedurës së rregullt ligjore për të ndryshuar buxhetin e vitit 2022, por në më pak raste se në vitin 2021, dhe asnjë rast të tillë në gjysmën e parë të vitit 2023. </w:t>
      </w:r>
      <w:r w:rsidRPr="0032048B">
        <w:rPr>
          <w:sz w:val="24"/>
          <w:szCs w:val="24"/>
          <w:lang w:val="sq-AL" w:bidi="sq-AL"/>
        </w:rPr>
        <w:t>Shqipëria i ka dorëzuar Programin e vet të Reformës Ekonomike 2023-2025 (PRE) Komisionit Evropian në fund të janarit të vitit 2023, në të cilin konfirmon angazhimin e saj për arritjen e një bilanci parësor pozitiv që në vitin 2023. Kuvendi e miratoi buxhetin e vitit 2023 në 24 nëntor 2022, dhe PRE-në në 5 shkurt 2023.</w:t>
      </w:r>
    </w:p>
    <w:p w14:paraId="29E7DB68" w14:textId="5C71738D" w:rsidR="00E6279B" w:rsidRPr="0032048B" w:rsidRDefault="00E6279B" w:rsidP="00E6279B">
      <w:pPr>
        <w:spacing w:before="121"/>
        <w:ind w:left="979" w:right="976"/>
        <w:jc w:val="both"/>
        <w:rPr>
          <w:bCs/>
          <w:sz w:val="24"/>
          <w:lang w:val="sq-AL"/>
        </w:rPr>
      </w:pPr>
      <w:r w:rsidRPr="0032048B">
        <w:rPr>
          <w:b/>
          <w:sz w:val="24"/>
          <w:lang w:val="sq-AL"/>
        </w:rPr>
        <w:t xml:space="preserve">Shqipëria ka zbatuar pjesërisht udhëzimet e politikave të </w:t>
      </w:r>
      <w:proofErr w:type="spellStart"/>
      <w:r w:rsidRPr="0032048B">
        <w:rPr>
          <w:b/>
          <w:sz w:val="24"/>
          <w:lang w:val="sq-AL"/>
        </w:rPr>
        <w:t>dakordësuara</w:t>
      </w:r>
      <w:proofErr w:type="spellEnd"/>
      <w:r w:rsidRPr="0032048B">
        <w:rPr>
          <w:b/>
          <w:sz w:val="24"/>
          <w:lang w:val="sq-AL"/>
        </w:rPr>
        <w:t xml:space="preserve"> bashkërisht në Dialogun Ekonomik dhe Financiar mes BE-së dhe Ballkanit Perëndimor e Turqisë në qershor të vitit 2022. </w:t>
      </w:r>
      <w:r w:rsidRPr="0032048B">
        <w:rPr>
          <w:bCs/>
          <w:sz w:val="24"/>
          <w:lang w:val="sq-AL"/>
        </w:rPr>
        <w:t xml:space="preserve">Konsolidimi fiskal ka bërë përparim, dhe kontrolli i detyrimeve të prapambetura dhe rreziqeve fiskale u përmirësua, por ka pasur progres të kufizuar në lidhje me reformat e lidhura me të ardhurat. Shërbimet mbështetëse të biznesit u zgjeruan dhe masat e marra kundër punësimit </w:t>
      </w:r>
      <w:proofErr w:type="spellStart"/>
      <w:r w:rsidRPr="0032048B">
        <w:rPr>
          <w:bCs/>
          <w:sz w:val="24"/>
          <w:lang w:val="sq-AL"/>
        </w:rPr>
        <w:t>informal</w:t>
      </w:r>
      <w:proofErr w:type="spellEnd"/>
      <w:r w:rsidRPr="0032048B">
        <w:rPr>
          <w:bCs/>
          <w:sz w:val="24"/>
          <w:lang w:val="sq-AL"/>
        </w:rPr>
        <w:t xml:space="preserve"> u koordinuan më mirë, por informacioni për veprimet e ndërmarra kundër </w:t>
      </w:r>
      <w:proofErr w:type="spellStart"/>
      <w:r w:rsidRPr="0032048B">
        <w:rPr>
          <w:bCs/>
          <w:sz w:val="24"/>
          <w:lang w:val="sq-AL"/>
        </w:rPr>
        <w:t>informalitetit</w:t>
      </w:r>
      <w:proofErr w:type="spellEnd"/>
      <w:r w:rsidRPr="0032048B">
        <w:rPr>
          <w:bCs/>
          <w:sz w:val="24"/>
          <w:lang w:val="sq-AL"/>
        </w:rPr>
        <w:t xml:space="preserve"> dhe efektet e tyre mbeten të kufizuara. Analiza e tregut të punës dhe përgatitjet për zbatimin e Programit të Garancisë Rinore kanë bërë progres, dhe </w:t>
      </w:r>
      <w:proofErr w:type="spellStart"/>
      <w:r w:rsidRPr="0032048B">
        <w:rPr>
          <w:bCs/>
          <w:sz w:val="24"/>
          <w:lang w:val="sq-AL"/>
        </w:rPr>
        <w:t>rimbursimi</w:t>
      </w:r>
      <w:proofErr w:type="spellEnd"/>
      <w:r w:rsidRPr="0032048B">
        <w:rPr>
          <w:bCs/>
          <w:sz w:val="24"/>
          <w:lang w:val="sq-AL"/>
        </w:rPr>
        <w:t xml:space="preserve"> për kostot mjekësore është rritur, njësoj si shpenzimet </w:t>
      </w:r>
      <w:proofErr w:type="spellStart"/>
      <w:r w:rsidRPr="0032048B">
        <w:rPr>
          <w:bCs/>
          <w:i/>
          <w:iCs/>
          <w:sz w:val="24"/>
          <w:lang w:val="sq-AL"/>
        </w:rPr>
        <w:t>ad-hoc</w:t>
      </w:r>
      <w:proofErr w:type="spellEnd"/>
      <w:r w:rsidRPr="0032048B">
        <w:rPr>
          <w:bCs/>
          <w:sz w:val="24"/>
          <w:lang w:val="sq-AL"/>
        </w:rPr>
        <w:t xml:space="preserve"> për mbrojtjen sociale. Shqipëria nuk ka siguruar ende rritjen e nevojshme të qëndrueshme dhe sistematike të shpenzimeve për shërbimet sociale, zhvillimin njerëzor dhe inovacionin.</w:t>
      </w:r>
    </w:p>
    <w:p w14:paraId="3ED8FD7F" w14:textId="108B4351" w:rsidR="00E6279B" w:rsidRPr="0032048B" w:rsidRDefault="00117B81" w:rsidP="00E6279B">
      <w:pPr>
        <w:spacing w:before="120"/>
        <w:ind w:left="979"/>
        <w:jc w:val="both"/>
        <w:rPr>
          <w:sz w:val="24"/>
          <w:szCs w:val="24"/>
          <w:lang w:val="sq-AL"/>
        </w:rPr>
      </w:pPr>
      <w:r w:rsidRPr="0032048B">
        <w:rPr>
          <w:sz w:val="24"/>
          <w:szCs w:val="24"/>
          <w:lang w:val="sq-AL"/>
        </w:rPr>
        <mc:AlternateContent>
          <mc:Choice Requires="wpg">
            <w:drawing>
              <wp:anchor distT="0" distB="0" distL="114300" distR="114300" simplePos="0" relativeHeight="251682816" behindDoc="1" locked="0" layoutInCell="1" allowOverlap="1" wp14:anchorId="4996F84E" wp14:editId="51B2872F">
                <wp:simplePos x="0" y="0"/>
                <wp:positionH relativeFrom="margin">
                  <wp:posOffset>3747135</wp:posOffset>
                </wp:positionH>
                <wp:positionV relativeFrom="paragraph">
                  <wp:posOffset>78740</wp:posOffset>
                </wp:positionV>
                <wp:extent cx="2265680" cy="1473835"/>
                <wp:effectExtent l="0" t="0" r="20320" b="12065"/>
                <wp:wrapTight wrapText="bothSides">
                  <wp:wrapPolygon edited="0">
                    <wp:start x="0" y="0"/>
                    <wp:lineTo x="0" y="21498"/>
                    <wp:lineTo x="21612" y="21498"/>
                    <wp:lineTo x="21612" y="0"/>
                    <wp:lineTo x="0" y="0"/>
                  </wp:wrapPolygon>
                </wp:wrapTight>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5680" cy="1473835"/>
                          <a:chOff x="0" y="0"/>
                          <a:chExt cx="2983230" cy="1748789"/>
                        </a:xfrm>
                      </wpg:grpSpPr>
                      <wps:wsp>
                        <wps:cNvPr id="89" name="Graphic 89"/>
                        <wps:cNvSpPr/>
                        <wps:spPr>
                          <a:xfrm>
                            <a:off x="382121" y="501740"/>
                            <a:ext cx="2332355" cy="485140"/>
                          </a:xfrm>
                          <a:custGeom>
                            <a:avLst/>
                            <a:gdLst/>
                            <a:ahLst/>
                            <a:cxnLst/>
                            <a:rect l="l" t="t" r="r" b="b"/>
                            <a:pathLst>
                              <a:path w="2332355" h="485140">
                                <a:moveTo>
                                  <a:pt x="173647" y="201828"/>
                                </a:moveTo>
                                <a:lnTo>
                                  <a:pt x="0" y="201828"/>
                                </a:lnTo>
                                <a:lnTo>
                                  <a:pt x="0" y="328472"/>
                                </a:lnTo>
                                <a:lnTo>
                                  <a:pt x="173647" y="328472"/>
                                </a:lnTo>
                                <a:lnTo>
                                  <a:pt x="173647" y="201828"/>
                                </a:lnTo>
                                <a:close/>
                              </a:path>
                              <a:path w="2332355" h="485140">
                                <a:moveTo>
                                  <a:pt x="605282" y="182041"/>
                                </a:moveTo>
                                <a:lnTo>
                                  <a:pt x="432625" y="182041"/>
                                </a:lnTo>
                                <a:lnTo>
                                  <a:pt x="432625" y="328472"/>
                                </a:lnTo>
                                <a:lnTo>
                                  <a:pt x="605282" y="328472"/>
                                </a:lnTo>
                                <a:lnTo>
                                  <a:pt x="605282" y="182041"/>
                                </a:lnTo>
                                <a:close/>
                              </a:path>
                              <a:path w="2332355" h="485140">
                                <a:moveTo>
                                  <a:pt x="1036904" y="172148"/>
                                </a:moveTo>
                                <a:lnTo>
                                  <a:pt x="864247" y="172148"/>
                                </a:lnTo>
                                <a:lnTo>
                                  <a:pt x="864247" y="328472"/>
                                </a:lnTo>
                                <a:lnTo>
                                  <a:pt x="1036904" y="328472"/>
                                </a:lnTo>
                                <a:lnTo>
                                  <a:pt x="1036904" y="172148"/>
                                </a:lnTo>
                                <a:close/>
                              </a:path>
                              <a:path w="2332355" h="485140">
                                <a:moveTo>
                                  <a:pt x="1468526" y="328472"/>
                                </a:moveTo>
                                <a:lnTo>
                                  <a:pt x="1295882" y="328472"/>
                                </a:lnTo>
                                <a:lnTo>
                                  <a:pt x="1295882" y="484784"/>
                                </a:lnTo>
                                <a:lnTo>
                                  <a:pt x="1468526" y="484784"/>
                                </a:lnTo>
                                <a:lnTo>
                                  <a:pt x="1468526" y="328472"/>
                                </a:lnTo>
                                <a:close/>
                              </a:path>
                              <a:path w="2332355" h="485140">
                                <a:moveTo>
                                  <a:pt x="1900161" y="101904"/>
                                </a:moveTo>
                                <a:lnTo>
                                  <a:pt x="1727504" y="101904"/>
                                </a:lnTo>
                                <a:lnTo>
                                  <a:pt x="1727504" y="328472"/>
                                </a:lnTo>
                                <a:lnTo>
                                  <a:pt x="1900161" y="328472"/>
                                </a:lnTo>
                                <a:lnTo>
                                  <a:pt x="1900161" y="101904"/>
                                </a:lnTo>
                                <a:close/>
                              </a:path>
                              <a:path w="2332355" h="485140">
                                <a:moveTo>
                                  <a:pt x="2331783" y="0"/>
                                </a:moveTo>
                                <a:lnTo>
                                  <a:pt x="2159127" y="0"/>
                                </a:lnTo>
                                <a:lnTo>
                                  <a:pt x="2159127" y="328472"/>
                                </a:lnTo>
                                <a:lnTo>
                                  <a:pt x="2331783" y="328472"/>
                                </a:lnTo>
                                <a:lnTo>
                                  <a:pt x="2331783" y="0"/>
                                </a:lnTo>
                                <a:close/>
                              </a:path>
                            </a:pathLst>
                          </a:custGeom>
                          <a:solidFill>
                            <a:srgbClr val="FFD623"/>
                          </a:solidFill>
                        </wps:spPr>
                        <wps:bodyPr wrap="square" lIns="0" tIns="0" rIns="0" bIns="0" rtlCol="0">
                          <a:prstTxWarp prst="textNoShape">
                            <a:avLst/>
                          </a:prstTxWarp>
                          <a:noAutofit/>
                        </wps:bodyPr>
                      </wps:wsp>
                      <wps:wsp>
                        <wps:cNvPr id="90" name="Graphic 90"/>
                        <wps:cNvSpPr/>
                        <wps:spPr>
                          <a:xfrm>
                            <a:off x="382133" y="501733"/>
                            <a:ext cx="2332355" cy="485140"/>
                          </a:xfrm>
                          <a:custGeom>
                            <a:avLst/>
                            <a:gdLst/>
                            <a:ahLst/>
                            <a:cxnLst/>
                            <a:rect l="l" t="t" r="r" b="b"/>
                            <a:pathLst>
                              <a:path w="2332355" h="485140">
                                <a:moveTo>
                                  <a:pt x="0" y="201830"/>
                                </a:moveTo>
                                <a:lnTo>
                                  <a:pt x="173642" y="201830"/>
                                </a:lnTo>
                                <a:lnTo>
                                  <a:pt x="173642" y="328469"/>
                                </a:lnTo>
                                <a:lnTo>
                                  <a:pt x="0" y="328469"/>
                                </a:lnTo>
                                <a:lnTo>
                                  <a:pt x="0" y="201830"/>
                                </a:lnTo>
                                <a:close/>
                              </a:path>
                              <a:path w="2332355" h="485140">
                                <a:moveTo>
                                  <a:pt x="432619" y="182043"/>
                                </a:moveTo>
                                <a:lnTo>
                                  <a:pt x="605269" y="182043"/>
                                </a:lnTo>
                                <a:lnTo>
                                  <a:pt x="605269" y="328469"/>
                                </a:lnTo>
                                <a:lnTo>
                                  <a:pt x="432619" y="328469"/>
                                </a:lnTo>
                                <a:lnTo>
                                  <a:pt x="432619" y="182043"/>
                                </a:lnTo>
                                <a:close/>
                              </a:path>
                              <a:path w="2332355" h="485140">
                                <a:moveTo>
                                  <a:pt x="864245" y="172149"/>
                                </a:moveTo>
                                <a:lnTo>
                                  <a:pt x="1036896" y="172149"/>
                                </a:lnTo>
                                <a:lnTo>
                                  <a:pt x="1036896" y="328469"/>
                                </a:lnTo>
                                <a:lnTo>
                                  <a:pt x="864245" y="328469"/>
                                </a:lnTo>
                                <a:lnTo>
                                  <a:pt x="864245" y="172149"/>
                                </a:lnTo>
                                <a:close/>
                              </a:path>
                              <a:path w="2332355" h="485140">
                                <a:moveTo>
                                  <a:pt x="1295872" y="484789"/>
                                </a:moveTo>
                                <a:lnTo>
                                  <a:pt x="1468523" y="484789"/>
                                </a:lnTo>
                                <a:lnTo>
                                  <a:pt x="1468523" y="328469"/>
                                </a:lnTo>
                                <a:lnTo>
                                  <a:pt x="1295872" y="328469"/>
                                </a:lnTo>
                                <a:lnTo>
                                  <a:pt x="1295872" y="484789"/>
                                </a:lnTo>
                                <a:close/>
                              </a:path>
                              <a:path w="2332355" h="485140">
                                <a:moveTo>
                                  <a:pt x="1727499" y="101904"/>
                                </a:moveTo>
                                <a:lnTo>
                                  <a:pt x="1900150" y="101904"/>
                                </a:lnTo>
                                <a:lnTo>
                                  <a:pt x="1900150" y="328469"/>
                                </a:lnTo>
                                <a:lnTo>
                                  <a:pt x="1727499" y="328469"/>
                                </a:lnTo>
                                <a:lnTo>
                                  <a:pt x="1727499" y="101904"/>
                                </a:lnTo>
                                <a:close/>
                              </a:path>
                              <a:path w="2332355" h="485140">
                                <a:moveTo>
                                  <a:pt x="2159126" y="0"/>
                                </a:moveTo>
                                <a:lnTo>
                                  <a:pt x="2331776" y="0"/>
                                </a:lnTo>
                                <a:lnTo>
                                  <a:pt x="2331776" y="328469"/>
                                </a:lnTo>
                                <a:lnTo>
                                  <a:pt x="2159126" y="328469"/>
                                </a:lnTo>
                                <a:lnTo>
                                  <a:pt x="2159126" y="0"/>
                                </a:lnTo>
                                <a:close/>
                              </a:path>
                            </a:pathLst>
                          </a:custGeom>
                          <a:ln w="6192">
                            <a:solidFill>
                              <a:srgbClr val="FFC000"/>
                            </a:solidFill>
                            <a:prstDash val="solid"/>
                          </a:ln>
                        </wps:spPr>
                        <wps:bodyPr wrap="square" lIns="0" tIns="0" rIns="0" bIns="0" rtlCol="0">
                          <a:prstTxWarp prst="textNoShape">
                            <a:avLst/>
                          </a:prstTxWarp>
                          <a:noAutofit/>
                        </wps:bodyPr>
                      </wps:wsp>
                      <wps:wsp>
                        <wps:cNvPr id="91" name="Graphic 91"/>
                        <wps:cNvSpPr/>
                        <wps:spPr>
                          <a:xfrm>
                            <a:off x="382133" y="548235"/>
                            <a:ext cx="2332355" cy="318135"/>
                          </a:xfrm>
                          <a:custGeom>
                            <a:avLst/>
                            <a:gdLst/>
                            <a:ahLst/>
                            <a:cxnLst/>
                            <a:rect l="l" t="t" r="r" b="b"/>
                            <a:pathLst>
                              <a:path w="2332355" h="318135">
                                <a:moveTo>
                                  <a:pt x="173634" y="134556"/>
                                </a:moveTo>
                                <a:lnTo>
                                  <a:pt x="0" y="134556"/>
                                </a:lnTo>
                                <a:lnTo>
                                  <a:pt x="0" y="155333"/>
                                </a:lnTo>
                                <a:lnTo>
                                  <a:pt x="173634" y="155333"/>
                                </a:lnTo>
                                <a:lnTo>
                                  <a:pt x="173634" y="134556"/>
                                </a:lnTo>
                                <a:close/>
                              </a:path>
                              <a:path w="2332355" h="318135">
                                <a:moveTo>
                                  <a:pt x="605269" y="130606"/>
                                </a:moveTo>
                                <a:lnTo>
                                  <a:pt x="432612" y="130606"/>
                                </a:lnTo>
                                <a:lnTo>
                                  <a:pt x="432612" y="135547"/>
                                </a:lnTo>
                                <a:lnTo>
                                  <a:pt x="605269" y="135547"/>
                                </a:lnTo>
                                <a:lnTo>
                                  <a:pt x="605269" y="130606"/>
                                </a:lnTo>
                                <a:close/>
                              </a:path>
                              <a:path w="2332355" h="318135">
                                <a:moveTo>
                                  <a:pt x="1036904" y="105867"/>
                                </a:moveTo>
                                <a:lnTo>
                                  <a:pt x="864247" y="105867"/>
                                </a:lnTo>
                                <a:lnTo>
                                  <a:pt x="864247" y="125653"/>
                                </a:lnTo>
                                <a:lnTo>
                                  <a:pt x="1036904" y="125653"/>
                                </a:lnTo>
                                <a:lnTo>
                                  <a:pt x="1036904" y="105867"/>
                                </a:lnTo>
                                <a:close/>
                              </a:path>
                              <a:path w="2332355" h="318135">
                                <a:moveTo>
                                  <a:pt x="1468539" y="272084"/>
                                </a:moveTo>
                                <a:lnTo>
                                  <a:pt x="1295882" y="272084"/>
                                </a:lnTo>
                                <a:lnTo>
                                  <a:pt x="1295882" y="281978"/>
                                </a:lnTo>
                                <a:lnTo>
                                  <a:pt x="1468539" y="281978"/>
                                </a:lnTo>
                                <a:lnTo>
                                  <a:pt x="1468539" y="272084"/>
                                </a:lnTo>
                                <a:close/>
                              </a:path>
                              <a:path w="2332355" h="318135">
                                <a:moveTo>
                                  <a:pt x="1900161" y="0"/>
                                </a:moveTo>
                                <a:lnTo>
                                  <a:pt x="1727517" y="0"/>
                                </a:lnTo>
                                <a:lnTo>
                                  <a:pt x="1727517" y="55410"/>
                                </a:lnTo>
                                <a:lnTo>
                                  <a:pt x="1900161" y="55410"/>
                                </a:lnTo>
                                <a:lnTo>
                                  <a:pt x="1900161" y="0"/>
                                </a:lnTo>
                                <a:close/>
                              </a:path>
                              <a:path w="2332355" h="318135">
                                <a:moveTo>
                                  <a:pt x="2331796" y="281978"/>
                                </a:moveTo>
                                <a:lnTo>
                                  <a:pt x="2159139" y="281978"/>
                                </a:lnTo>
                                <a:lnTo>
                                  <a:pt x="2159139" y="317588"/>
                                </a:lnTo>
                                <a:lnTo>
                                  <a:pt x="2331796" y="317588"/>
                                </a:lnTo>
                                <a:lnTo>
                                  <a:pt x="2331796" y="281978"/>
                                </a:lnTo>
                                <a:close/>
                              </a:path>
                            </a:pathLst>
                          </a:custGeom>
                          <a:solidFill>
                            <a:srgbClr val="353A73"/>
                          </a:solidFill>
                        </wps:spPr>
                        <wps:bodyPr wrap="square" lIns="0" tIns="0" rIns="0" bIns="0" rtlCol="0">
                          <a:prstTxWarp prst="textNoShape">
                            <a:avLst/>
                          </a:prstTxWarp>
                          <a:noAutofit/>
                        </wps:bodyPr>
                      </wps:wsp>
                      <wps:wsp>
                        <wps:cNvPr id="92" name="Graphic 92"/>
                        <wps:cNvSpPr/>
                        <wps:spPr>
                          <a:xfrm>
                            <a:off x="382134" y="548234"/>
                            <a:ext cx="2332355" cy="318135"/>
                          </a:xfrm>
                          <a:custGeom>
                            <a:avLst/>
                            <a:gdLst/>
                            <a:ahLst/>
                            <a:cxnLst/>
                            <a:rect l="l" t="t" r="r" b="b"/>
                            <a:pathLst>
                              <a:path w="2332355" h="318135">
                                <a:moveTo>
                                  <a:pt x="0" y="134554"/>
                                </a:moveTo>
                                <a:lnTo>
                                  <a:pt x="173644" y="134554"/>
                                </a:lnTo>
                                <a:lnTo>
                                  <a:pt x="173644" y="155330"/>
                                </a:lnTo>
                                <a:lnTo>
                                  <a:pt x="0" y="155330"/>
                                </a:lnTo>
                                <a:lnTo>
                                  <a:pt x="0" y="134554"/>
                                </a:lnTo>
                                <a:close/>
                              </a:path>
                              <a:path w="2332355" h="318135">
                                <a:moveTo>
                                  <a:pt x="432623" y="130596"/>
                                </a:moveTo>
                                <a:lnTo>
                                  <a:pt x="605276" y="130596"/>
                                </a:lnTo>
                                <a:lnTo>
                                  <a:pt x="605276" y="135543"/>
                                </a:lnTo>
                                <a:lnTo>
                                  <a:pt x="432623" y="135543"/>
                                </a:lnTo>
                                <a:lnTo>
                                  <a:pt x="432623" y="130596"/>
                                </a:lnTo>
                                <a:close/>
                              </a:path>
                              <a:path w="2332355" h="318135">
                                <a:moveTo>
                                  <a:pt x="864255" y="105862"/>
                                </a:moveTo>
                                <a:lnTo>
                                  <a:pt x="1036907" y="105862"/>
                                </a:lnTo>
                                <a:lnTo>
                                  <a:pt x="1036907" y="125649"/>
                                </a:lnTo>
                                <a:lnTo>
                                  <a:pt x="864255" y="125649"/>
                                </a:lnTo>
                                <a:lnTo>
                                  <a:pt x="864255" y="105862"/>
                                </a:lnTo>
                                <a:close/>
                              </a:path>
                              <a:path w="2332355" h="318135">
                                <a:moveTo>
                                  <a:pt x="1295886" y="272076"/>
                                </a:moveTo>
                                <a:lnTo>
                                  <a:pt x="1468538" y="272076"/>
                                </a:lnTo>
                                <a:lnTo>
                                  <a:pt x="1468538" y="281970"/>
                                </a:lnTo>
                                <a:lnTo>
                                  <a:pt x="1295886" y="281970"/>
                                </a:lnTo>
                                <a:lnTo>
                                  <a:pt x="1295886" y="272076"/>
                                </a:lnTo>
                                <a:close/>
                              </a:path>
                              <a:path w="2332355" h="318135">
                                <a:moveTo>
                                  <a:pt x="1727517" y="0"/>
                                </a:moveTo>
                                <a:lnTo>
                                  <a:pt x="1900170" y="0"/>
                                </a:lnTo>
                                <a:lnTo>
                                  <a:pt x="1900170" y="55404"/>
                                </a:lnTo>
                                <a:lnTo>
                                  <a:pt x="1727517" y="55404"/>
                                </a:lnTo>
                                <a:lnTo>
                                  <a:pt x="1727517" y="0"/>
                                </a:lnTo>
                                <a:close/>
                              </a:path>
                              <a:path w="2332355" h="318135">
                                <a:moveTo>
                                  <a:pt x="2159149" y="317587"/>
                                </a:moveTo>
                                <a:lnTo>
                                  <a:pt x="2331801" y="317587"/>
                                </a:lnTo>
                                <a:lnTo>
                                  <a:pt x="2331801" y="281970"/>
                                </a:lnTo>
                                <a:lnTo>
                                  <a:pt x="2159149" y="281970"/>
                                </a:lnTo>
                                <a:lnTo>
                                  <a:pt x="2159149" y="317587"/>
                                </a:lnTo>
                                <a:close/>
                              </a:path>
                            </a:pathLst>
                          </a:custGeom>
                          <a:ln w="6192">
                            <a:solidFill>
                              <a:srgbClr val="353A73"/>
                            </a:solidFill>
                            <a:prstDash val="solid"/>
                          </a:ln>
                        </wps:spPr>
                        <wps:bodyPr wrap="square" lIns="0" tIns="0" rIns="0" bIns="0" rtlCol="0">
                          <a:prstTxWarp prst="textNoShape">
                            <a:avLst/>
                          </a:prstTxWarp>
                          <a:noAutofit/>
                        </wps:bodyPr>
                      </wps:wsp>
                      <wps:wsp>
                        <wps:cNvPr id="93" name="Graphic 93"/>
                        <wps:cNvSpPr/>
                        <wps:spPr>
                          <a:xfrm>
                            <a:off x="382133" y="285065"/>
                            <a:ext cx="2332355" cy="720725"/>
                          </a:xfrm>
                          <a:custGeom>
                            <a:avLst/>
                            <a:gdLst/>
                            <a:ahLst/>
                            <a:cxnLst/>
                            <a:rect l="l" t="t" r="r" b="b"/>
                            <a:pathLst>
                              <a:path w="2332355" h="720725">
                                <a:moveTo>
                                  <a:pt x="173634" y="308686"/>
                                </a:moveTo>
                                <a:lnTo>
                                  <a:pt x="0" y="308686"/>
                                </a:lnTo>
                                <a:lnTo>
                                  <a:pt x="0" y="397725"/>
                                </a:lnTo>
                                <a:lnTo>
                                  <a:pt x="173634" y="397725"/>
                                </a:lnTo>
                                <a:lnTo>
                                  <a:pt x="173634" y="308686"/>
                                </a:lnTo>
                                <a:close/>
                              </a:path>
                              <a:path w="2332355" h="720725">
                                <a:moveTo>
                                  <a:pt x="605269" y="358152"/>
                                </a:moveTo>
                                <a:lnTo>
                                  <a:pt x="432612" y="358152"/>
                                </a:lnTo>
                                <a:lnTo>
                                  <a:pt x="432612" y="393763"/>
                                </a:lnTo>
                                <a:lnTo>
                                  <a:pt x="605269" y="393763"/>
                                </a:lnTo>
                                <a:lnTo>
                                  <a:pt x="605269" y="358152"/>
                                </a:lnTo>
                                <a:close/>
                              </a:path>
                              <a:path w="2332355" h="720725">
                                <a:moveTo>
                                  <a:pt x="1036891" y="545147"/>
                                </a:moveTo>
                                <a:lnTo>
                                  <a:pt x="864247" y="545147"/>
                                </a:lnTo>
                                <a:lnTo>
                                  <a:pt x="864247" y="596595"/>
                                </a:lnTo>
                                <a:lnTo>
                                  <a:pt x="1036891" y="596595"/>
                                </a:lnTo>
                                <a:lnTo>
                                  <a:pt x="1036891" y="545147"/>
                                </a:lnTo>
                                <a:close/>
                              </a:path>
                              <a:path w="2332355" h="720725">
                                <a:moveTo>
                                  <a:pt x="1468526" y="701459"/>
                                </a:moveTo>
                                <a:lnTo>
                                  <a:pt x="1295869" y="701459"/>
                                </a:lnTo>
                                <a:lnTo>
                                  <a:pt x="1295869" y="720255"/>
                                </a:lnTo>
                                <a:lnTo>
                                  <a:pt x="1468526" y="720255"/>
                                </a:lnTo>
                                <a:lnTo>
                                  <a:pt x="1468526" y="701459"/>
                                </a:lnTo>
                                <a:close/>
                              </a:path>
                              <a:path w="2332355" h="720725">
                                <a:moveTo>
                                  <a:pt x="1900148" y="0"/>
                                </a:moveTo>
                                <a:lnTo>
                                  <a:pt x="1727504" y="0"/>
                                </a:lnTo>
                                <a:lnTo>
                                  <a:pt x="1727504" y="263169"/>
                                </a:lnTo>
                                <a:lnTo>
                                  <a:pt x="1900148" y="263169"/>
                                </a:lnTo>
                                <a:lnTo>
                                  <a:pt x="1900148" y="0"/>
                                </a:lnTo>
                                <a:close/>
                              </a:path>
                              <a:path w="2332355" h="720725">
                                <a:moveTo>
                                  <a:pt x="2331783" y="120700"/>
                                </a:moveTo>
                                <a:lnTo>
                                  <a:pt x="2159127" y="120700"/>
                                </a:lnTo>
                                <a:lnTo>
                                  <a:pt x="2159127" y="216674"/>
                                </a:lnTo>
                                <a:lnTo>
                                  <a:pt x="2331783" y="216674"/>
                                </a:lnTo>
                                <a:lnTo>
                                  <a:pt x="2331783" y="120700"/>
                                </a:lnTo>
                                <a:close/>
                              </a:path>
                            </a:pathLst>
                          </a:custGeom>
                          <a:solidFill>
                            <a:srgbClr val="2E9AFA"/>
                          </a:solidFill>
                        </wps:spPr>
                        <wps:bodyPr wrap="square" lIns="0" tIns="0" rIns="0" bIns="0" rtlCol="0">
                          <a:prstTxWarp prst="textNoShape">
                            <a:avLst/>
                          </a:prstTxWarp>
                          <a:noAutofit/>
                        </wps:bodyPr>
                      </wps:wsp>
                      <wps:wsp>
                        <wps:cNvPr id="94" name="Graphic 94"/>
                        <wps:cNvSpPr/>
                        <wps:spPr>
                          <a:xfrm>
                            <a:off x="382134" y="285062"/>
                            <a:ext cx="2332355" cy="720725"/>
                          </a:xfrm>
                          <a:custGeom>
                            <a:avLst/>
                            <a:gdLst/>
                            <a:ahLst/>
                            <a:cxnLst/>
                            <a:rect l="l" t="t" r="r" b="b"/>
                            <a:pathLst>
                              <a:path w="2332355" h="720725">
                                <a:moveTo>
                                  <a:pt x="0" y="308681"/>
                                </a:moveTo>
                                <a:lnTo>
                                  <a:pt x="173643" y="308681"/>
                                </a:lnTo>
                                <a:lnTo>
                                  <a:pt x="173643" y="397724"/>
                                </a:lnTo>
                                <a:lnTo>
                                  <a:pt x="0" y="397724"/>
                                </a:lnTo>
                                <a:lnTo>
                                  <a:pt x="0" y="308681"/>
                                </a:lnTo>
                                <a:close/>
                              </a:path>
                              <a:path w="2332355" h="720725">
                                <a:moveTo>
                                  <a:pt x="432621" y="358149"/>
                                </a:moveTo>
                                <a:lnTo>
                                  <a:pt x="605273" y="358149"/>
                                </a:lnTo>
                                <a:lnTo>
                                  <a:pt x="605273" y="393766"/>
                                </a:lnTo>
                                <a:lnTo>
                                  <a:pt x="432621" y="393766"/>
                                </a:lnTo>
                                <a:lnTo>
                                  <a:pt x="432621" y="358149"/>
                                </a:lnTo>
                                <a:close/>
                              </a:path>
                              <a:path w="2332355" h="720725">
                                <a:moveTo>
                                  <a:pt x="864250" y="596586"/>
                                </a:moveTo>
                                <a:lnTo>
                                  <a:pt x="1036902" y="596586"/>
                                </a:lnTo>
                                <a:lnTo>
                                  <a:pt x="1036902" y="545139"/>
                                </a:lnTo>
                                <a:lnTo>
                                  <a:pt x="864250" y="545139"/>
                                </a:lnTo>
                                <a:lnTo>
                                  <a:pt x="864250" y="596586"/>
                                </a:lnTo>
                                <a:close/>
                              </a:path>
                              <a:path w="2332355" h="720725">
                                <a:moveTo>
                                  <a:pt x="1295879" y="720256"/>
                                </a:moveTo>
                                <a:lnTo>
                                  <a:pt x="1468531" y="720256"/>
                                </a:lnTo>
                                <a:lnTo>
                                  <a:pt x="1468531" y="701458"/>
                                </a:lnTo>
                                <a:lnTo>
                                  <a:pt x="1295879" y="701458"/>
                                </a:lnTo>
                                <a:lnTo>
                                  <a:pt x="1295879" y="720256"/>
                                </a:lnTo>
                                <a:close/>
                              </a:path>
                              <a:path w="2332355" h="720725">
                                <a:moveTo>
                                  <a:pt x="1727508" y="0"/>
                                </a:moveTo>
                                <a:lnTo>
                                  <a:pt x="1900160" y="0"/>
                                </a:lnTo>
                                <a:lnTo>
                                  <a:pt x="1900160" y="263170"/>
                                </a:lnTo>
                                <a:lnTo>
                                  <a:pt x="1727508" y="263170"/>
                                </a:lnTo>
                                <a:lnTo>
                                  <a:pt x="1727508" y="0"/>
                                </a:lnTo>
                                <a:close/>
                              </a:path>
                              <a:path w="2332355" h="720725">
                                <a:moveTo>
                                  <a:pt x="2159137" y="120702"/>
                                </a:moveTo>
                                <a:lnTo>
                                  <a:pt x="2331789" y="120702"/>
                                </a:lnTo>
                                <a:lnTo>
                                  <a:pt x="2331789" y="216670"/>
                                </a:lnTo>
                                <a:lnTo>
                                  <a:pt x="2159137" y="216670"/>
                                </a:lnTo>
                                <a:lnTo>
                                  <a:pt x="2159137" y="120702"/>
                                </a:lnTo>
                                <a:close/>
                              </a:path>
                            </a:pathLst>
                          </a:custGeom>
                          <a:ln w="6192">
                            <a:solidFill>
                              <a:srgbClr val="006FC0"/>
                            </a:solidFill>
                            <a:prstDash val="solid"/>
                          </a:ln>
                        </wps:spPr>
                        <wps:bodyPr wrap="square" lIns="0" tIns="0" rIns="0" bIns="0" rtlCol="0">
                          <a:prstTxWarp prst="textNoShape">
                            <a:avLst/>
                          </a:prstTxWarp>
                          <a:noAutofit/>
                        </wps:bodyPr>
                      </wps:wsp>
                      <wps:wsp>
                        <wps:cNvPr id="95" name="Graphic 95"/>
                        <wps:cNvSpPr/>
                        <wps:spPr>
                          <a:xfrm>
                            <a:off x="382133" y="273191"/>
                            <a:ext cx="2332355" cy="756285"/>
                          </a:xfrm>
                          <a:custGeom>
                            <a:avLst/>
                            <a:gdLst/>
                            <a:ahLst/>
                            <a:cxnLst/>
                            <a:rect l="l" t="t" r="r" b="b"/>
                            <a:pathLst>
                              <a:path w="2332355" h="756285">
                                <a:moveTo>
                                  <a:pt x="173634" y="557022"/>
                                </a:moveTo>
                                <a:lnTo>
                                  <a:pt x="0" y="557022"/>
                                </a:lnTo>
                                <a:lnTo>
                                  <a:pt x="0" y="579767"/>
                                </a:lnTo>
                                <a:lnTo>
                                  <a:pt x="173634" y="579767"/>
                                </a:lnTo>
                                <a:lnTo>
                                  <a:pt x="173634" y="557022"/>
                                </a:lnTo>
                                <a:close/>
                              </a:path>
                              <a:path w="2332355" h="756285">
                                <a:moveTo>
                                  <a:pt x="605269" y="557022"/>
                                </a:moveTo>
                                <a:lnTo>
                                  <a:pt x="432612" y="557022"/>
                                </a:lnTo>
                                <a:lnTo>
                                  <a:pt x="432612" y="582739"/>
                                </a:lnTo>
                                <a:lnTo>
                                  <a:pt x="605269" y="582739"/>
                                </a:lnTo>
                                <a:lnTo>
                                  <a:pt x="605269" y="557022"/>
                                </a:lnTo>
                                <a:close/>
                              </a:path>
                              <a:path w="2332355" h="756285">
                                <a:moveTo>
                                  <a:pt x="1036891" y="339356"/>
                                </a:moveTo>
                                <a:lnTo>
                                  <a:pt x="864247" y="339356"/>
                                </a:lnTo>
                                <a:lnTo>
                                  <a:pt x="864247" y="380911"/>
                                </a:lnTo>
                                <a:lnTo>
                                  <a:pt x="1036891" y="380911"/>
                                </a:lnTo>
                                <a:lnTo>
                                  <a:pt x="1036891" y="339356"/>
                                </a:lnTo>
                                <a:close/>
                              </a:path>
                              <a:path w="2332355" h="756285">
                                <a:moveTo>
                                  <a:pt x="1468526" y="732129"/>
                                </a:moveTo>
                                <a:lnTo>
                                  <a:pt x="1295869" y="732129"/>
                                </a:lnTo>
                                <a:lnTo>
                                  <a:pt x="1295869" y="755878"/>
                                </a:lnTo>
                                <a:lnTo>
                                  <a:pt x="1468526" y="755878"/>
                                </a:lnTo>
                                <a:lnTo>
                                  <a:pt x="1468526" y="732129"/>
                                </a:lnTo>
                                <a:close/>
                              </a:path>
                              <a:path w="2332355" h="756285">
                                <a:moveTo>
                                  <a:pt x="1900148" y="0"/>
                                </a:moveTo>
                                <a:lnTo>
                                  <a:pt x="1727504" y="0"/>
                                </a:lnTo>
                                <a:lnTo>
                                  <a:pt x="1727504" y="11874"/>
                                </a:lnTo>
                                <a:lnTo>
                                  <a:pt x="1900148" y="11874"/>
                                </a:lnTo>
                                <a:lnTo>
                                  <a:pt x="1900148" y="0"/>
                                </a:lnTo>
                                <a:close/>
                              </a:path>
                              <a:path w="2332355" h="756285">
                                <a:moveTo>
                                  <a:pt x="2331783" y="10883"/>
                                </a:moveTo>
                                <a:lnTo>
                                  <a:pt x="2159127" y="10883"/>
                                </a:lnTo>
                                <a:lnTo>
                                  <a:pt x="2159127" y="132575"/>
                                </a:lnTo>
                                <a:lnTo>
                                  <a:pt x="2331783" y="132575"/>
                                </a:lnTo>
                                <a:lnTo>
                                  <a:pt x="2331783" y="10883"/>
                                </a:lnTo>
                                <a:close/>
                              </a:path>
                            </a:pathLst>
                          </a:custGeom>
                          <a:solidFill>
                            <a:srgbClr val="F0EDEB"/>
                          </a:solidFill>
                        </wps:spPr>
                        <wps:bodyPr wrap="square" lIns="0" tIns="0" rIns="0" bIns="0" rtlCol="0">
                          <a:prstTxWarp prst="textNoShape">
                            <a:avLst/>
                          </a:prstTxWarp>
                          <a:noAutofit/>
                        </wps:bodyPr>
                      </wps:wsp>
                      <wps:wsp>
                        <wps:cNvPr id="96" name="Graphic 96"/>
                        <wps:cNvSpPr/>
                        <wps:spPr>
                          <a:xfrm>
                            <a:off x="382134" y="273189"/>
                            <a:ext cx="2332355" cy="756285"/>
                          </a:xfrm>
                          <a:custGeom>
                            <a:avLst/>
                            <a:gdLst/>
                            <a:ahLst/>
                            <a:cxnLst/>
                            <a:rect l="l" t="t" r="r" b="b"/>
                            <a:pathLst>
                              <a:path w="2332355" h="756285">
                                <a:moveTo>
                                  <a:pt x="0" y="579766"/>
                                </a:moveTo>
                                <a:lnTo>
                                  <a:pt x="173643" y="579766"/>
                                </a:lnTo>
                                <a:lnTo>
                                  <a:pt x="173643" y="557011"/>
                                </a:lnTo>
                                <a:lnTo>
                                  <a:pt x="0" y="557011"/>
                                </a:lnTo>
                                <a:lnTo>
                                  <a:pt x="0" y="579766"/>
                                </a:lnTo>
                                <a:close/>
                              </a:path>
                              <a:path w="2332355" h="756285">
                                <a:moveTo>
                                  <a:pt x="432621" y="582735"/>
                                </a:moveTo>
                                <a:lnTo>
                                  <a:pt x="605273" y="582735"/>
                                </a:lnTo>
                                <a:lnTo>
                                  <a:pt x="605273" y="557011"/>
                                </a:lnTo>
                                <a:lnTo>
                                  <a:pt x="432621" y="557011"/>
                                </a:lnTo>
                                <a:lnTo>
                                  <a:pt x="432621" y="582735"/>
                                </a:lnTo>
                                <a:close/>
                              </a:path>
                              <a:path w="2332355" h="756285">
                                <a:moveTo>
                                  <a:pt x="864250" y="339351"/>
                                </a:moveTo>
                                <a:lnTo>
                                  <a:pt x="1036902" y="339351"/>
                                </a:lnTo>
                                <a:lnTo>
                                  <a:pt x="1036902" y="380904"/>
                                </a:lnTo>
                                <a:lnTo>
                                  <a:pt x="864250" y="380904"/>
                                </a:lnTo>
                                <a:lnTo>
                                  <a:pt x="864250" y="339351"/>
                                </a:lnTo>
                                <a:close/>
                              </a:path>
                              <a:path w="2332355" h="756285">
                                <a:moveTo>
                                  <a:pt x="1295879" y="755873"/>
                                </a:moveTo>
                                <a:lnTo>
                                  <a:pt x="1468531" y="755873"/>
                                </a:lnTo>
                                <a:lnTo>
                                  <a:pt x="1468531" y="732128"/>
                                </a:lnTo>
                                <a:lnTo>
                                  <a:pt x="1295879" y="732128"/>
                                </a:lnTo>
                                <a:lnTo>
                                  <a:pt x="1295879" y="755873"/>
                                </a:lnTo>
                                <a:close/>
                              </a:path>
                              <a:path w="2332355" h="756285">
                                <a:moveTo>
                                  <a:pt x="1727508" y="0"/>
                                </a:moveTo>
                                <a:lnTo>
                                  <a:pt x="1900160" y="0"/>
                                </a:lnTo>
                                <a:lnTo>
                                  <a:pt x="1900160" y="11872"/>
                                </a:lnTo>
                                <a:lnTo>
                                  <a:pt x="1727508" y="11872"/>
                                </a:lnTo>
                                <a:lnTo>
                                  <a:pt x="1727508" y="0"/>
                                </a:lnTo>
                                <a:close/>
                              </a:path>
                              <a:path w="2332355" h="756285">
                                <a:moveTo>
                                  <a:pt x="2159137" y="10883"/>
                                </a:moveTo>
                                <a:lnTo>
                                  <a:pt x="2331789" y="10883"/>
                                </a:lnTo>
                                <a:lnTo>
                                  <a:pt x="2331789" y="132574"/>
                                </a:lnTo>
                                <a:lnTo>
                                  <a:pt x="2159137" y="132574"/>
                                </a:lnTo>
                                <a:lnTo>
                                  <a:pt x="2159137" y="10883"/>
                                </a:lnTo>
                                <a:close/>
                              </a:path>
                            </a:pathLst>
                          </a:custGeom>
                          <a:ln w="6192">
                            <a:solidFill>
                              <a:srgbClr val="B8AAA1"/>
                            </a:solidFill>
                            <a:prstDash val="solid"/>
                          </a:ln>
                        </wps:spPr>
                        <wps:bodyPr wrap="square" lIns="0" tIns="0" rIns="0" bIns="0" rtlCol="0">
                          <a:prstTxWarp prst="textNoShape">
                            <a:avLst/>
                          </a:prstTxWarp>
                          <a:noAutofit/>
                        </wps:bodyPr>
                      </wps:wsp>
                      <wps:wsp>
                        <wps:cNvPr id="97" name="Graphic 97"/>
                        <wps:cNvSpPr/>
                        <wps:spPr>
                          <a:xfrm>
                            <a:off x="382133" y="267260"/>
                            <a:ext cx="2332355" cy="811530"/>
                          </a:xfrm>
                          <a:custGeom>
                            <a:avLst/>
                            <a:gdLst/>
                            <a:ahLst/>
                            <a:cxnLst/>
                            <a:rect l="l" t="t" r="r" b="b"/>
                            <a:pathLst>
                              <a:path w="2332355" h="811530">
                                <a:moveTo>
                                  <a:pt x="173634" y="325501"/>
                                </a:moveTo>
                                <a:lnTo>
                                  <a:pt x="0" y="325501"/>
                                </a:lnTo>
                                <a:lnTo>
                                  <a:pt x="0" y="326491"/>
                                </a:lnTo>
                                <a:lnTo>
                                  <a:pt x="173634" y="326491"/>
                                </a:lnTo>
                                <a:lnTo>
                                  <a:pt x="173634" y="325501"/>
                                </a:lnTo>
                                <a:close/>
                              </a:path>
                              <a:path w="2332355" h="811530">
                                <a:moveTo>
                                  <a:pt x="605269" y="367055"/>
                                </a:moveTo>
                                <a:lnTo>
                                  <a:pt x="432612" y="367055"/>
                                </a:lnTo>
                                <a:lnTo>
                                  <a:pt x="432612" y="375958"/>
                                </a:lnTo>
                                <a:lnTo>
                                  <a:pt x="605269" y="375958"/>
                                </a:lnTo>
                                <a:lnTo>
                                  <a:pt x="605269" y="367055"/>
                                </a:lnTo>
                                <a:close/>
                              </a:path>
                              <a:path w="2332355" h="811530">
                                <a:moveTo>
                                  <a:pt x="1036904" y="614387"/>
                                </a:moveTo>
                                <a:lnTo>
                                  <a:pt x="864247" y="614387"/>
                                </a:lnTo>
                                <a:lnTo>
                                  <a:pt x="864247" y="627253"/>
                                </a:lnTo>
                                <a:lnTo>
                                  <a:pt x="1036904" y="627253"/>
                                </a:lnTo>
                                <a:lnTo>
                                  <a:pt x="1036904" y="614387"/>
                                </a:lnTo>
                                <a:close/>
                              </a:path>
                              <a:path w="2332355" h="811530">
                                <a:moveTo>
                                  <a:pt x="1468539" y="542163"/>
                                </a:moveTo>
                                <a:lnTo>
                                  <a:pt x="1295882" y="542163"/>
                                </a:lnTo>
                                <a:lnTo>
                                  <a:pt x="1295882" y="553046"/>
                                </a:lnTo>
                                <a:lnTo>
                                  <a:pt x="1468539" y="553046"/>
                                </a:lnTo>
                                <a:lnTo>
                                  <a:pt x="1468539" y="542163"/>
                                </a:lnTo>
                                <a:close/>
                              </a:path>
                              <a:path w="2332355" h="811530">
                                <a:moveTo>
                                  <a:pt x="1900161" y="0"/>
                                </a:moveTo>
                                <a:lnTo>
                                  <a:pt x="1727517" y="0"/>
                                </a:lnTo>
                                <a:lnTo>
                                  <a:pt x="1727517" y="5930"/>
                                </a:lnTo>
                                <a:lnTo>
                                  <a:pt x="1900161" y="5930"/>
                                </a:lnTo>
                                <a:lnTo>
                                  <a:pt x="1900161" y="0"/>
                                </a:lnTo>
                                <a:close/>
                              </a:path>
                              <a:path w="2332355" h="811530">
                                <a:moveTo>
                                  <a:pt x="2331796" y="598563"/>
                                </a:moveTo>
                                <a:lnTo>
                                  <a:pt x="2159139" y="598563"/>
                                </a:lnTo>
                                <a:lnTo>
                                  <a:pt x="2159139" y="811276"/>
                                </a:lnTo>
                                <a:lnTo>
                                  <a:pt x="2331796" y="811276"/>
                                </a:lnTo>
                                <a:lnTo>
                                  <a:pt x="2331796" y="598563"/>
                                </a:lnTo>
                                <a:close/>
                              </a:path>
                            </a:pathLst>
                          </a:custGeom>
                          <a:solidFill>
                            <a:srgbClr val="92D050"/>
                          </a:solidFill>
                        </wps:spPr>
                        <wps:bodyPr wrap="square" lIns="0" tIns="0" rIns="0" bIns="0" rtlCol="0">
                          <a:prstTxWarp prst="textNoShape">
                            <a:avLst/>
                          </a:prstTxWarp>
                          <a:noAutofit/>
                        </wps:bodyPr>
                      </wps:wsp>
                      <wps:wsp>
                        <wps:cNvPr id="98" name="Graphic 98"/>
                        <wps:cNvSpPr/>
                        <wps:spPr>
                          <a:xfrm>
                            <a:off x="382134" y="267253"/>
                            <a:ext cx="2332355" cy="811530"/>
                          </a:xfrm>
                          <a:custGeom>
                            <a:avLst/>
                            <a:gdLst/>
                            <a:ahLst/>
                            <a:cxnLst/>
                            <a:rect l="l" t="t" r="r" b="b"/>
                            <a:pathLst>
                              <a:path w="2332355" h="811530">
                                <a:moveTo>
                                  <a:pt x="0" y="325499"/>
                                </a:moveTo>
                                <a:lnTo>
                                  <a:pt x="173644" y="325499"/>
                                </a:lnTo>
                                <a:lnTo>
                                  <a:pt x="173644" y="326489"/>
                                </a:lnTo>
                                <a:lnTo>
                                  <a:pt x="0" y="326489"/>
                                </a:lnTo>
                                <a:lnTo>
                                  <a:pt x="0" y="325499"/>
                                </a:lnTo>
                                <a:close/>
                              </a:path>
                              <a:path w="2332355" h="811530">
                                <a:moveTo>
                                  <a:pt x="432623" y="367052"/>
                                </a:moveTo>
                                <a:lnTo>
                                  <a:pt x="605276" y="367052"/>
                                </a:lnTo>
                                <a:lnTo>
                                  <a:pt x="605276" y="375957"/>
                                </a:lnTo>
                                <a:lnTo>
                                  <a:pt x="432623" y="375957"/>
                                </a:lnTo>
                                <a:lnTo>
                                  <a:pt x="432623" y="367052"/>
                                </a:lnTo>
                                <a:close/>
                              </a:path>
                              <a:path w="2332355" h="811530">
                                <a:moveTo>
                                  <a:pt x="864254" y="627254"/>
                                </a:moveTo>
                                <a:lnTo>
                                  <a:pt x="1036907" y="627254"/>
                                </a:lnTo>
                                <a:lnTo>
                                  <a:pt x="1036907" y="614393"/>
                                </a:lnTo>
                                <a:lnTo>
                                  <a:pt x="864254" y="614393"/>
                                </a:lnTo>
                                <a:lnTo>
                                  <a:pt x="864254" y="627254"/>
                                </a:lnTo>
                                <a:close/>
                              </a:path>
                              <a:path w="2332355" h="811530">
                                <a:moveTo>
                                  <a:pt x="1295886" y="542169"/>
                                </a:moveTo>
                                <a:lnTo>
                                  <a:pt x="1468538" y="542169"/>
                                </a:lnTo>
                                <a:lnTo>
                                  <a:pt x="1468538" y="553052"/>
                                </a:lnTo>
                                <a:lnTo>
                                  <a:pt x="1295886" y="553052"/>
                                </a:lnTo>
                                <a:lnTo>
                                  <a:pt x="1295886" y="542169"/>
                                </a:lnTo>
                                <a:close/>
                              </a:path>
                              <a:path w="2332355" h="811530">
                                <a:moveTo>
                                  <a:pt x="1727517" y="0"/>
                                </a:moveTo>
                                <a:lnTo>
                                  <a:pt x="1900170" y="0"/>
                                </a:lnTo>
                                <a:lnTo>
                                  <a:pt x="1900170" y="5936"/>
                                </a:lnTo>
                                <a:lnTo>
                                  <a:pt x="1727517" y="5936"/>
                                </a:lnTo>
                                <a:lnTo>
                                  <a:pt x="1727517" y="0"/>
                                </a:lnTo>
                                <a:close/>
                              </a:path>
                              <a:path w="2332355" h="811530">
                                <a:moveTo>
                                  <a:pt x="2159149" y="811275"/>
                                </a:moveTo>
                                <a:lnTo>
                                  <a:pt x="2331801" y="811275"/>
                                </a:lnTo>
                                <a:lnTo>
                                  <a:pt x="2331801" y="598563"/>
                                </a:lnTo>
                                <a:lnTo>
                                  <a:pt x="2159149" y="598563"/>
                                </a:lnTo>
                                <a:lnTo>
                                  <a:pt x="2159149" y="811275"/>
                                </a:lnTo>
                                <a:close/>
                              </a:path>
                            </a:pathLst>
                          </a:custGeom>
                          <a:ln w="6192">
                            <a:solidFill>
                              <a:srgbClr val="00AF50"/>
                            </a:solidFill>
                            <a:prstDash val="solid"/>
                          </a:ln>
                        </wps:spPr>
                        <wps:bodyPr wrap="square" lIns="0" tIns="0" rIns="0" bIns="0" rtlCol="0">
                          <a:prstTxWarp prst="textNoShape">
                            <a:avLst/>
                          </a:prstTxWarp>
                          <a:noAutofit/>
                        </wps:bodyPr>
                      </wps:wsp>
                      <wps:wsp>
                        <wps:cNvPr id="99" name="Graphic 99"/>
                        <wps:cNvSpPr/>
                        <wps:spPr>
                          <a:xfrm>
                            <a:off x="253141" y="226683"/>
                            <a:ext cx="1270" cy="967105"/>
                          </a:xfrm>
                          <a:custGeom>
                            <a:avLst/>
                            <a:gdLst/>
                            <a:ahLst/>
                            <a:cxnLst/>
                            <a:rect l="l" t="t" r="r" b="b"/>
                            <a:pathLst>
                              <a:path h="967105">
                                <a:moveTo>
                                  <a:pt x="0" y="966611"/>
                                </a:moveTo>
                                <a:lnTo>
                                  <a:pt x="0" y="0"/>
                                </a:lnTo>
                              </a:path>
                            </a:pathLst>
                          </a:custGeom>
                          <a:ln w="6201">
                            <a:solidFill>
                              <a:srgbClr val="858585"/>
                            </a:solidFill>
                            <a:prstDash val="solid"/>
                          </a:ln>
                        </wps:spPr>
                        <wps:bodyPr wrap="square" lIns="0" tIns="0" rIns="0" bIns="0" rtlCol="0">
                          <a:prstTxWarp prst="textNoShape">
                            <a:avLst/>
                          </a:prstTxWarp>
                          <a:noAutofit/>
                        </wps:bodyPr>
                      </wps:wsp>
                      <wps:wsp>
                        <wps:cNvPr id="100" name="Graphic 100"/>
                        <wps:cNvSpPr/>
                        <wps:spPr>
                          <a:xfrm>
                            <a:off x="224366" y="226689"/>
                            <a:ext cx="29209" cy="967105"/>
                          </a:xfrm>
                          <a:custGeom>
                            <a:avLst/>
                            <a:gdLst/>
                            <a:ahLst/>
                            <a:cxnLst/>
                            <a:rect l="l" t="t" r="r" b="b"/>
                            <a:pathLst>
                              <a:path w="29209" h="967105">
                                <a:moveTo>
                                  <a:pt x="0" y="966611"/>
                                </a:moveTo>
                                <a:lnTo>
                                  <a:pt x="28775" y="966611"/>
                                </a:lnTo>
                              </a:path>
                              <a:path w="29209" h="967105">
                                <a:moveTo>
                                  <a:pt x="0" y="845908"/>
                                </a:moveTo>
                                <a:lnTo>
                                  <a:pt x="28775" y="845908"/>
                                </a:lnTo>
                              </a:path>
                              <a:path w="29209" h="967105">
                                <a:moveTo>
                                  <a:pt x="0" y="725205"/>
                                </a:moveTo>
                                <a:lnTo>
                                  <a:pt x="28775" y="725205"/>
                                </a:lnTo>
                              </a:path>
                              <a:path w="29209" h="967105">
                                <a:moveTo>
                                  <a:pt x="0" y="603513"/>
                                </a:moveTo>
                                <a:lnTo>
                                  <a:pt x="28775" y="603513"/>
                                </a:lnTo>
                              </a:path>
                              <a:path w="29209" h="967105">
                                <a:moveTo>
                                  <a:pt x="0" y="482811"/>
                                </a:moveTo>
                                <a:lnTo>
                                  <a:pt x="28775" y="482811"/>
                                </a:lnTo>
                              </a:path>
                              <a:path w="29209" h="967105">
                                <a:moveTo>
                                  <a:pt x="0" y="362108"/>
                                </a:moveTo>
                                <a:lnTo>
                                  <a:pt x="28775" y="362108"/>
                                </a:lnTo>
                              </a:path>
                              <a:path w="29209" h="967105">
                                <a:moveTo>
                                  <a:pt x="0" y="241405"/>
                                </a:moveTo>
                                <a:lnTo>
                                  <a:pt x="28775" y="241405"/>
                                </a:lnTo>
                              </a:path>
                              <a:path w="29209" h="967105">
                                <a:moveTo>
                                  <a:pt x="0" y="120702"/>
                                </a:moveTo>
                                <a:lnTo>
                                  <a:pt x="28775" y="120702"/>
                                </a:lnTo>
                              </a:path>
                              <a:path w="29209" h="967105">
                                <a:moveTo>
                                  <a:pt x="0" y="0"/>
                                </a:moveTo>
                                <a:lnTo>
                                  <a:pt x="28775" y="0"/>
                                </a:lnTo>
                              </a:path>
                            </a:pathLst>
                          </a:custGeom>
                          <a:ln w="6192">
                            <a:solidFill>
                              <a:srgbClr val="858585"/>
                            </a:solidFill>
                            <a:prstDash val="solid"/>
                          </a:ln>
                        </wps:spPr>
                        <wps:bodyPr wrap="square" lIns="0" tIns="0" rIns="0" bIns="0" rtlCol="0">
                          <a:prstTxWarp prst="textNoShape">
                            <a:avLst/>
                          </a:prstTxWarp>
                          <a:noAutofit/>
                        </wps:bodyPr>
                      </wps:wsp>
                      <wps:wsp>
                        <wps:cNvPr id="101" name="Graphic 101"/>
                        <wps:cNvSpPr/>
                        <wps:spPr>
                          <a:xfrm>
                            <a:off x="253141" y="830200"/>
                            <a:ext cx="2590800" cy="1270"/>
                          </a:xfrm>
                          <a:custGeom>
                            <a:avLst/>
                            <a:gdLst/>
                            <a:ahLst/>
                            <a:cxnLst/>
                            <a:rect l="l" t="t" r="r" b="b"/>
                            <a:pathLst>
                              <a:path w="2590800">
                                <a:moveTo>
                                  <a:pt x="0" y="0"/>
                                </a:moveTo>
                                <a:lnTo>
                                  <a:pt x="2590766" y="0"/>
                                </a:lnTo>
                              </a:path>
                            </a:pathLst>
                          </a:custGeom>
                          <a:ln w="6183">
                            <a:solidFill>
                              <a:srgbClr val="858585"/>
                            </a:solidFill>
                            <a:prstDash val="solid"/>
                          </a:ln>
                        </wps:spPr>
                        <wps:bodyPr wrap="square" lIns="0" tIns="0" rIns="0" bIns="0" rtlCol="0">
                          <a:prstTxWarp prst="textNoShape">
                            <a:avLst/>
                          </a:prstTxWarp>
                          <a:noAutofit/>
                        </wps:bodyPr>
                      </wps:wsp>
                      <wps:wsp>
                        <wps:cNvPr id="102" name="Graphic 102"/>
                        <wps:cNvSpPr/>
                        <wps:spPr>
                          <a:xfrm>
                            <a:off x="253141" y="801508"/>
                            <a:ext cx="2590800" cy="58419"/>
                          </a:xfrm>
                          <a:custGeom>
                            <a:avLst/>
                            <a:gdLst/>
                            <a:ahLst/>
                            <a:cxnLst/>
                            <a:rect l="l" t="t" r="r" b="b"/>
                            <a:pathLst>
                              <a:path w="2590800" h="58419">
                                <a:moveTo>
                                  <a:pt x="0" y="0"/>
                                </a:moveTo>
                                <a:lnTo>
                                  <a:pt x="0" y="58372"/>
                                </a:lnTo>
                              </a:path>
                              <a:path w="2590800" h="58419">
                                <a:moveTo>
                                  <a:pt x="431629" y="0"/>
                                </a:moveTo>
                                <a:lnTo>
                                  <a:pt x="431629" y="58372"/>
                                </a:lnTo>
                              </a:path>
                              <a:path w="2590800" h="58419">
                                <a:moveTo>
                                  <a:pt x="863258" y="0"/>
                                </a:moveTo>
                                <a:lnTo>
                                  <a:pt x="863258" y="58372"/>
                                </a:lnTo>
                              </a:path>
                              <a:path w="2590800" h="58419">
                                <a:moveTo>
                                  <a:pt x="1294887" y="0"/>
                                </a:moveTo>
                                <a:lnTo>
                                  <a:pt x="1294887" y="58372"/>
                                </a:lnTo>
                              </a:path>
                              <a:path w="2590800" h="58419">
                                <a:moveTo>
                                  <a:pt x="1727508" y="0"/>
                                </a:moveTo>
                                <a:lnTo>
                                  <a:pt x="1727508" y="58372"/>
                                </a:lnTo>
                              </a:path>
                              <a:path w="2590800" h="58419">
                                <a:moveTo>
                                  <a:pt x="2159137" y="0"/>
                                </a:moveTo>
                                <a:lnTo>
                                  <a:pt x="2159137" y="58372"/>
                                </a:lnTo>
                              </a:path>
                              <a:path w="2590800" h="58419">
                                <a:moveTo>
                                  <a:pt x="2590766" y="0"/>
                                </a:moveTo>
                                <a:lnTo>
                                  <a:pt x="2590766" y="58372"/>
                                </a:lnTo>
                              </a:path>
                            </a:pathLst>
                          </a:custGeom>
                          <a:ln w="6192">
                            <a:solidFill>
                              <a:srgbClr val="858585"/>
                            </a:solidFill>
                            <a:prstDash val="solid"/>
                          </a:ln>
                        </wps:spPr>
                        <wps:bodyPr wrap="square" lIns="0" tIns="0" rIns="0" bIns="0" rtlCol="0">
                          <a:prstTxWarp prst="textNoShape">
                            <a:avLst/>
                          </a:prstTxWarp>
                          <a:noAutofit/>
                        </wps:bodyPr>
                      </wps:wsp>
                      <wps:wsp>
                        <wps:cNvPr id="103" name="Graphic 103"/>
                        <wps:cNvSpPr/>
                        <wps:spPr>
                          <a:xfrm>
                            <a:off x="468956" y="292482"/>
                            <a:ext cx="2159635" cy="738505"/>
                          </a:xfrm>
                          <a:custGeom>
                            <a:avLst/>
                            <a:gdLst/>
                            <a:ahLst/>
                            <a:cxnLst/>
                            <a:rect l="l" t="t" r="r" b="b"/>
                            <a:pathLst>
                              <a:path w="2159635" h="738505">
                                <a:moveTo>
                                  <a:pt x="0" y="308679"/>
                                </a:moveTo>
                                <a:lnTo>
                                  <a:pt x="431628" y="295817"/>
                                </a:lnTo>
                                <a:lnTo>
                                  <a:pt x="863257" y="412561"/>
                                </a:lnTo>
                                <a:lnTo>
                                  <a:pt x="1295878" y="738059"/>
                                </a:lnTo>
                                <a:lnTo>
                                  <a:pt x="1727507" y="0"/>
                                </a:lnTo>
                                <a:lnTo>
                                  <a:pt x="2159136" y="246349"/>
                                </a:lnTo>
                              </a:path>
                            </a:pathLst>
                          </a:custGeom>
                          <a:ln w="18556">
                            <a:solidFill>
                              <a:srgbClr val="252525"/>
                            </a:solidFill>
                            <a:prstDash val="solid"/>
                          </a:ln>
                        </wps:spPr>
                        <wps:bodyPr wrap="square" lIns="0" tIns="0" rIns="0" bIns="0" rtlCol="0">
                          <a:prstTxWarp prst="textNoShape">
                            <a:avLst/>
                          </a:prstTxWarp>
                          <a:noAutofit/>
                        </wps:bodyPr>
                      </wps:wsp>
                      <wps:wsp>
                        <wps:cNvPr id="104" name="Graphic 104"/>
                        <wps:cNvSpPr/>
                        <wps:spPr>
                          <a:xfrm>
                            <a:off x="151931" y="1408976"/>
                            <a:ext cx="158750" cy="50800"/>
                          </a:xfrm>
                          <a:custGeom>
                            <a:avLst/>
                            <a:gdLst/>
                            <a:ahLst/>
                            <a:cxnLst/>
                            <a:rect l="l" t="t" r="r" b="b"/>
                            <a:pathLst>
                              <a:path w="158750" h="50800">
                                <a:moveTo>
                                  <a:pt x="158748" y="50452"/>
                                </a:moveTo>
                                <a:lnTo>
                                  <a:pt x="0" y="50452"/>
                                </a:lnTo>
                                <a:lnTo>
                                  <a:pt x="0" y="0"/>
                                </a:lnTo>
                                <a:lnTo>
                                  <a:pt x="158748" y="0"/>
                                </a:lnTo>
                                <a:lnTo>
                                  <a:pt x="158748" y="50452"/>
                                </a:lnTo>
                                <a:close/>
                              </a:path>
                            </a:pathLst>
                          </a:custGeom>
                          <a:solidFill>
                            <a:srgbClr val="FFD623"/>
                          </a:solidFill>
                        </wps:spPr>
                        <wps:bodyPr wrap="square" lIns="0" tIns="0" rIns="0" bIns="0" rtlCol="0">
                          <a:prstTxWarp prst="textNoShape">
                            <a:avLst/>
                          </a:prstTxWarp>
                          <a:noAutofit/>
                        </wps:bodyPr>
                      </wps:wsp>
                      <wps:wsp>
                        <wps:cNvPr id="105" name="Graphic 105"/>
                        <wps:cNvSpPr/>
                        <wps:spPr>
                          <a:xfrm>
                            <a:off x="151931" y="1408976"/>
                            <a:ext cx="158750" cy="50800"/>
                          </a:xfrm>
                          <a:custGeom>
                            <a:avLst/>
                            <a:gdLst/>
                            <a:ahLst/>
                            <a:cxnLst/>
                            <a:rect l="l" t="t" r="r" b="b"/>
                            <a:pathLst>
                              <a:path w="158750" h="50800">
                                <a:moveTo>
                                  <a:pt x="0" y="0"/>
                                </a:moveTo>
                                <a:lnTo>
                                  <a:pt x="158748" y="0"/>
                                </a:lnTo>
                                <a:lnTo>
                                  <a:pt x="158748" y="50452"/>
                                </a:lnTo>
                                <a:lnTo>
                                  <a:pt x="0" y="50452"/>
                                </a:lnTo>
                                <a:lnTo>
                                  <a:pt x="0" y="0"/>
                                </a:lnTo>
                                <a:close/>
                              </a:path>
                            </a:pathLst>
                          </a:custGeom>
                          <a:ln w="6184">
                            <a:solidFill>
                              <a:srgbClr val="FFC000"/>
                            </a:solidFill>
                            <a:prstDash val="solid"/>
                          </a:ln>
                        </wps:spPr>
                        <wps:bodyPr wrap="square" lIns="0" tIns="0" rIns="0" bIns="0" rtlCol="0">
                          <a:prstTxWarp prst="textNoShape">
                            <a:avLst/>
                          </a:prstTxWarp>
                          <a:noAutofit/>
                        </wps:bodyPr>
                      </wps:wsp>
                      <wps:wsp>
                        <wps:cNvPr id="106" name="Graphic 106"/>
                        <wps:cNvSpPr/>
                        <wps:spPr>
                          <a:xfrm>
                            <a:off x="1065795" y="1408976"/>
                            <a:ext cx="158750" cy="50800"/>
                          </a:xfrm>
                          <a:custGeom>
                            <a:avLst/>
                            <a:gdLst/>
                            <a:ahLst/>
                            <a:cxnLst/>
                            <a:rect l="l" t="t" r="r" b="b"/>
                            <a:pathLst>
                              <a:path w="158750" h="50800">
                                <a:moveTo>
                                  <a:pt x="158748" y="50452"/>
                                </a:moveTo>
                                <a:lnTo>
                                  <a:pt x="0" y="50452"/>
                                </a:lnTo>
                                <a:lnTo>
                                  <a:pt x="0" y="0"/>
                                </a:lnTo>
                                <a:lnTo>
                                  <a:pt x="158748" y="0"/>
                                </a:lnTo>
                                <a:lnTo>
                                  <a:pt x="158748" y="50452"/>
                                </a:lnTo>
                                <a:close/>
                              </a:path>
                            </a:pathLst>
                          </a:custGeom>
                          <a:solidFill>
                            <a:srgbClr val="353A73"/>
                          </a:solidFill>
                        </wps:spPr>
                        <wps:bodyPr wrap="square" lIns="0" tIns="0" rIns="0" bIns="0" rtlCol="0">
                          <a:prstTxWarp prst="textNoShape">
                            <a:avLst/>
                          </a:prstTxWarp>
                          <a:noAutofit/>
                        </wps:bodyPr>
                      </wps:wsp>
                      <wps:wsp>
                        <wps:cNvPr id="107" name="Graphic 107"/>
                        <wps:cNvSpPr/>
                        <wps:spPr>
                          <a:xfrm>
                            <a:off x="1065795" y="1408976"/>
                            <a:ext cx="158750" cy="50800"/>
                          </a:xfrm>
                          <a:custGeom>
                            <a:avLst/>
                            <a:gdLst/>
                            <a:ahLst/>
                            <a:cxnLst/>
                            <a:rect l="l" t="t" r="r" b="b"/>
                            <a:pathLst>
                              <a:path w="158750" h="50800">
                                <a:moveTo>
                                  <a:pt x="0" y="0"/>
                                </a:moveTo>
                                <a:lnTo>
                                  <a:pt x="158748" y="0"/>
                                </a:lnTo>
                                <a:lnTo>
                                  <a:pt x="158748" y="50452"/>
                                </a:lnTo>
                                <a:lnTo>
                                  <a:pt x="0" y="50452"/>
                                </a:lnTo>
                                <a:lnTo>
                                  <a:pt x="0" y="0"/>
                                </a:lnTo>
                                <a:close/>
                              </a:path>
                            </a:pathLst>
                          </a:custGeom>
                          <a:ln w="6184">
                            <a:solidFill>
                              <a:srgbClr val="353A73"/>
                            </a:solidFill>
                            <a:prstDash val="solid"/>
                          </a:ln>
                        </wps:spPr>
                        <wps:bodyPr wrap="square" lIns="0" tIns="0" rIns="0" bIns="0" rtlCol="0">
                          <a:prstTxWarp prst="textNoShape">
                            <a:avLst/>
                          </a:prstTxWarp>
                          <a:noAutofit/>
                        </wps:bodyPr>
                      </wps:wsp>
                      <wps:wsp>
                        <wps:cNvPr id="108" name="Graphic 108"/>
                        <wps:cNvSpPr/>
                        <wps:spPr>
                          <a:xfrm>
                            <a:off x="1979658" y="1408976"/>
                            <a:ext cx="158750" cy="50800"/>
                          </a:xfrm>
                          <a:custGeom>
                            <a:avLst/>
                            <a:gdLst/>
                            <a:ahLst/>
                            <a:cxnLst/>
                            <a:rect l="l" t="t" r="r" b="b"/>
                            <a:pathLst>
                              <a:path w="158750" h="50800">
                                <a:moveTo>
                                  <a:pt x="158748" y="50452"/>
                                </a:moveTo>
                                <a:lnTo>
                                  <a:pt x="0" y="50452"/>
                                </a:lnTo>
                                <a:lnTo>
                                  <a:pt x="0" y="0"/>
                                </a:lnTo>
                                <a:lnTo>
                                  <a:pt x="158748" y="0"/>
                                </a:lnTo>
                                <a:lnTo>
                                  <a:pt x="158748" y="50452"/>
                                </a:lnTo>
                                <a:close/>
                              </a:path>
                            </a:pathLst>
                          </a:custGeom>
                          <a:solidFill>
                            <a:srgbClr val="2E9AFA"/>
                          </a:solidFill>
                        </wps:spPr>
                        <wps:bodyPr wrap="square" lIns="0" tIns="0" rIns="0" bIns="0" rtlCol="0">
                          <a:prstTxWarp prst="textNoShape">
                            <a:avLst/>
                          </a:prstTxWarp>
                          <a:noAutofit/>
                        </wps:bodyPr>
                      </wps:wsp>
                      <wps:wsp>
                        <wps:cNvPr id="109" name="Graphic 109"/>
                        <wps:cNvSpPr/>
                        <wps:spPr>
                          <a:xfrm>
                            <a:off x="1979659" y="1408976"/>
                            <a:ext cx="158750" cy="50800"/>
                          </a:xfrm>
                          <a:custGeom>
                            <a:avLst/>
                            <a:gdLst/>
                            <a:ahLst/>
                            <a:cxnLst/>
                            <a:rect l="l" t="t" r="r" b="b"/>
                            <a:pathLst>
                              <a:path w="158750" h="50800">
                                <a:moveTo>
                                  <a:pt x="0" y="0"/>
                                </a:moveTo>
                                <a:lnTo>
                                  <a:pt x="158748" y="0"/>
                                </a:lnTo>
                                <a:lnTo>
                                  <a:pt x="158748" y="50452"/>
                                </a:lnTo>
                                <a:lnTo>
                                  <a:pt x="0" y="50452"/>
                                </a:lnTo>
                                <a:lnTo>
                                  <a:pt x="0" y="0"/>
                                </a:lnTo>
                                <a:close/>
                              </a:path>
                            </a:pathLst>
                          </a:custGeom>
                          <a:ln w="6184">
                            <a:solidFill>
                              <a:srgbClr val="006FC0"/>
                            </a:solidFill>
                            <a:prstDash val="solid"/>
                          </a:ln>
                        </wps:spPr>
                        <wps:bodyPr wrap="square" lIns="0" tIns="0" rIns="0" bIns="0" rtlCol="0">
                          <a:prstTxWarp prst="textNoShape">
                            <a:avLst/>
                          </a:prstTxWarp>
                          <a:noAutofit/>
                        </wps:bodyPr>
                      </wps:wsp>
                      <wps:wsp>
                        <wps:cNvPr id="110" name="Graphic 110"/>
                        <wps:cNvSpPr/>
                        <wps:spPr>
                          <a:xfrm>
                            <a:off x="151931" y="1512859"/>
                            <a:ext cx="158750" cy="49530"/>
                          </a:xfrm>
                          <a:custGeom>
                            <a:avLst/>
                            <a:gdLst/>
                            <a:ahLst/>
                            <a:cxnLst/>
                            <a:rect l="l" t="t" r="r" b="b"/>
                            <a:pathLst>
                              <a:path w="158750" h="49530">
                                <a:moveTo>
                                  <a:pt x="158748" y="49463"/>
                                </a:moveTo>
                                <a:lnTo>
                                  <a:pt x="0" y="49463"/>
                                </a:lnTo>
                                <a:lnTo>
                                  <a:pt x="0" y="0"/>
                                </a:lnTo>
                                <a:lnTo>
                                  <a:pt x="158748" y="0"/>
                                </a:lnTo>
                                <a:lnTo>
                                  <a:pt x="158748" y="49463"/>
                                </a:lnTo>
                                <a:close/>
                              </a:path>
                            </a:pathLst>
                          </a:custGeom>
                          <a:solidFill>
                            <a:srgbClr val="F0EDEB"/>
                          </a:solidFill>
                        </wps:spPr>
                        <wps:bodyPr wrap="square" lIns="0" tIns="0" rIns="0" bIns="0" rtlCol="0">
                          <a:prstTxWarp prst="textNoShape">
                            <a:avLst/>
                          </a:prstTxWarp>
                          <a:noAutofit/>
                        </wps:bodyPr>
                      </wps:wsp>
                      <wps:wsp>
                        <wps:cNvPr id="111" name="Graphic 111"/>
                        <wps:cNvSpPr/>
                        <wps:spPr>
                          <a:xfrm>
                            <a:off x="151931" y="1512859"/>
                            <a:ext cx="158750" cy="49530"/>
                          </a:xfrm>
                          <a:custGeom>
                            <a:avLst/>
                            <a:gdLst/>
                            <a:ahLst/>
                            <a:cxnLst/>
                            <a:rect l="l" t="t" r="r" b="b"/>
                            <a:pathLst>
                              <a:path w="158750" h="49530">
                                <a:moveTo>
                                  <a:pt x="0" y="0"/>
                                </a:moveTo>
                                <a:lnTo>
                                  <a:pt x="158748" y="0"/>
                                </a:lnTo>
                                <a:lnTo>
                                  <a:pt x="158748" y="49463"/>
                                </a:lnTo>
                                <a:lnTo>
                                  <a:pt x="0" y="49463"/>
                                </a:lnTo>
                                <a:lnTo>
                                  <a:pt x="0" y="0"/>
                                </a:lnTo>
                                <a:close/>
                              </a:path>
                            </a:pathLst>
                          </a:custGeom>
                          <a:ln w="6184">
                            <a:solidFill>
                              <a:srgbClr val="B8AAA1"/>
                            </a:solidFill>
                            <a:prstDash val="solid"/>
                          </a:ln>
                        </wps:spPr>
                        <wps:bodyPr wrap="square" lIns="0" tIns="0" rIns="0" bIns="0" rtlCol="0">
                          <a:prstTxWarp prst="textNoShape">
                            <a:avLst/>
                          </a:prstTxWarp>
                          <a:noAutofit/>
                        </wps:bodyPr>
                      </wps:wsp>
                      <wps:wsp>
                        <wps:cNvPr id="112" name="Graphic 112"/>
                        <wps:cNvSpPr/>
                        <wps:spPr>
                          <a:xfrm>
                            <a:off x="1065795" y="1512859"/>
                            <a:ext cx="158750" cy="49530"/>
                          </a:xfrm>
                          <a:custGeom>
                            <a:avLst/>
                            <a:gdLst/>
                            <a:ahLst/>
                            <a:cxnLst/>
                            <a:rect l="l" t="t" r="r" b="b"/>
                            <a:pathLst>
                              <a:path w="158750" h="49530">
                                <a:moveTo>
                                  <a:pt x="158748" y="49463"/>
                                </a:moveTo>
                                <a:lnTo>
                                  <a:pt x="0" y="49463"/>
                                </a:lnTo>
                                <a:lnTo>
                                  <a:pt x="0" y="0"/>
                                </a:lnTo>
                                <a:lnTo>
                                  <a:pt x="158748" y="0"/>
                                </a:lnTo>
                                <a:lnTo>
                                  <a:pt x="158748" y="49463"/>
                                </a:lnTo>
                                <a:close/>
                              </a:path>
                            </a:pathLst>
                          </a:custGeom>
                          <a:solidFill>
                            <a:srgbClr val="92D050"/>
                          </a:solidFill>
                        </wps:spPr>
                        <wps:bodyPr wrap="square" lIns="0" tIns="0" rIns="0" bIns="0" rtlCol="0">
                          <a:prstTxWarp prst="textNoShape">
                            <a:avLst/>
                          </a:prstTxWarp>
                          <a:noAutofit/>
                        </wps:bodyPr>
                      </wps:wsp>
                      <wps:wsp>
                        <wps:cNvPr id="113" name="Graphic 113"/>
                        <wps:cNvSpPr/>
                        <wps:spPr>
                          <a:xfrm>
                            <a:off x="1065795" y="1512859"/>
                            <a:ext cx="158750" cy="49530"/>
                          </a:xfrm>
                          <a:custGeom>
                            <a:avLst/>
                            <a:gdLst/>
                            <a:ahLst/>
                            <a:cxnLst/>
                            <a:rect l="l" t="t" r="r" b="b"/>
                            <a:pathLst>
                              <a:path w="158750" h="49530">
                                <a:moveTo>
                                  <a:pt x="0" y="0"/>
                                </a:moveTo>
                                <a:lnTo>
                                  <a:pt x="158748" y="0"/>
                                </a:lnTo>
                                <a:lnTo>
                                  <a:pt x="158748" y="49463"/>
                                </a:lnTo>
                                <a:lnTo>
                                  <a:pt x="0" y="49463"/>
                                </a:lnTo>
                                <a:lnTo>
                                  <a:pt x="0" y="0"/>
                                </a:lnTo>
                                <a:close/>
                              </a:path>
                            </a:pathLst>
                          </a:custGeom>
                          <a:ln w="6184">
                            <a:solidFill>
                              <a:srgbClr val="00AF50"/>
                            </a:solidFill>
                            <a:prstDash val="solid"/>
                          </a:ln>
                        </wps:spPr>
                        <wps:bodyPr wrap="square" lIns="0" tIns="0" rIns="0" bIns="0" rtlCol="0">
                          <a:prstTxWarp prst="textNoShape">
                            <a:avLst/>
                          </a:prstTxWarp>
                          <a:noAutofit/>
                        </wps:bodyPr>
                      </wps:wsp>
                      <wps:wsp>
                        <wps:cNvPr id="114" name="Graphic 114"/>
                        <wps:cNvSpPr/>
                        <wps:spPr>
                          <a:xfrm>
                            <a:off x="1980154" y="1537098"/>
                            <a:ext cx="158750" cy="1270"/>
                          </a:xfrm>
                          <a:custGeom>
                            <a:avLst/>
                            <a:gdLst/>
                            <a:ahLst/>
                            <a:cxnLst/>
                            <a:rect l="l" t="t" r="r" b="b"/>
                            <a:pathLst>
                              <a:path w="158750">
                                <a:moveTo>
                                  <a:pt x="0" y="0"/>
                                </a:moveTo>
                                <a:lnTo>
                                  <a:pt x="158748" y="0"/>
                                </a:lnTo>
                              </a:path>
                            </a:pathLst>
                          </a:custGeom>
                          <a:ln w="18548">
                            <a:solidFill>
                              <a:srgbClr val="252525"/>
                            </a:solidFill>
                            <a:prstDash val="solid"/>
                          </a:ln>
                        </wps:spPr>
                        <wps:bodyPr wrap="square" lIns="0" tIns="0" rIns="0" bIns="0" rtlCol="0">
                          <a:prstTxWarp prst="textNoShape">
                            <a:avLst/>
                          </a:prstTxWarp>
                          <a:noAutofit/>
                        </wps:bodyPr>
                      </wps:wsp>
                      <wps:wsp>
                        <wps:cNvPr id="115" name="Graphic 115"/>
                        <wps:cNvSpPr/>
                        <wps:spPr>
                          <a:xfrm>
                            <a:off x="3094" y="3094"/>
                            <a:ext cx="2976880" cy="1742439"/>
                          </a:xfrm>
                          <a:custGeom>
                            <a:avLst/>
                            <a:gdLst/>
                            <a:ahLst/>
                            <a:cxnLst/>
                            <a:rect l="l" t="t" r="r" b="b"/>
                            <a:pathLst>
                              <a:path w="2976880" h="1742439">
                                <a:moveTo>
                                  <a:pt x="0" y="0"/>
                                </a:moveTo>
                                <a:lnTo>
                                  <a:pt x="2976768" y="0"/>
                                </a:lnTo>
                                <a:lnTo>
                                  <a:pt x="2976768" y="1742271"/>
                                </a:lnTo>
                                <a:lnTo>
                                  <a:pt x="0" y="1742271"/>
                                </a:lnTo>
                                <a:lnTo>
                                  <a:pt x="0" y="0"/>
                                </a:lnTo>
                                <a:close/>
                              </a:path>
                            </a:pathLst>
                          </a:custGeom>
                          <a:ln w="6188">
                            <a:solidFill>
                              <a:srgbClr val="858585"/>
                            </a:solidFill>
                            <a:prstDash val="solid"/>
                          </a:ln>
                        </wps:spPr>
                        <wps:bodyPr wrap="square" lIns="0" tIns="0" rIns="0" bIns="0" rtlCol="0">
                          <a:prstTxWarp prst="textNoShape">
                            <a:avLst/>
                          </a:prstTxWarp>
                          <a:noAutofit/>
                        </wps:bodyPr>
                      </wps:wsp>
                      <wps:wsp>
                        <wps:cNvPr id="116" name="Textbox 116"/>
                        <wps:cNvSpPr txBox="1"/>
                        <wps:spPr>
                          <a:xfrm>
                            <a:off x="503520" y="53148"/>
                            <a:ext cx="1981835" cy="118745"/>
                          </a:xfrm>
                          <a:prstGeom prst="rect">
                            <a:avLst/>
                          </a:prstGeom>
                        </wps:spPr>
                        <wps:txbx>
                          <w:txbxContent>
                            <w:p w14:paraId="40AFA0F5" w14:textId="77777777" w:rsidR="00117B81" w:rsidRDefault="00117B81" w:rsidP="00117B81">
                              <w:pPr>
                                <w:spacing w:line="186" w:lineRule="exact"/>
                                <w:rPr>
                                  <w:b/>
                                  <w:sz w:val="17"/>
                                </w:rPr>
                              </w:pPr>
                              <w:r>
                                <w:rPr>
                                  <w:i/>
                                  <w:sz w:val="17"/>
                                </w:rPr>
                                <w:t>Graph</w:t>
                              </w:r>
                              <w:r>
                                <w:rPr>
                                  <w:i/>
                                  <w:spacing w:val="-7"/>
                                  <w:sz w:val="17"/>
                                </w:rPr>
                                <w:t xml:space="preserve"> </w:t>
                              </w:r>
                              <w:r>
                                <w:rPr>
                                  <w:i/>
                                  <w:sz w:val="17"/>
                                </w:rPr>
                                <w:t>1.1:</w:t>
                              </w:r>
                              <w:r>
                                <w:rPr>
                                  <w:i/>
                                  <w:spacing w:val="-4"/>
                                  <w:sz w:val="17"/>
                                </w:rPr>
                                <w:t xml:space="preserve"> </w:t>
                              </w:r>
                              <w:r>
                                <w:rPr>
                                  <w:b/>
                                  <w:sz w:val="17"/>
                                </w:rPr>
                                <w:t>Albania</w:t>
                              </w:r>
                              <w:r>
                                <w:rPr>
                                  <w:b/>
                                  <w:spacing w:val="-4"/>
                                  <w:sz w:val="17"/>
                                </w:rPr>
                                <w:t xml:space="preserve"> </w:t>
                              </w:r>
                              <w:r>
                                <w:rPr>
                                  <w:b/>
                                  <w:sz w:val="17"/>
                                </w:rPr>
                                <w:t>-</w:t>
                              </w:r>
                              <w:r>
                                <w:rPr>
                                  <w:b/>
                                  <w:spacing w:val="-6"/>
                                  <w:sz w:val="17"/>
                                </w:rPr>
                                <w:t xml:space="preserve"> </w:t>
                              </w:r>
                              <w:r>
                                <w:rPr>
                                  <w:b/>
                                  <w:sz w:val="17"/>
                                </w:rPr>
                                <w:t>Real</w:t>
                              </w:r>
                              <w:r>
                                <w:rPr>
                                  <w:b/>
                                  <w:spacing w:val="-4"/>
                                  <w:sz w:val="17"/>
                                </w:rPr>
                                <w:t xml:space="preserve"> </w:t>
                              </w:r>
                              <w:r>
                                <w:rPr>
                                  <w:b/>
                                  <w:sz w:val="17"/>
                                </w:rPr>
                                <w:t>GDP</w:t>
                              </w:r>
                              <w:r>
                                <w:rPr>
                                  <w:b/>
                                  <w:spacing w:val="-10"/>
                                  <w:sz w:val="17"/>
                                </w:rPr>
                                <w:t xml:space="preserve"> </w:t>
                              </w:r>
                              <w:r>
                                <w:rPr>
                                  <w:b/>
                                  <w:sz w:val="17"/>
                                </w:rPr>
                                <w:t>growth</w:t>
                              </w:r>
                              <w:r>
                                <w:rPr>
                                  <w:b/>
                                  <w:spacing w:val="-7"/>
                                  <w:sz w:val="17"/>
                                </w:rPr>
                                <w:t xml:space="preserve"> </w:t>
                              </w:r>
                              <w:r>
                                <w:rPr>
                                  <w:b/>
                                  <w:spacing w:val="-5"/>
                                  <w:sz w:val="17"/>
                                </w:rPr>
                                <w:t>and</w:t>
                              </w:r>
                            </w:p>
                          </w:txbxContent>
                        </wps:txbx>
                        <wps:bodyPr wrap="square" lIns="0" tIns="0" rIns="0" bIns="0" rtlCol="0">
                          <a:noAutofit/>
                        </wps:bodyPr>
                      </wps:wsp>
                      <wps:wsp>
                        <wps:cNvPr id="117" name="Textbox 117"/>
                        <wps:cNvSpPr txBox="1"/>
                        <wps:spPr>
                          <a:xfrm>
                            <a:off x="76437" y="184112"/>
                            <a:ext cx="105410" cy="1057910"/>
                          </a:xfrm>
                          <a:prstGeom prst="rect">
                            <a:avLst/>
                          </a:prstGeom>
                        </wps:spPr>
                        <wps:txbx>
                          <w:txbxContent>
                            <w:p w14:paraId="2CBE9AF7" w14:textId="77777777" w:rsidR="00117B81" w:rsidRDefault="00117B81" w:rsidP="00117B81">
                              <w:pPr>
                                <w:spacing w:line="145" w:lineRule="exact"/>
                                <w:rPr>
                                  <w:rFonts w:ascii="Calibri"/>
                                  <w:sz w:val="14"/>
                                </w:rPr>
                              </w:pPr>
                              <w:r>
                                <w:rPr>
                                  <w:rFonts w:ascii="Calibri"/>
                                  <w:spacing w:val="-5"/>
                                  <w:sz w:val="14"/>
                                </w:rPr>
                                <w:t>10</w:t>
                              </w:r>
                            </w:p>
                            <w:p w14:paraId="274BC5E8" w14:textId="77777777" w:rsidR="00117B81" w:rsidRDefault="00117B81" w:rsidP="00117B81">
                              <w:pPr>
                                <w:spacing w:before="19"/>
                                <w:ind w:left="72"/>
                                <w:rPr>
                                  <w:rFonts w:ascii="Calibri"/>
                                  <w:sz w:val="14"/>
                                </w:rPr>
                              </w:pPr>
                              <w:r>
                                <w:rPr>
                                  <w:rFonts w:ascii="Calibri"/>
                                  <w:spacing w:val="-10"/>
                                  <w:sz w:val="14"/>
                                </w:rPr>
                                <w:t>8</w:t>
                              </w:r>
                            </w:p>
                            <w:p w14:paraId="20F41665" w14:textId="77777777" w:rsidR="00117B81" w:rsidRDefault="00117B81" w:rsidP="00117B81">
                              <w:pPr>
                                <w:spacing w:before="19"/>
                                <w:ind w:left="72"/>
                                <w:rPr>
                                  <w:rFonts w:ascii="Calibri"/>
                                  <w:sz w:val="14"/>
                                </w:rPr>
                              </w:pPr>
                              <w:r>
                                <w:rPr>
                                  <w:rFonts w:ascii="Calibri"/>
                                  <w:spacing w:val="-10"/>
                                  <w:sz w:val="14"/>
                                </w:rPr>
                                <w:t>6</w:t>
                              </w:r>
                            </w:p>
                            <w:p w14:paraId="4F0BF49C" w14:textId="77777777" w:rsidR="00117B81" w:rsidRDefault="00117B81" w:rsidP="00117B81">
                              <w:pPr>
                                <w:spacing w:before="20"/>
                                <w:ind w:left="72"/>
                                <w:rPr>
                                  <w:rFonts w:ascii="Calibri"/>
                                  <w:sz w:val="14"/>
                                </w:rPr>
                              </w:pPr>
                              <w:r>
                                <w:rPr>
                                  <w:rFonts w:ascii="Calibri"/>
                                  <w:spacing w:val="-10"/>
                                  <w:sz w:val="14"/>
                                </w:rPr>
                                <w:t>4</w:t>
                              </w:r>
                            </w:p>
                            <w:p w14:paraId="18B3EF4C" w14:textId="77777777" w:rsidR="00117B81" w:rsidRDefault="00117B81" w:rsidP="00117B81">
                              <w:pPr>
                                <w:spacing w:before="19"/>
                                <w:ind w:left="72"/>
                                <w:rPr>
                                  <w:rFonts w:ascii="Calibri"/>
                                  <w:sz w:val="14"/>
                                </w:rPr>
                              </w:pPr>
                              <w:r>
                                <w:rPr>
                                  <w:rFonts w:ascii="Calibri"/>
                                  <w:spacing w:val="-10"/>
                                  <w:sz w:val="14"/>
                                </w:rPr>
                                <w:t>2</w:t>
                              </w:r>
                            </w:p>
                            <w:p w14:paraId="49EFFC4B" w14:textId="77777777" w:rsidR="00117B81" w:rsidRDefault="00117B81" w:rsidP="00117B81">
                              <w:pPr>
                                <w:spacing w:before="19"/>
                                <w:ind w:left="72"/>
                                <w:rPr>
                                  <w:rFonts w:ascii="Calibri"/>
                                  <w:sz w:val="14"/>
                                </w:rPr>
                              </w:pPr>
                              <w:r>
                                <w:rPr>
                                  <w:rFonts w:ascii="Calibri"/>
                                  <w:spacing w:val="-10"/>
                                  <w:sz w:val="14"/>
                                </w:rPr>
                                <w:t>0</w:t>
                              </w:r>
                            </w:p>
                            <w:p w14:paraId="16AEA03E" w14:textId="77777777" w:rsidR="00117B81" w:rsidRDefault="00117B81" w:rsidP="00117B81">
                              <w:pPr>
                                <w:spacing w:before="20"/>
                                <w:ind w:left="28"/>
                                <w:rPr>
                                  <w:rFonts w:ascii="Calibri"/>
                                  <w:sz w:val="14"/>
                                </w:rPr>
                              </w:pPr>
                              <w:r>
                                <w:rPr>
                                  <w:rFonts w:ascii="Calibri"/>
                                  <w:spacing w:val="-2"/>
                                  <w:sz w:val="14"/>
                                </w:rPr>
                                <w:t>-</w:t>
                              </w:r>
                              <w:r>
                                <w:rPr>
                                  <w:rFonts w:ascii="Calibri"/>
                                  <w:spacing w:val="-10"/>
                                  <w:sz w:val="14"/>
                                </w:rPr>
                                <w:t>2</w:t>
                              </w:r>
                            </w:p>
                            <w:p w14:paraId="44461994" w14:textId="77777777" w:rsidR="00117B81" w:rsidRDefault="00117B81" w:rsidP="00117B81">
                              <w:pPr>
                                <w:spacing w:before="19"/>
                                <w:ind w:left="28"/>
                                <w:rPr>
                                  <w:rFonts w:ascii="Calibri"/>
                                  <w:sz w:val="14"/>
                                </w:rPr>
                              </w:pPr>
                              <w:r>
                                <w:rPr>
                                  <w:rFonts w:ascii="Calibri"/>
                                  <w:spacing w:val="-2"/>
                                  <w:sz w:val="14"/>
                                </w:rPr>
                                <w:t>-</w:t>
                              </w:r>
                              <w:r>
                                <w:rPr>
                                  <w:rFonts w:ascii="Calibri"/>
                                  <w:spacing w:val="-10"/>
                                  <w:sz w:val="14"/>
                                </w:rPr>
                                <w:t>4</w:t>
                              </w:r>
                            </w:p>
                            <w:p w14:paraId="50501F4D" w14:textId="77777777" w:rsidR="00117B81" w:rsidRDefault="00117B81" w:rsidP="00117B81">
                              <w:pPr>
                                <w:spacing w:before="19" w:line="169" w:lineRule="exact"/>
                                <w:ind w:left="28"/>
                                <w:rPr>
                                  <w:rFonts w:ascii="Calibri"/>
                                  <w:sz w:val="14"/>
                                </w:rPr>
                              </w:pPr>
                              <w:r>
                                <w:rPr>
                                  <w:rFonts w:ascii="Calibri"/>
                                  <w:spacing w:val="-2"/>
                                  <w:sz w:val="14"/>
                                </w:rPr>
                                <w:t>-</w:t>
                              </w:r>
                              <w:r>
                                <w:rPr>
                                  <w:rFonts w:ascii="Calibri"/>
                                  <w:spacing w:val="-10"/>
                                  <w:sz w:val="14"/>
                                </w:rPr>
                                <w:t>6</w:t>
                              </w:r>
                            </w:p>
                          </w:txbxContent>
                        </wps:txbx>
                        <wps:bodyPr wrap="square" lIns="0" tIns="0" rIns="0" bIns="0" rtlCol="0">
                          <a:noAutofit/>
                        </wps:bodyPr>
                      </wps:wsp>
                      <wps:wsp>
                        <wps:cNvPr id="118" name="Textbox 118"/>
                        <wps:cNvSpPr txBox="1"/>
                        <wps:spPr>
                          <a:xfrm>
                            <a:off x="309045" y="246807"/>
                            <a:ext cx="285750" cy="91440"/>
                          </a:xfrm>
                          <a:prstGeom prst="rect">
                            <a:avLst/>
                          </a:prstGeom>
                        </wps:spPr>
                        <wps:txbx>
                          <w:txbxContent>
                            <w:p w14:paraId="2CCDB354" w14:textId="77777777" w:rsidR="00117B81" w:rsidRDefault="00117B81" w:rsidP="00117B81">
                              <w:pPr>
                                <w:spacing w:line="143" w:lineRule="exact"/>
                                <w:rPr>
                                  <w:rFonts w:ascii="Calibri"/>
                                  <w:sz w:val="14"/>
                                </w:rPr>
                              </w:pPr>
                              <w:r>
                                <w:rPr>
                                  <w:rFonts w:ascii="Calibri"/>
                                  <w:sz w:val="14"/>
                                </w:rPr>
                                <w:t>%</w:t>
                              </w:r>
                              <w:r>
                                <w:rPr>
                                  <w:rFonts w:ascii="Calibri"/>
                                  <w:spacing w:val="3"/>
                                  <w:sz w:val="14"/>
                                </w:rPr>
                                <w:t xml:space="preserve"> </w:t>
                              </w:r>
                              <w:r>
                                <w:rPr>
                                  <w:rFonts w:ascii="Calibri"/>
                                  <w:sz w:val="14"/>
                                </w:rPr>
                                <w:t>y-o-</w:t>
                              </w:r>
                              <w:r>
                                <w:rPr>
                                  <w:rFonts w:ascii="Calibri"/>
                                  <w:spacing w:val="-10"/>
                                  <w:sz w:val="14"/>
                                </w:rPr>
                                <w:t>y</w:t>
                              </w:r>
                            </w:p>
                          </w:txbxContent>
                        </wps:txbx>
                        <wps:bodyPr wrap="square" lIns="0" tIns="0" rIns="0" bIns="0" rtlCol="0">
                          <a:noAutofit/>
                        </wps:bodyPr>
                      </wps:wsp>
                      <wps:wsp>
                        <wps:cNvPr id="119" name="Textbox 119"/>
                        <wps:cNvSpPr txBox="1"/>
                        <wps:spPr>
                          <a:xfrm>
                            <a:off x="1181226" y="176818"/>
                            <a:ext cx="626110" cy="118745"/>
                          </a:xfrm>
                          <a:prstGeom prst="rect">
                            <a:avLst/>
                          </a:prstGeom>
                        </wps:spPr>
                        <wps:txbx>
                          <w:txbxContent>
                            <w:p w14:paraId="6A6555A2" w14:textId="77777777" w:rsidR="00117B81" w:rsidRDefault="00117B81" w:rsidP="00117B81">
                              <w:pPr>
                                <w:spacing w:line="186" w:lineRule="exact"/>
                                <w:rPr>
                                  <w:b/>
                                  <w:sz w:val="17"/>
                                </w:rPr>
                              </w:pPr>
                              <w:r>
                                <w:rPr>
                                  <w:b/>
                                  <w:spacing w:val="-2"/>
                                  <w:sz w:val="17"/>
                                </w:rPr>
                                <w:t>contributions</w:t>
                              </w:r>
                            </w:p>
                          </w:txbxContent>
                        </wps:txbx>
                        <wps:bodyPr wrap="square" lIns="0" tIns="0" rIns="0" bIns="0" rtlCol="0">
                          <a:noAutofit/>
                        </wps:bodyPr>
                      </wps:wsp>
                      <wps:wsp>
                        <wps:cNvPr id="120" name="Textbox 120"/>
                        <wps:cNvSpPr txBox="1"/>
                        <wps:spPr>
                          <a:xfrm>
                            <a:off x="326983" y="1268427"/>
                            <a:ext cx="390525" cy="317500"/>
                          </a:xfrm>
                          <a:prstGeom prst="rect">
                            <a:avLst/>
                          </a:prstGeom>
                        </wps:spPr>
                        <wps:txbx>
                          <w:txbxContent>
                            <w:p w14:paraId="4C9329ED" w14:textId="77777777" w:rsidR="00117B81" w:rsidRDefault="00117B81" w:rsidP="00117B81">
                              <w:pPr>
                                <w:spacing w:line="145" w:lineRule="exact"/>
                                <w:ind w:left="78"/>
                                <w:rPr>
                                  <w:rFonts w:ascii="Calibri"/>
                                  <w:sz w:val="14"/>
                                </w:rPr>
                              </w:pPr>
                              <w:r>
                                <w:rPr>
                                  <w:rFonts w:ascii="Calibri"/>
                                  <w:spacing w:val="-4"/>
                                  <w:sz w:val="14"/>
                                </w:rPr>
                                <w:t>2017</w:t>
                              </w:r>
                            </w:p>
                            <w:p w14:paraId="44BC4F86" w14:textId="77777777" w:rsidR="00117B81" w:rsidRDefault="00117B81" w:rsidP="00117B81">
                              <w:pPr>
                                <w:spacing w:before="30" w:line="228" w:lineRule="auto"/>
                                <w:rPr>
                                  <w:rFonts w:ascii="Calibri"/>
                                  <w:sz w:val="14"/>
                                </w:rPr>
                              </w:pPr>
                              <w:r>
                                <w:rPr>
                                  <w:rFonts w:ascii="Calibri"/>
                                  <w:sz w:val="14"/>
                                </w:rPr>
                                <w:t>Priv.</w:t>
                              </w:r>
                              <w:r>
                                <w:rPr>
                                  <w:rFonts w:ascii="Calibri"/>
                                  <w:spacing w:val="-8"/>
                                  <w:sz w:val="14"/>
                                </w:rPr>
                                <w:t xml:space="preserve"> </w:t>
                              </w:r>
                              <w:r>
                                <w:rPr>
                                  <w:rFonts w:ascii="Calibri"/>
                                  <w:sz w:val="14"/>
                                </w:rPr>
                                <w:t>cons.</w:t>
                              </w:r>
                              <w:r>
                                <w:rPr>
                                  <w:rFonts w:ascii="Calibri"/>
                                  <w:spacing w:val="40"/>
                                  <w:sz w:val="14"/>
                                </w:rPr>
                                <w:t xml:space="preserve"> </w:t>
                              </w:r>
                              <w:r>
                                <w:rPr>
                                  <w:rFonts w:ascii="Calibri"/>
                                  <w:spacing w:val="-2"/>
                                  <w:sz w:val="14"/>
                                </w:rPr>
                                <w:t>Stocks</w:t>
                              </w:r>
                            </w:p>
                          </w:txbxContent>
                        </wps:txbx>
                        <wps:bodyPr wrap="square" lIns="0" tIns="0" rIns="0" bIns="0" rtlCol="0">
                          <a:noAutofit/>
                        </wps:bodyPr>
                      </wps:wsp>
                      <wps:wsp>
                        <wps:cNvPr id="121" name="Textbox 121"/>
                        <wps:cNvSpPr txBox="1"/>
                        <wps:spPr>
                          <a:xfrm>
                            <a:off x="808552" y="1268427"/>
                            <a:ext cx="196850" cy="91440"/>
                          </a:xfrm>
                          <a:prstGeom prst="rect">
                            <a:avLst/>
                          </a:prstGeom>
                        </wps:spPr>
                        <wps:txbx>
                          <w:txbxContent>
                            <w:p w14:paraId="0743AD23" w14:textId="77777777" w:rsidR="00117B81" w:rsidRDefault="00117B81" w:rsidP="00117B81">
                              <w:pPr>
                                <w:spacing w:line="143" w:lineRule="exact"/>
                                <w:rPr>
                                  <w:rFonts w:ascii="Calibri"/>
                                  <w:sz w:val="14"/>
                                </w:rPr>
                              </w:pPr>
                              <w:r>
                                <w:rPr>
                                  <w:rFonts w:ascii="Calibri"/>
                                  <w:spacing w:val="-4"/>
                                  <w:sz w:val="14"/>
                                </w:rPr>
                                <w:t>2018</w:t>
                              </w:r>
                            </w:p>
                          </w:txbxContent>
                        </wps:txbx>
                        <wps:bodyPr wrap="square" lIns="0" tIns="0" rIns="0" bIns="0" rtlCol="0">
                          <a:noAutofit/>
                        </wps:bodyPr>
                      </wps:wsp>
                      <wps:wsp>
                        <wps:cNvPr id="122" name="Textbox 122"/>
                        <wps:cNvSpPr txBox="1"/>
                        <wps:spPr>
                          <a:xfrm>
                            <a:off x="1240364" y="1268427"/>
                            <a:ext cx="628650" cy="214629"/>
                          </a:xfrm>
                          <a:prstGeom prst="rect">
                            <a:avLst/>
                          </a:prstGeom>
                        </wps:spPr>
                        <wps:txbx>
                          <w:txbxContent>
                            <w:p w14:paraId="4A55C8F1" w14:textId="77777777" w:rsidR="00117B81" w:rsidRDefault="00117B81" w:rsidP="00117B81">
                              <w:pPr>
                                <w:tabs>
                                  <w:tab w:val="left" w:pos="679"/>
                                </w:tabs>
                                <w:spacing w:line="145" w:lineRule="exact"/>
                                <w:rPr>
                                  <w:rFonts w:ascii="Calibri"/>
                                  <w:sz w:val="14"/>
                                </w:rPr>
                              </w:pPr>
                              <w:r>
                                <w:rPr>
                                  <w:rFonts w:ascii="Calibri"/>
                                  <w:spacing w:val="-4"/>
                                  <w:sz w:val="14"/>
                                </w:rPr>
                                <w:t>2019</w:t>
                              </w:r>
                              <w:r>
                                <w:rPr>
                                  <w:rFonts w:ascii="Calibri"/>
                                  <w:sz w:val="14"/>
                                </w:rPr>
                                <w:tab/>
                              </w:r>
                              <w:r>
                                <w:rPr>
                                  <w:rFonts w:ascii="Calibri"/>
                                  <w:spacing w:val="-4"/>
                                  <w:sz w:val="14"/>
                                </w:rPr>
                                <w:t>2020</w:t>
                              </w:r>
                            </w:p>
                            <w:p w14:paraId="580AAC5A" w14:textId="77777777" w:rsidR="00117B81" w:rsidRDefault="00117B81" w:rsidP="00117B81">
                              <w:pPr>
                                <w:spacing w:before="23" w:line="169" w:lineRule="exact"/>
                                <w:ind w:left="1"/>
                                <w:rPr>
                                  <w:rFonts w:ascii="Calibri"/>
                                  <w:sz w:val="14"/>
                                </w:rPr>
                              </w:pPr>
                              <w:r>
                                <w:rPr>
                                  <w:rFonts w:ascii="Calibri"/>
                                  <w:sz w:val="14"/>
                                </w:rPr>
                                <w:t>Gov.</w:t>
                              </w:r>
                              <w:r>
                                <w:rPr>
                                  <w:rFonts w:ascii="Calibri"/>
                                  <w:spacing w:val="2"/>
                                  <w:sz w:val="14"/>
                                </w:rPr>
                                <w:t xml:space="preserve"> </w:t>
                              </w:r>
                              <w:r>
                                <w:rPr>
                                  <w:rFonts w:ascii="Calibri"/>
                                  <w:spacing w:val="-2"/>
                                  <w:sz w:val="14"/>
                                </w:rPr>
                                <w:t>cons.</w:t>
                              </w:r>
                            </w:p>
                          </w:txbxContent>
                        </wps:txbx>
                        <wps:bodyPr wrap="square" lIns="0" tIns="0" rIns="0" bIns="0" rtlCol="0">
                          <a:noAutofit/>
                        </wps:bodyPr>
                      </wps:wsp>
                      <wps:wsp>
                        <wps:cNvPr id="123" name="Textbox 123"/>
                        <wps:cNvSpPr txBox="1"/>
                        <wps:spPr>
                          <a:xfrm>
                            <a:off x="2103987" y="1268427"/>
                            <a:ext cx="254635" cy="214629"/>
                          </a:xfrm>
                          <a:prstGeom prst="rect">
                            <a:avLst/>
                          </a:prstGeom>
                        </wps:spPr>
                        <wps:txbx>
                          <w:txbxContent>
                            <w:p w14:paraId="2C82DAA1" w14:textId="77777777" w:rsidR="00117B81" w:rsidRDefault="00117B81" w:rsidP="00117B81">
                              <w:pPr>
                                <w:spacing w:line="145" w:lineRule="exact"/>
                                <w:rPr>
                                  <w:rFonts w:ascii="Calibri"/>
                                  <w:sz w:val="14"/>
                                </w:rPr>
                              </w:pPr>
                              <w:r>
                                <w:rPr>
                                  <w:rFonts w:ascii="Calibri"/>
                                  <w:spacing w:val="-4"/>
                                  <w:sz w:val="14"/>
                                </w:rPr>
                                <w:t>2021</w:t>
                              </w:r>
                            </w:p>
                            <w:p w14:paraId="330A157A" w14:textId="77777777" w:rsidR="00117B81" w:rsidRDefault="00117B81" w:rsidP="00117B81">
                              <w:pPr>
                                <w:spacing w:before="23" w:line="169" w:lineRule="exact"/>
                                <w:ind w:left="81"/>
                                <w:rPr>
                                  <w:rFonts w:ascii="Calibri"/>
                                  <w:sz w:val="14"/>
                                </w:rPr>
                              </w:pPr>
                              <w:r>
                                <w:rPr>
                                  <w:rFonts w:ascii="Calibri"/>
                                  <w:spacing w:val="-4"/>
                                  <w:sz w:val="14"/>
                                </w:rPr>
                                <w:t>GFCF</w:t>
                              </w:r>
                            </w:p>
                          </w:txbxContent>
                        </wps:txbx>
                        <wps:bodyPr wrap="square" lIns="0" tIns="0" rIns="0" bIns="0" rtlCol="0">
                          <a:noAutofit/>
                        </wps:bodyPr>
                      </wps:wsp>
                      <wps:wsp>
                        <wps:cNvPr id="124" name="Textbox 124"/>
                        <wps:cNvSpPr txBox="1"/>
                        <wps:spPr>
                          <a:xfrm>
                            <a:off x="2535798" y="1268427"/>
                            <a:ext cx="196850" cy="91440"/>
                          </a:xfrm>
                          <a:prstGeom prst="rect">
                            <a:avLst/>
                          </a:prstGeom>
                        </wps:spPr>
                        <wps:txbx>
                          <w:txbxContent>
                            <w:p w14:paraId="24E6ABA2" w14:textId="77777777" w:rsidR="00117B81" w:rsidRDefault="00117B81" w:rsidP="00117B81">
                              <w:pPr>
                                <w:spacing w:line="143" w:lineRule="exact"/>
                                <w:rPr>
                                  <w:rFonts w:ascii="Calibri"/>
                                  <w:sz w:val="14"/>
                                </w:rPr>
                              </w:pPr>
                              <w:r>
                                <w:rPr>
                                  <w:rFonts w:ascii="Calibri"/>
                                  <w:spacing w:val="-4"/>
                                  <w:sz w:val="14"/>
                                </w:rPr>
                                <w:t>2022</w:t>
                              </w:r>
                            </w:p>
                          </w:txbxContent>
                        </wps:txbx>
                        <wps:bodyPr wrap="square" lIns="0" tIns="0" rIns="0" bIns="0" rtlCol="0">
                          <a:noAutofit/>
                        </wps:bodyPr>
                      </wps:wsp>
                      <wps:wsp>
                        <wps:cNvPr id="125" name="Textbox 125"/>
                        <wps:cNvSpPr txBox="1"/>
                        <wps:spPr>
                          <a:xfrm>
                            <a:off x="1241317" y="1494808"/>
                            <a:ext cx="1621155" cy="210185"/>
                          </a:xfrm>
                          <a:prstGeom prst="rect">
                            <a:avLst/>
                          </a:prstGeom>
                        </wps:spPr>
                        <wps:txbx>
                          <w:txbxContent>
                            <w:p w14:paraId="4053362D" w14:textId="77777777" w:rsidR="00117B81" w:rsidRDefault="00117B81" w:rsidP="00117B81">
                              <w:pPr>
                                <w:tabs>
                                  <w:tab w:val="left" w:pos="1439"/>
                                </w:tabs>
                                <w:spacing w:line="145" w:lineRule="exact"/>
                                <w:rPr>
                                  <w:rFonts w:ascii="Calibri"/>
                                  <w:sz w:val="14"/>
                                </w:rPr>
                              </w:pPr>
                              <w:r>
                                <w:rPr>
                                  <w:rFonts w:ascii="Calibri"/>
                                  <w:sz w:val="14"/>
                                </w:rPr>
                                <w:t>Net</w:t>
                              </w:r>
                              <w:r>
                                <w:rPr>
                                  <w:rFonts w:ascii="Calibri"/>
                                  <w:spacing w:val="2"/>
                                  <w:sz w:val="14"/>
                                </w:rPr>
                                <w:t xml:space="preserve"> </w:t>
                              </w:r>
                              <w:r>
                                <w:rPr>
                                  <w:rFonts w:ascii="Calibri"/>
                                  <w:spacing w:val="-2"/>
                                  <w:sz w:val="14"/>
                                </w:rPr>
                                <w:t>exports</w:t>
                              </w:r>
                              <w:r>
                                <w:rPr>
                                  <w:rFonts w:ascii="Calibri"/>
                                  <w:sz w:val="14"/>
                                </w:rPr>
                                <w:tab/>
                                <w:t>Real</w:t>
                              </w:r>
                              <w:r>
                                <w:rPr>
                                  <w:rFonts w:ascii="Calibri"/>
                                  <w:spacing w:val="2"/>
                                  <w:sz w:val="14"/>
                                </w:rPr>
                                <w:t xml:space="preserve"> </w:t>
                              </w:r>
                              <w:r>
                                <w:rPr>
                                  <w:rFonts w:ascii="Calibri"/>
                                  <w:sz w:val="14"/>
                                </w:rPr>
                                <w:t>GDP</w:t>
                              </w:r>
                              <w:r>
                                <w:rPr>
                                  <w:rFonts w:ascii="Calibri"/>
                                  <w:spacing w:val="2"/>
                                  <w:sz w:val="14"/>
                                </w:rPr>
                                <w:t xml:space="preserve"> </w:t>
                              </w:r>
                              <w:r>
                                <w:rPr>
                                  <w:rFonts w:ascii="Calibri"/>
                                  <w:spacing w:val="-2"/>
                                  <w:sz w:val="14"/>
                                </w:rPr>
                                <w:t>growth</w:t>
                              </w:r>
                            </w:p>
                            <w:p w14:paraId="53522B65" w14:textId="77777777" w:rsidR="00117B81" w:rsidRDefault="00117B81" w:rsidP="00117B81">
                              <w:pPr>
                                <w:spacing w:before="16" w:line="169" w:lineRule="exact"/>
                                <w:ind w:left="229"/>
                                <w:rPr>
                                  <w:rFonts w:ascii="Calibri"/>
                                  <w:i/>
                                  <w:sz w:val="14"/>
                                </w:rPr>
                              </w:pPr>
                              <w:r>
                                <w:rPr>
                                  <w:rFonts w:ascii="Calibri"/>
                                  <w:i/>
                                  <w:sz w:val="14"/>
                                </w:rPr>
                                <w:t>Source:</w:t>
                              </w:r>
                              <w:r>
                                <w:rPr>
                                  <w:rFonts w:ascii="Calibri"/>
                                  <w:i/>
                                  <w:spacing w:val="2"/>
                                  <w:sz w:val="14"/>
                                </w:rPr>
                                <w:t xml:space="preserve"> </w:t>
                              </w:r>
                              <w:proofErr w:type="spellStart"/>
                              <w:r>
                                <w:rPr>
                                  <w:rFonts w:ascii="Calibri"/>
                                  <w:i/>
                                  <w:sz w:val="14"/>
                                </w:rPr>
                                <w:t>WiiW</w:t>
                              </w:r>
                              <w:proofErr w:type="spellEnd"/>
                              <w:r>
                                <w:rPr>
                                  <w:rFonts w:ascii="Calibri"/>
                                  <w:i/>
                                  <w:sz w:val="14"/>
                                </w:rPr>
                                <w:t>,</w:t>
                              </w:r>
                              <w:r>
                                <w:rPr>
                                  <w:rFonts w:ascii="Calibri"/>
                                  <w:i/>
                                  <w:spacing w:val="4"/>
                                  <w:sz w:val="14"/>
                                </w:rPr>
                                <w:t xml:space="preserve"> </w:t>
                              </w:r>
                              <w:r>
                                <w:rPr>
                                  <w:rFonts w:ascii="Calibri"/>
                                  <w:i/>
                                  <w:sz w:val="14"/>
                                </w:rPr>
                                <w:t>INSTAT,</w:t>
                              </w:r>
                              <w:r>
                                <w:rPr>
                                  <w:rFonts w:ascii="Calibri"/>
                                  <w:i/>
                                  <w:spacing w:val="4"/>
                                  <w:sz w:val="14"/>
                                </w:rPr>
                                <w:t xml:space="preserve"> </w:t>
                              </w:r>
                              <w:r>
                                <w:rPr>
                                  <w:rFonts w:ascii="Calibri"/>
                                  <w:i/>
                                  <w:sz w:val="14"/>
                                </w:rPr>
                                <w:t>own</w:t>
                              </w:r>
                              <w:r>
                                <w:rPr>
                                  <w:rFonts w:ascii="Calibri"/>
                                  <w:i/>
                                  <w:spacing w:val="5"/>
                                  <w:sz w:val="14"/>
                                </w:rPr>
                                <w:t xml:space="preserve"> </w:t>
                              </w:r>
                              <w:r>
                                <w:rPr>
                                  <w:rFonts w:ascii="Calibri"/>
                                  <w:i/>
                                  <w:spacing w:val="-2"/>
                                  <w:sz w:val="14"/>
                                </w:rPr>
                                <w:t>calculations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996F84E" id="Group 88" o:spid="_x0000_s1046" style="position:absolute;left:0;text-align:left;margin-left:295.05pt;margin-top:6.2pt;width:178.4pt;height:116.05pt;z-index:-251633664;mso-position-horizontal-relative:margin;mso-width-relative:margin;mso-height-relative:margin" coordsize="29832,17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">
                <v:shape id="Graphic 89" o:spid="_x0000_s1047" style="position:absolute;left:3821;top:5017;width:23323;height:4851;visibility:visible;mso-wrap-style:square;v-text-anchor:top" coordsize="2332355,48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" path="m173647,201828l,201828,,328472r173647,l173647,201828xem605282,182041r-172657,l432625,328472r172657,l605282,182041xem1036904,172148r-172657,l864247,328472r172657,l1036904,172148xem1468526,328472r-172644,l1295882,484784r172644,l1468526,328472xem1900161,101904r-172657,l1727504,328472r172657,l1900161,101904xem2331783,l2159127,r,328472l2331783,328472,2331783,xe" fillcolor="#ffd623" stroked="f">
                  <v:path arrowok="t"/>
                </v:shape>
                <v:shape id="Graphic 90" o:spid="_x0000_s1048" style="position:absolute;left:3821;top:5017;width:23323;height:4851;visibility:visible;mso-wrap-style:square;v-text-anchor:top" coordsize="2332355,48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" path="m,201830r173642,l173642,328469,,328469,,201830xem432619,182043r172650,l605269,328469r-172650,l432619,182043xem864245,172149r172651,l1036896,328469r-172651,l864245,172149xem1295872,484789r172651,l1468523,328469r-172651,l1295872,484789xem1727499,101904r172651,l1900150,328469r-172651,l1727499,101904xem2159126,r172650,l2331776,328469r-172650,l2159126,xe" filled="f" strokecolor="#ffc000" strokeweight=".172mm">
                  <v:path arrowok="t"/>
                </v:shape>
                <v:shape id="Graphic 91" o:spid="_x0000_s1049" style="position:absolute;left:3821;top:5482;width:23323;height:3181;visibility:visible;mso-wrap-style:square;v-text-anchor:top" coordsize="2332355,31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" path="m173634,134556l,134556r,20777l173634,155333r,-20777xem605269,130606r-172657,l432612,135547r172657,l605269,130606xem1036904,105867r-172657,l864247,125653r172657,l1036904,105867xem1468539,272084r-172657,l1295882,281978r172657,l1468539,272084xem1900161,l1727517,r,55410l1900161,55410r,-55410xem2331796,281978r-172657,l2159139,317588r172657,l2331796,281978xe" fillcolor="#353a73" stroked="f">
                  <v:path arrowok="t"/>
                </v:shape>
                <v:shape id="Graphic 92" o:spid="_x0000_s1050" style="position:absolute;left:3821;top:5482;width:23323;height:3181;visibility:visible;mso-wrap-style:square;v-text-anchor:top" coordsize="2332355,31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" path="m,134554r173644,l173644,155330,,155330,,134554xem432623,130596r172653,l605276,135543r-172653,l432623,130596xem864255,105862r172652,l1036907,125649r-172652,l864255,105862xem1295886,272076r172652,l1468538,281970r-172652,l1295886,272076xem1727517,r172653,l1900170,55404r-172653,l1727517,xem2159149,317587r172652,l2331801,281970r-172652,l2159149,317587xe" filled="f" strokecolor="#353a73" strokeweight=".172mm">
                  <v:path arrowok="t"/>
                </v:shape>
                <v:shape id="Graphic 93" o:spid="_x0000_s1051" style="position:absolute;left:3821;top:2850;width:23323;height:7207;visibility:visible;mso-wrap-style:square;v-text-anchor:top" coordsize="2332355,720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" path="m173634,308686l,308686r,89039l173634,397725r,-89039xem605269,358152r-172657,l432612,393763r172657,l605269,358152xem1036891,545147r-172644,l864247,596595r172644,l1036891,545147xem1468526,701459r-172657,l1295869,720255r172657,l1468526,701459xem1900148,l1727504,r,263169l1900148,263169,1900148,xem2331783,120700r-172656,l2159127,216674r172656,l2331783,120700xe" fillcolor="#2e9afa" stroked="f">
                  <v:path arrowok="t"/>
                </v:shape>
                <v:shape id="Graphic 94" o:spid="_x0000_s1052" style="position:absolute;left:3821;top:2850;width:23323;height:7207;visibility:visible;mso-wrap-style:square;v-text-anchor:top" coordsize="2332355,720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" path="m,308681r173643,l173643,397724,,397724,,308681xem432621,358149r172652,l605273,393766r-172652,l432621,358149xem864250,596586r172652,l1036902,545139r-172652,l864250,596586xem1295879,720256r172652,l1468531,701458r-172652,l1295879,720256xem1727508,r172652,l1900160,263170r-172652,l1727508,xem2159137,120702r172652,l2331789,216670r-172652,l2159137,120702xe" filled="f" strokecolor="#006fc0" strokeweight=".172mm">
                  <v:path arrowok="t"/>
                </v:shape>
                <v:shape id="Graphic 95" o:spid="_x0000_s1053" style="position:absolute;left:3821;top:2731;width:23323;height:7563;visibility:visible;mso-wrap-style:square;v-text-anchor:top" coordsize="2332355,75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" path="m173634,557022l,557022r,22745l173634,579767r,-22745xem605269,557022r-172657,l432612,582739r172657,l605269,557022xem1036891,339356r-172644,l864247,380911r172644,l1036891,339356xem1468526,732129r-172657,l1295869,755878r172657,l1468526,732129xem1900148,l1727504,r,11874l1900148,11874r,-11874xem2331783,10883r-172656,l2159127,132575r172656,l2331783,10883xe" fillcolor="#f0edeb" stroked="f">
                  <v:path arrowok="t"/>
                </v:shape>
                <v:shape id="Graphic 96" o:spid="_x0000_s1054" style="position:absolute;left:3821;top:2731;width:23323;height:7563;visibility:visible;mso-wrap-style:square;v-text-anchor:top" coordsize="2332355,75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" path="m,579766r173643,l173643,557011,,557011r,22755xem432621,582735r172652,l605273,557011r-172652,l432621,582735xem864250,339351r172652,l1036902,380904r-172652,l864250,339351xem1295879,755873r172652,l1468531,732128r-172652,l1295879,755873xem1727508,r172652,l1900160,11872r-172652,l1727508,xem2159137,10883r172652,l2331789,132574r-172652,l2159137,10883xe" filled="f" strokecolor="#b8aaa1" strokeweight=".172mm">
                  <v:path arrowok="t"/>
                </v:shape>
                <v:shape id="Graphic 97" o:spid="_x0000_s1055" style="position:absolute;left:3821;top:2672;width:23323;height:8115;visibility:visible;mso-wrap-style:square;v-text-anchor:top" coordsize="2332355,81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" path="m173634,325501l,325501r,990l173634,326491r,-990xem605269,367055r-172657,l432612,375958r172657,l605269,367055xem1036904,614387r-172657,l864247,627253r172657,l1036904,614387xem1468539,542163r-172657,l1295882,553046r172657,l1468539,542163xem1900161,l1727517,r,5930l1900161,5930r,-5930xem2331796,598563r-172657,l2159139,811276r172657,l2331796,598563xe" fillcolor="#92d050" stroked="f">
                  <v:path arrowok="t"/>
                </v:shape>
                <v:shape id="Graphic 98" o:spid="_x0000_s1056" style="position:absolute;left:3821;top:2672;width:23323;height:8115;visibility:visible;mso-wrap-style:square;v-text-anchor:top" coordsize="2332355,81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" path="m,325499r173644,l173644,326489,,326489r,-990xem432623,367052r172653,l605276,375957r-172653,l432623,367052xem864254,627254r172653,l1036907,614393r-172653,l864254,627254xem1295886,542169r172652,l1468538,553052r-172652,l1295886,542169xem1727517,r172653,l1900170,5936r-172653,l1727517,xem2159149,811275r172652,l2331801,598563r-172652,l2159149,811275xe" filled="f" strokecolor="#00af50" strokeweight=".172mm">
                  <v:path arrowok="t"/>
                </v:shape>
                <v:shape id="Graphic 99" o:spid="_x0000_s1057" style="position:absolute;left:2531;top:2266;width:13;height:9671;visibility:visible;mso-wrap-style:square;v-text-anchor:top" coordsize="1270,967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" path="m,966611l,e" filled="f" strokecolor="#858585" strokeweight=".17225mm">
                  <v:path arrowok="t"/>
                </v:shape>
                <v:shape id="Graphic 100" o:spid="_x0000_s1058" style="position:absolute;left:2243;top:2266;width:292;height:9671;visibility:visible;mso-wrap-style:square;v-text-anchor:top" coordsize="29209,967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" path="m,966611r28775,em,845908r28775,em,725205r28775,em,603513r28775,em,482811r28775,em,362108r28775,em,241405r28775,em,120702r28775,em,l28775,e" filled="f" strokecolor="#858585" strokeweight=".172mm">
                  <v:path arrowok="t"/>
                </v:shape>
                <v:shape id="Graphic 101" o:spid="_x0000_s1059" style="position:absolute;left:2531;top:8302;width:25908;height:12;visibility:visible;mso-wrap-style:square;v-text-anchor:top" coordsize="259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" path="m,l2590766,e" filled="f" strokecolor="#858585" strokeweight=".17175mm">
                  <v:path arrowok="t"/>
                </v:shape>
                <v:shape id="Graphic 102" o:spid="_x0000_s1060" style="position:absolute;left:2531;top:8015;width:25908;height:584;visibility:visible;mso-wrap-style:square;v-text-anchor:top" coordsize="259080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" path="m,l,58372em431629,r,58372em863258,r,58372em1294887,r,58372em1727508,r,58372em2159137,r,58372em2590766,r,58372e" filled="f" strokecolor="#858585" strokeweight=".172mm">
                  <v:path arrowok="t"/>
                </v:shape>
                <v:shape id="Graphic 103" o:spid="_x0000_s1061" style="position:absolute;left:4689;top:2924;width:21596;height:7385;visibility:visible;mso-wrap-style:square;v-text-anchor:top" coordsize="2159635,73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" path="m,308679l431628,295817,863257,412561r432621,325498l1727507,r431629,246349e" filled="f" strokecolor="#252525" strokeweight=".51544mm">
                  <v:path arrowok="t"/>
                </v:shape>
                <v:shape id="Graphic 104" o:spid="_x0000_s1062" style="position:absolute;left:1519;top:14089;width:1587;height:508;visibility:visible;mso-wrap-style:square;v-text-anchor:top" coordsize="15875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" path="m158748,50452l,50452,,,158748,r,50452xe" fillcolor="#ffd623" stroked="f">
                  <v:path arrowok="t"/>
                </v:shape>
                <v:shape id="Graphic 105" o:spid="_x0000_s1063" style="position:absolute;left:1519;top:14089;width:1587;height:508;visibility:visible;mso-wrap-style:square;v-text-anchor:top" coordsize="15875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" path="m,l158748,r,50452l,50452,,xe" filled="f" strokecolor="#ffc000" strokeweight=".17178mm">
                  <v:path arrowok="t"/>
                </v:shape>
                <v:shape id="Graphic 106" o:spid="_x0000_s1064" style="position:absolute;left:10657;top:14089;width:1588;height:508;visibility:visible;mso-wrap-style:square;v-text-anchor:top" coordsize="15875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" path="m158748,50452l,50452,,,158748,r,50452xe" fillcolor="#353a73" stroked="f">
                  <v:path arrowok="t"/>
                </v:shape>
                <v:shape id="Graphic 107" o:spid="_x0000_s1065" style="position:absolute;left:10657;top:14089;width:1588;height:508;visibility:visible;mso-wrap-style:square;v-text-anchor:top" coordsize="15875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" path="m,l158748,r,50452l,50452,,xe" filled="f" strokecolor="#353a73" strokeweight=".17178mm">
                  <v:path arrowok="t"/>
                </v:shape>
                <v:shape id="Graphic 108" o:spid="_x0000_s1066" style="position:absolute;left:19796;top:14089;width:1588;height:508;visibility:visible;mso-wrap-style:square;v-text-anchor:top" coordsize="15875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" path="m158748,50452l,50452,,,158748,r,50452xe" fillcolor="#2e9afa" stroked="f">
                  <v:path arrowok="t"/>
                </v:shape>
                <v:shape id="Graphic 109" o:spid="_x0000_s1067" style="position:absolute;left:19796;top:14089;width:1588;height:508;visibility:visible;mso-wrap-style:square;v-text-anchor:top" coordsize="15875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" path="m,l158748,r,50452l,50452,,xe" filled="f" strokecolor="#006fc0" strokeweight=".17178mm">
                  <v:path arrowok="t"/>
                </v:shape>
                <v:shape id="Graphic 110" o:spid="_x0000_s1068" style="position:absolute;left:1519;top:15128;width:1587;height:495;visibility:visible;mso-wrap-style:square;v-text-anchor:top" coordsize="158750,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" path="m158748,49463l,49463,,,158748,r,49463xe" fillcolor="#f0edeb" stroked="f">
                  <v:path arrowok="t"/>
                </v:shape>
                <v:shape id="Graphic 111" o:spid="_x0000_s1069" style="position:absolute;left:1519;top:15128;width:1587;height:495;visibility:visible;mso-wrap-style:square;v-text-anchor:top" coordsize="158750,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" path="m,l158748,r,49463l,49463,,xe" filled="f" strokecolor="#b8aaa1" strokeweight=".17178mm">
                  <v:path arrowok="t"/>
                </v:shape>
                <v:shape id="Graphic 112" o:spid="_x0000_s1070" style="position:absolute;left:10657;top:15128;width:1588;height:495;visibility:visible;mso-wrap-style:square;v-text-anchor:top" coordsize="158750,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" path="m158748,49463l,49463,,,158748,r,49463xe" fillcolor="#92d050" stroked="f">
                  <v:path arrowok="t"/>
                </v:shape>
                <v:shape id="Graphic 113" o:spid="_x0000_s1071" style="position:absolute;left:10657;top:15128;width:1588;height:495;visibility:visible;mso-wrap-style:square;v-text-anchor:top" coordsize="158750,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" path="m,l158748,r,49463l,49463,,xe" filled="f" strokecolor="#00af50" strokeweight=".17178mm">
                  <v:path arrowok="t"/>
                </v:shape>
                <v:shape id="Graphic 114" o:spid="_x0000_s1072" style="position:absolute;left:19801;top:15370;width:1588;height:13;visibility:visible;mso-wrap-style:square;v-text-anchor:top" coordsize="158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" path="m,l158748,e" filled="f" strokecolor="#252525" strokeweight=".51522mm">
                  <v:path arrowok="t"/>
                </v:shape>
                <v:shape id="Graphic 115" o:spid="_x0000_s1073" style="position:absolute;left:30;top:30;width:29769;height:17425;visibility:visible;mso-wrap-style:square;v-text-anchor:top" coordsize="2976880,1742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" path="m,l2976768,r,1742271l,1742271,,xe" filled="f" strokecolor="#858585" strokeweight=".17189mm">
                  <v:path arrowok="t"/>
                </v:shape>
                <v:shape id="Textbox 116" o:spid="_x0000_s1074" type="#_x0000_t202" style="position:absolute;left:5035;top:531;width:19818;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40AFA0F5" w14:textId="77777777" w:rsidR="00117B81" w:rsidRDefault="00117B81" w:rsidP="00117B81">
                        <w:pPr>
                          <w:spacing w:line="186" w:lineRule="exact"/>
                          <w:rPr>
                            <w:b/>
                            <w:sz w:val="17"/>
                          </w:rPr>
                        </w:pPr>
                        <w:r>
                          <w:rPr>
                            <w:i/>
                            <w:sz w:val="17"/>
                          </w:rPr>
                          <w:t>Graph</w:t>
                        </w:r>
                        <w:r>
                          <w:rPr>
                            <w:i/>
                            <w:spacing w:val="-7"/>
                            <w:sz w:val="17"/>
                          </w:rPr>
                          <w:t xml:space="preserve"> </w:t>
                        </w:r>
                        <w:r>
                          <w:rPr>
                            <w:i/>
                            <w:sz w:val="17"/>
                          </w:rPr>
                          <w:t>1.1:</w:t>
                        </w:r>
                        <w:r>
                          <w:rPr>
                            <w:i/>
                            <w:spacing w:val="-4"/>
                            <w:sz w:val="17"/>
                          </w:rPr>
                          <w:t xml:space="preserve"> </w:t>
                        </w:r>
                        <w:r>
                          <w:rPr>
                            <w:b/>
                            <w:sz w:val="17"/>
                          </w:rPr>
                          <w:t>Albania</w:t>
                        </w:r>
                        <w:r>
                          <w:rPr>
                            <w:b/>
                            <w:spacing w:val="-4"/>
                            <w:sz w:val="17"/>
                          </w:rPr>
                          <w:t xml:space="preserve"> </w:t>
                        </w:r>
                        <w:r>
                          <w:rPr>
                            <w:b/>
                            <w:sz w:val="17"/>
                          </w:rPr>
                          <w:t>-</w:t>
                        </w:r>
                        <w:r>
                          <w:rPr>
                            <w:b/>
                            <w:spacing w:val="-6"/>
                            <w:sz w:val="17"/>
                          </w:rPr>
                          <w:t xml:space="preserve"> </w:t>
                        </w:r>
                        <w:r>
                          <w:rPr>
                            <w:b/>
                            <w:sz w:val="17"/>
                          </w:rPr>
                          <w:t>Real</w:t>
                        </w:r>
                        <w:r>
                          <w:rPr>
                            <w:b/>
                            <w:spacing w:val="-4"/>
                            <w:sz w:val="17"/>
                          </w:rPr>
                          <w:t xml:space="preserve"> </w:t>
                        </w:r>
                        <w:r>
                          <w:rPr>
                            <w:b/>
                            <w:sz w:val="17"/>
                          </w:rPr>
                          <w:t>GDP</w:t>
                        </w:r>
                        <w:r>
                          <w:rPr>
                            <w:b/>
                            <w:spacing w:val="-10"/>
                            <w:sz w:val="17"/>
                          </w:rPr>
                          <w:t xml:space="preserve"> </w:t>
                        </w:r>
                        <w:r>
                          <w:rPr>
                            <w:b/>
                            <w:sz w:val="17"/>
                          </w:rPr>
                          <w:t>growth</w:t>
                        </w:r>
                        <w:r>
                          <w:rPr>
                            <w:b/>
                            <w:spacing w:val="-7"/>
                            <w:sz w:val="17"/>
                          </w:rPr>
                          <w:t xml:space="preserve"> </w:t>
                        </w:r>
                        <w:r>
                          <w:rPr>
                            <w:b/>
                            <w:spacing w:val="-5"/>
                            <w:sz w:val="17"/>
                          </w:rPr>
                          <w:t>and</w:t>
                        </w:r>
                      </w:p>
                    </w:txbxContent>
                  </v:textbox>
                </v:shape>
                <v:shape id="Textbox 117" o:spid="_x0000_s1075" type="#_x0000_t202" style="position:absolute;left:764;top:1841;width:1054;height:10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2CBE9AF7" w14:textId="77777777" w:rsidR="00117B81" w:rsidRDefault="00117B81" w:rsidP="00117B81">
                        <w:pPr>
                          <w:spacing w:line="145" w:lineRule="exact"/>
                          <w:rPr>
                            <w:rFonts w:ascii="Calibri"/>
                            <w:sz w:val="14"/>
                          </w:rPr>
                        </w:pPr>
                        <w:r>
                          <w:rPr>
                            <w:rFonts w:ascii="Calibri"/>
                            <w:spacing w:val="-5"/>
                            <w:sz w:val="14"/>
                          </w:rPr>
                          <w:t>10</w:t>
                        </w:r>
                      </w:p>
                      <w:p w14:paraId="274BC5E8" w14:textId="77777777" w:rsidR="00117B81" w:rsidRDefault="00117B81" w:rsidP="00117B81">
                        <w:pPr>
                          <w:spacing w:before="19"/>
                          <w:ind w:left="72"/>
                          <w:rPr>
                            <w:rFonts w:ascii="Calibri"/>
                            <w:sz w:val="14"/>
                          </w:rPr>
                        </w:pPr>
                        <w:r>
                          <w:rPr>
                            <w:rFonts w:ascii="Calibri"/>
                            <w:spacing w:val="-10"/>
                            <w:sz w:val="14"/>
                          </w:rPr>
                          <w:t>8</w:t>
                        </w:r>
                      </w:p>
                      <w:p w14:paraId="20F41665" w14:textId="77777777" w:rsidR="00117B81" w:rsidRDefault="00117B81" w:rsidP="00117B81">
                        <w:pPr>
                          <w:spacing w:before="19"/>
                          <w:ind w:left="72"/>
                          <w:rPr>
                            <w:rFonts w:ascii="Calibri"/>
                            <w:sz w:val="14"/>
                          </w:rPr>
                        </w:pPr>
                        <w:r>
                          <w:rPr>
                            <w:rFonts w:ascii="Calibri"/>
                            <w:spacing w:val="-10"/>
                            <w:sz w:val="14"/>
                          </w:rPr>
                          <w:t>6</w:t>
                        </w:r>
                      </w:p>
                      <w:p w14:paraId="4F0BF49C" w14:textId="77777777" w:rsidR="00117B81" w:rsidRDefault="00117B81" w:rsidP="00117B81">
                        <w:pPr>
                          <w:spacing w:before="20"/>
                          <w:ind w:left="72"/>
                          <w:rPr>
                            <w:rFonts w:ascii="Calibri"/>
                            <w:sz w:val="14"/>
                          </w:rPr>
                        </w:pPr>
                        <w:r>
                          <w:rPr>
                            <w:rFonts w:ascii="Calibri"/>
                            <w:spacing w:val="-10"/>
                            <w:sz w:val="14"/>
                          </w:rPr>
                          <w:t>4</w:t>
                        </w:r>
                      </w:p>
                      <w:p w14:paraId="18B3EF4C" w14:textId="77777777" w:rsidR="00117B81" w:rsidRDefault="00117B81" w:rsidP="00117B81">
                        <w:pPr>
                          <w:spacing w:before="19"/>
                          <w:ind w:left="72"/>
                          <w:rPr>
                            <w:rFonts w:ascii="Calibri"/>
                            <w:sz w:val="14"/>
                          </w:rPr>
                        </w:pPr>
                        <w:r>
                          <w:rPr>
                            <w:rFonts w:ascii="Calibri"/>
                            <w:spacing w:val="-10"/>
                            <w:sz w:val="14"/>
                          </w:rPr>
                          <w:t>2</w:t>
                        </w:r>
                      </w:p>
                      <w:p w14:paraId="49EFFC4B" w14:textId="77777777" w:rsidR="00117B81" w:rsidRDefault="00117B81" w:rsidP="00117B81">
                        <w:pPr>
                          <w:spacing w:before="19"/>
                          <w:ind w:left="72"/>
                          <w:rPr>
                            <w:rFonts w:ascii="Calibri"/>
                            <w:sz w:val="14"/>
                          </w:rPr>
                        </w:pPr>
                        <w:r>
                          <w:rPr>
                            <w:rFonts w:ascii="Calibri"/>
                            <w:spacing w:val="-10"/>
                            <w:sz w:val="14"/>
                          </w:rPr>
                          <w:t>0</w:t>
                        </w:r>
                      </w:p>
                      <w:p w14:paraId="16AEA03E" w14:textId="77777777" w:rsidR="00117B81" w:rsidRDefault="00117B81" w:rsidP="00117B81">
                        <w:pPr>
                          <w:spacing w:before="20"/>
                          <w:ind w:left="28"/>
                          <w:rPr>
                            <w:rFonts w:ascii="Calibri"/>
                            <w:sz w:val="14"/>
                          </w:rPr>
                        </w:pPr>
                        <w:r>
                          <w:rPr>
                            <w:rFonts w:ascii="Calibri"/>
                            <w:spacing w:val="-2"/>
                            <w:sz w:val="14"/>
                          </w:rPr>
                          <w:t>-</w:t>
                        </w:r>
                        <w:r>
                          <w:rPr>
                            <w:rFonts w:ascii="Calibri"/>
                            <w:spacing w:val="-10"/>
                            <w:sz w:val="14"/>
                          </w:rPr>
                          <w:t>2</w:t>
                        </w:r>
                      </w:p>
                      <w:p w14:paraId="44461994" w14:textId="77777777" w:rsidR="00117B81" w:rsidRDefault="00117B81" w:rsidP="00117B81">
                        <w:pPr>
                          <w:spacing w:before="19"/>
                          <w:ind w:left="28"/>
                          <w:rPr>
                            <w:rFonts w:ascii="Calibri"/>
                            <w:sz w:val="14"/>
                          </w:rPr>
                        </w:pPr>
                        <w:r>
                          <w:rPr>
                            <w:rFonts w:ascii="Calibri"/>
                            <w:spacing w:val="-2"/>
                            <w:sz w:val="14"/>
                          </w:rPr>
                          <w:t>-</w:t>
                        </w:r>
                        <w:r>
                          <w:rPr>
                            <w:rFonts w:ascii="Calibri"/>
                            <w:spacing w:val="-10"/>
                            <w:sz w:val="14"/>
                          </w:rPr>
                          <w:t>4</w:t>
                        </w:r>
                      </w:p>
                      <w:p w14:paraId="50501F4D" w14:textId="77777777" w:rsidR="00117B81" w:rsidRDefault="00117B81" w:rsidP="00117B81">
                        <w:pPr>
                          <w:spacing w:before="19" w:line="169" w:lineRule="exact"/>
                          <w:ind w:left="28"/>
                          <w:rPr>
                            <w:rFonts w:ascii="Calibri"/>
                            <w:sz w:val="14"/>
                          </w:rPr>
                        </w:pPr>
                        <w:r>
                          <w:rPr>
                            <w:rFonts w:ascii="Calibri"/>
                            <w:spacing w:val="-2"/>
                            <w:sz w:val="14"/>
                          </w:rPr>
                          <w:t>-</w:t>
                        </w:r>
                        <w:r>
                          <w:rPr>
                            <w:rFonts w:ascii="Calibri"/>
                            <w:spacing w:val="-10"/>
                            <w:sz w:val="14"/>
                          </w:rPr>
                          <w:t>6</w:t>
                        </w:r>
                      </w:p>
                    </w:txbxContent>
                  </v:textbox>
                </v:shape>
                <v:shape id="Textbox 118" o:spid="_x0000_s1076" type="#_x0000_t202" style="position:absolute;left:3090;top:2468;width:2857;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2CCDB354" w14:textId="77777777" w:rsidR="00117B81" w:rsidRDefault="00117B81" w:rsidP="00117B81">
                        <w:pPr>
                          <w:spacing w:line="143" w:lineRule="exact"/>
                          <w:rPr>
                            <w:rFonts w:ascii="Calibri"/>
                            <w:sz w:val="14"/>
                          </w:rPr>
                        </w:pPr>
                        <w:r>
                          <w:rPr>
                            <w:rFonts w:ascii="Calibri"/>
                            <w:sz w:val="14"/>
                          </w:rPr>
                          <w:t>%</w:t>
                        </w:r>
                        <w:r>
                          <w:rPr>
                            <w:rFonts w:ascii="Calibri"/>
                            <w:spacing w:val="3"/>
                            <w:sz w:val="14"/>
                          </w:rPr>
                          <w:t xml:space="preserve"> </w:t>
                        </w:r>
                        <w:r>
                          <w:rPr>
                            <w:rFonts w:ascii="Calibri"/>
                            <w:sz w:val="14"/>
                          </w:rPr>
                          <w:t>y-o-</w:t>
                        </w:r>
                        <w:r>
                          <w:rPr>
                            <w:rFonts w:ascii="Calibri"/>
                            <w:spacing w:val="-10"/>
                            <w:sz w:val="14"/>
                          </w:rPr>
                          <w:t>y</w:t>
                        </w:r>
                      </w:p>
                    </w:txbxContent>
                  </v:textbox>
                </v:shape>
                <v:shape id="Textbox 119" o:spid="_x0000_s1077" type="#_x0000_t202" style="position:absolute;left:11812;top:1768;width:6261;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6A6555A2" w14:textId="77777777" w:rsidR="00117B81" w:rsidRDefault="00117B81" w:rsidP="00117B81">
                        <w:pPr>
                          <w:spacing w:line="186" w:lineRule="exact"/>
                          <w:rPr>
                            <w:b/>
                            <w:sz w:val="17"/>
                          </w:rPr>
                        </w:pPr>
                        <w:r>
                          <w:rPr>
                            <w:b/>
                            <w:spacing w:val="-2"/>
                            <w:sz w:val="17"/>
                          </w:rPr>
                          <w:t>contributions</w:t>
                        </w:r>
                      </w:p>
                    </w:txbxContent>
                  </v:textbox>
                </v:shape>
                <v:shape id="Textbox 120" o:spid="_x0000_s1078" type="#_x0000_t202" style="position:absolute;left:3269;top:12684;width:3906;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4C9329ED" w14:textId="77777777" w:rsidR="00117B81" w:rsidRDefault="00117B81" w:rsidP="00117B81">
                        <w:pPr>
                          <w:spacing w:line="145" w:lineRule="exact"/>
                          <w:ind w:left="78"/>
                          <w:rPr>
                            <w:rFonts w:ascii="Calibri"/>
                            <w:sz w:val="14"/>
                          </w:rPr>
                        </w:pPr>
                        <w:r>
                          <w:rPr>
                            <w:rFonts w:ascii="Calibri"/>
                            <w:spacing w:val="-4"/>
                            <w:sz w:val="14"/>
                          </w:rPr>
                          <w:t>2017</w:t>
                        </w:r>
                      </w:p>
                      <w:p w14:paraId="44BC4F86" w14:textId="77777777" w:rsidR="00117B81" w:rsidRDefault="00117B81" w:rsidP="00117B81">
                        <w:pPr>
                          <w:spacing w:before="30" w:line="228" w:lineRule="auto"/>
                          <w:rPr>
                            <w:rFonts w:ascii="Calibri"/>
                            <w:sz w:val="14"/>
                          </w:rPr>
                        </w:pPr>
                        <w:r>
                          <w:rPr>
                            <w:rFonts w:ascii="Calibri"/>
                            <w:sz w:val="14"/>
                          </w:rPr>
                          <w:t>Priv.</w:t>
                        </w:r>
                        <w:r>
                          <w:rPr>
                            <w:rFonts w:ascii="Calibri"/>
                            <w:spacing w:val="-8"/>
                            <w:sz w:val="14"/>
                          </w:rPr>
                          <w:t xml:space="preserve"> </w:t>
                        </w:r>
                        <w:r>
                          <w:rPr>
                            <w:rFonts w:ascii="Calibri"/>
                            <w:sz w:val="14"/>
                          </w:rPr>
                          <w:t>cons.</w:t>
                        </w:r>
                        <w:r>
                          <w:rPr>
                            <w:rFonts w:ascii="Calibri"/>
                            <w:spacing w:val="40"/>
                            <w:sz w:val="14"/>
                          </w:rPr>
                          <w:t xml:space="preserve"> </w:t>
                        </w:r>
                        <w:r>
                          <w:rPr>
                            <w:rFonts w:ascii="Calibri"/>
                            <w:spacing w:val="-2"/>
                            <w:sz w:val="14"/>
                          </w:rPr>
                          <w:t>Stocks</w:t>
                        </w:r>
                      </w:p>
                    </w:txbxContent>
                  </v:textbox>
                </v:shape>
                <v:shape id="Textbox 121" o:spid="_x0000_s1079" type="#_x0000_t202" style="position:absolute;left:8085;top:12684;width:1969;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0743AD23" w14:textId="77777777" w:rsidR="00117B81" w:rsidRDefault="00117B81" w:rsidP="00117B81">
                        <w:pPr>
                          <w:spacing w:line="143" w:lineRule="exact"/>
                          <w:rPr>
                            <w:rFonts w:ascii="Calibri"/>
                            <w:sz w:val="14"/>
                          </w:rPr>
                        </w:pPr>
                        <w:r>
                          <w:rPr>
                            <w:rFonts w:ascii="Calibri"/>
                            <w:spacing w:val="-4"/>
                            <w:sz w:val="14"/>
                          </w:rPr>
                          <w:t>2018</w:t>
                        </w:r>
                      </w:p>
                    </w:txbxContent>
                  </v:textbox>
                </v:shape>
                <v:shape id="Textbox 122" o:spid="_x0000_s1080" type="#_x0000_t202" style="position:absolute;left:12403;top:12684;width:6287;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14:paraId="4A55C8F1" w14:textId="77777777" w:rsidR="00117B81" w:rsidRDefault="00117B81" w:rsidP="00117B81">
                        <w:pPr>
                          <w:tabs>
                            <w:tab w:val="left" w:pos="679"/>
                          </w:tabs>
                          <w:spacing w:line="145" w:lineRule="exact"/>
                          <w:rPr>
                            <w:rFonts w:ascii="Calibri"/>
                            <w:sz w:val="14"/>
                          </w:rPr>
                        </w:pPr>
                        <w:r>
                          <w:rPr>
                            <w:rFonts w:ascii="Calibri"/>
                            <w:spacing w:val="-4"/>
                            <w:sz w:val="14"/>
                          </w:rPr>
                          <w:t>2019</w:t>
                        </w:r>
                        <w:r>
                          <w:rPr>
                            <w:rFonts w:ascii="Calibri"/>
                            <w:sz w:val="14"/>
                          </w:rPr>
                          <w:tab/>
                        </w:r>
                        <w:r>
                          <w:rPr>
                            <w:rFonts w:ascii="Calibri"/>
                            <w:spacing w:val="-4"/>
                            <w:sz w:val="14"/>
                          </w:rPr>
                          <w:t>2020</w:t>
                        </w:r>
                      </w:p>
                      <w:p w14:paraId="580AAC5A" w14:textId="77777777" w:rsidR="00117B81" w:rsidRDefault="00117B81" w:rsidP="00117B81">
                        <w:pPr>
                          <w:spacing w:before="23" w:line="169" w:lineRule="exact"/>
                          <w:ind w:left="1"/>
                          <w:rPr>
                            <w:rFonts w:ascii="Calibri"/>
                            <w:sz w:val="14"/>
                          </w:rPr>
                        </w:pPr>
                        <w:r>
                          <w:rPr>
                            <w:rFonts w:ascii="Calibri"/>
                            <w:sz w:val="14"/>
                          </w:rPr>
                          <w:t>Gov.</w:t>
                        </w:r>
                        <w:r>
                          <w:rPr>
                            <w:rFonts w:ascii="Calibri"/>
                            <w:spacing w:val="2"/>
                            <w:sz w:val="14"/>
                          </w:rPr>
                          <w:t xml:space="preserve"> </w:t>
                        </w:r>
                        <w:r>
                          <w:rPr>
                            <w:rFonts w:ascii="Calibri"/>
                            <w:spacing w:val="-2"/>
                            <w:sz w:val="14"/>
                          </w:rPr>
                          <w:t>cons.</w:t>
                        </w:r>
                      </w:p>
                    </w:txbxContent>
                  </v:textbox>
                </v:shape>
                <v:shape id="Textbox 123" o:spid="_x0000_s1081" type="#_x0000_t202" style="position:absolute;left:21039;top:12684;width:2547;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2C82DAA1" w14:textId="77777777" w:rsidR="00117B81" w:rsidRDefault="00117B81" w:rsidP="00117B81">
                        <w:pPr>
                          <w:spacing w:line="145" w:lineRule="exact"/>
                          <w:rPr>
                            <w:rFonts w:ascii="Calibri"/>
                            <w:sz w:val="14"/>
                          </w:rPr>
                        </w:pPr>
                        <w:r>
                          <w:rPr>
                            <w:rFonts w:ascii="Calibri"/>
                            <w:spacing w:val="-4"/>
                            <w:sz w:val="14"/>
                          </w:rPr>
                          <w:t>2021</w:t>
                        </w:r>
                      </w:p>
                      <w:p w14:paraId="330A157A" w14:textId="77777777" w:rsidR="00117B81" w:rsidRDefault="00117B81" w:rsidP="00117B81">
                        <w:pPr>
                          <w:spacing w:before="23" w:line="169" w:lineRule="exact"/>
                          <w:ind w:left="81"/>
                          <w:rPr>
                            <w:rFonts w:ascii="Calibri"/>
                            <w:sz w:val="14"/>
                          </w:rPr>
                        </w:pPr>
                        <w:r>
                          <w:rPr>
                            <w:rFonts w:ascii="Calibri"/>
                            <w:spacing w:val="-4"/>
                            <w:sz w:val="14"/>
                          </w:rPr>
                          <w:t>GFCF</w:t>
                        </w:r>
                      </w:p>
                    </w:txbxContent>
                  </v:textbox>
                </v:shape>
                <v:shape id="Textbox 124" o:spid="_x0000_s1082" type="#_x0000_t202" style="position:absolute;left:25357;top:12684;width:1969;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24E6ABA2" w14:textId="77777777" w:rsidR="00117B81" w:rsidRDefault="00117B81" w:rsidP="00117B81">
                        <w:pPr>
                          <w:spacing w:line="143" w:lineRule="exact"/>
                          <w:rPr>
                            <w:rFonts w:ascii="Calibri"/>
                            <w:sz w:val="14"/>
                          </w:rPr>
                        </w:pPr>
                        <w:r>
                          <w:rPr>
                            <w:rFonts w:ascii="Calibri"/>
                            <w:spacing w:val="-4"/>
                            <w:sz w:val="14"/>
                          </w:rPr>
                          <w:t>2022</w:t>
                        </w:r>
                      </w:p>
                    </w:txbxContent>
                  </v:textbox>
                </v:shape>
                <v:shape id="Textbox 125" o:spid="_x0000_s1083" type="#_x0000_t202" style="position:absolute;left:12413;top:14948;width:16211;height:2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4053362D" w14:textId="77777777" w:rsidR="00117B81" w:rsidRDefault="00117B81" w:rsidP="00117B81">
                        <w:pPr>
                          <w:tabs>
                            <w:tab w:val="left" w:pos="1439"/>
                          </w:tabs>
                          <w:spacing w:line="145" w:lineRule="exact"/>
                          <w:rPr>
                            <w:rFonts w:ascii="Calibri"/>
                            <w:sz w:val="14"/>
                          </w:rPr>
                        </w:pPr>
                        <w:r>
                          <w:rPr>
                            <w:rFonts w:ascii="Calibri"/>
                            <w:sz w:val="14"/>
                          </w:rPr>
                          <w:t>Net</w:t>
                        </w:r>
                        <w:r>
                          <w:rPr>
                            <w:rFonts w:ascii="Calibri"/>
                            <w:spacing w:val="2"/>
                            <w:sz w:val="14"/>
                          </w:rPr>
                          <w:t xml:space="preserve"> </w:t>
                        </w:r>
                        <w:r>
                          <w:rPr>
                            <w:rFonts w:ascii="Calibri"/>
                            <w:spacing w:val="-2"/>
                            <w:sz w:val="14"/>
                          </w:rPr>
                          <w:t>exports</w:t>
                        </w:r>
                        <w:r>
                          <w:rPr>
                            <w:rFonts w:ascii="Calibri"/>
                            <w:sz w:val="14"/>
                          </w:rPr>
                          <w:tab/>
                          <w:t>Real</w:t>
                        </w:r>
                        <w:r>
                          <w:rPr>
                            <w:rFonts w:ascii="Calibri"/>
                            <w:spacing w:val="2"/>
                            <w:sz w:val="14"/>
                          </w:rPr>
                          <w:t xml:space="preserve"> </w:t>
                        </w:r>
                        <w:r>
                          <w:rPr>
                            <w:rFonts w:ascii="Calibri"/>
                            <w:sz w:val="14"/>
                          </w:rPr>
                          <w:t>GDP</w:t>
                        </w:r>
                        <w:r>
                          <w:rPr>
                            <w:rFonts w:ascii="Calibri"/>
                            <w:spacing w:val="2"/>
                            <w:sz w:val="14"/>
                          </w:rPr>
                          <w:t xml:space="preserve"> </w:t>
                        </w:r>
                        <w:r>
                          <w:rPr>
                            <w:rFonts w:ascii="Calibri"/>
                            <w:spacing w:val="-2"/>
                            <w:sz w:val="14"/>
                          </w:rPr>
                          <w:t>growth</w:t>
                        </w:r>
                      </w:p>
                      <w:p w14:paraId="53522B65" w14:textId="77777777" w:rsidR="00117B81" w:rsidRDefault="00117B81" w:rsidP="00117B81">
                        <w:pPr>
                          <w:spacing w:before="16" w:line="169" w:lineRule="exact"/>
                          <w:ind w:left="229"/>
                          <w:rPr>
                            <w:rFonts w:ascii="Calibri"/>
                            <w:i/>
                            <w:sz w:val="14"/>
                          </w:rPr>
                        </w:pPr>
                        <w:r>
                          <w:rPr>
                            <w:rFonts w:ascii="Calibri"/>
                            <w:i/>
                            <w:sz w:val="14"/>
                          </w:rPr>
                          <w:t>Source:</w:t>
                        </w:r>
                        <w:r>
                          <w:rPr>
                            <w:rFonts w:ascii="Calibri"/>
                            <w:i/>
                            <w:spacing w:val="2"/>
                            <w:sz w:val="14"/>
                          </w:rPr>
                          <w:t xml:space="preserve"> </w:t>
                        </w:r>
                        <w:proofErr w:type="spellStart"/>
                        <w:r>
                          <w:rPr>
                            <w:rFonts w:ascii="Calibri"/>
                            <w:i/>
                            <w:sz w:val="14"/>
                          </w:rPr>
                          <w:t>WiiW</w:t>
                        </w:r>
                        <w:proofErr w:type="spellEnd"/>
                        <w:r>
                          <w:rPr>
                            <w:rFonts w:ascii="Calibri"/>
                            <w:i/>
                            <w:sz w:val="14"/>
                          </w:rPr>
                          <w:t>,</w:t>
                        </w:r>
                        <w:r>
                          <w:rPr>
                            <w:rFonts w:ascii="Calibri"/>
                            <w:i/>
                            <w:spacing w:val="4"/>
                            <w:sz w:val="14"/>
                          </w:rPr>
                          <w:t xml:space="preserve"> </w:t>
                        </w:r>
                        <w:r>
                          <w:rPr>
                            <w:rFonts w:ascii="Calibri"/>
                            <w:i/>
                            <w:sz w:val="14"/>
                          </w:rPr>
                          <w:t>INSTAT,</w:t>
                        </w:r>
                        <w:r>
                          <w:rPr>
                            <w:rFonts w:ascii="Calibri"/>
                            <w:i/>
                            <w:spacing w:val="4"/>
                            <w:sz w:val="14"/>
                          </w:rPr>
                          <w:t xml:space="preserve"> </w:t>
                        </w:r>
                        <w:r>
                          <w:rPr>
                            <w:rFonts w:ascii="Calibri"/>
                            <w:i/>
                            <w:sz w:val="14"/>
                          </w:rPr>
                          <w:t>own</w:t>
                        </w:r>
                        <w:r>
                          <w:rPr>
                            <w:rFonts w:ascii="Calibri"/>
                            <w:i/>
                            <w:spacing w:val="5"/>
                            <w:sz w:val="14"/>
                          </w:rPr>
                          <w:t xml:space="preserve"> </w:t>
                        </w:r>
                        <w:r>
                          <w:rPr>
                            <w:rFonts w:ascii="Calibri"/>
                            <w:i/>
                            <w:spacing w:val="-2"/>
                            <w:sz w:val="14"/>
                          </w:rPr>
                          <w:t>calculations</w:t>
                        </w:r>
                      </w:p>
                    </w:txbxContent>
                  </v:textbox>
                </v:shape>
                <w10:wrap type="tight" anchorx="margin"/>
              </v:group>
            </w:pict>
          </mc:Fallback>
        </mc:AlternateContent>
      </w:r>
      <w:r w:rsidR="00E6279B" w:rsidRPr="0032048B">
        <w:rPr>
          <w:spacing w:val="-2"/>
          <w:sz w:val="24"/>
          <w:szCs w:val="24"/>
          <w:u w:val="single"/>
          <w:lang w:val="sq-AL"/>
        </w:rPr>
        <w:t>Stabiliteti makroekonomik</w:t>
      </w:r>
    </w:p>
    <w:p w14:paraId="2581CD60" w14:textId="3FA6D1E8" w:rsidR="00E6279B" w:rsidRPr="0032048B" w:rsidRDefault="00E6279B" w:rsidP="00117B81">
      <w:pPr>
        <w:spacing w:before="120"/>
        <w:ind w:left="980" w:right="980"/>
        <w:jc w:val="both"/>
        <w:rPr>
          <w:sz w:val="24"/>
          <w:szCs w:val="24"/>
          <w:lang w:val="sq-AL"/>
        </w:rPr>
      </w:pPr>
      <w:r w:rsidRPr="0032048B">
        <w:rPr>
          <w:b/>
          <w:sz w:val="24"/>
          <w:szCs w:val="24"/>
          <w:lang w:val="sq-AL"/>
        </w:rPr>
        <w:t xml:space="preserve">Ekonomia shqiptare ka vazhduar të tregojë qëndrueshmëri pavarësisht tre goditjeve të njëpasnjëshme. </w:t>
      </w:r>
      <w:r w:rsidRPr="0032048B">
        <w:rPr>
          <w:bCs/>
          <w:sz w:val="24"/>
          <w:szCs w:val="24"/>
          <w:lang w:val="sq-AL"/>
        </w:rPr>
        <w:t xml:space="preserve">Rritja reale e PBB-së së Shqipërisë ishte mesatarisht 2,7% gjatë </w:t>
      </w:r>
      <w:r w:rsidRPr="0032048B">
        <w:rPr>
          <w:sz w:val="24"/>
          <w:szCs w:val="24"/>
          <w:lang w:val="sq-AL"/>
        </w:rPr>
        <w:t xml:space="preserve">2013-2018. Edhe pse ekonomia u godit nga tërmeti i vitit 2019 dhe kriza e COVID-19, tkurrja e PBB-së ishte më e vogël nga sa pritej në vitin 2022 (3,3%), e pasuar nga një rimëkëmbje ekonomike e qëndrueshme në vitin 2021 (8,9%), e cila u zgjerua më tej në vitin 2022 (4,9% rritja e PPB-së) pavarësisht goditjes së shkaktuar nga lufta e Rusisë kundër Ukrainës. </w:t>
      </w:r>
    </w:p>
    <w:p w14:paraId="7FB0A65A" w14:textId="77777777" w:rsidR="00E6279B" w:rsidRPr="0032048B" w:rsidRDefault="00E6279B" w:rsidP="00E6279B">
      <w:pPr>
        <w:ind w:left="980" w:right="976"/>
        <w:jc w:val="both"/>
        <w:rPr>
          <w:sz w:val="24"/>
          <w:szCs w:val="24"/>
          <w:lang w:val="sq-AL"/>
        </w:rPr>
      </w:pPr>
      <w:r w:rsidRPr="0032048B">
        <w:rPr>
          <w:sz w:val="24"/>
          <w:szCs w:val="24"/>
          <w:lang w:val="sq-AL"/>
        </w:rPr>
        <w:lastRenderedPageBreak/>
        <w:t xml:space="preserve">Rritja e qëndrueshme në investimet private dhe rritja e konsiderueshme e konsumit privat çuan në një rritje ekonomike më të lartë nga sa pritej në vitin 2022, duke e tejkaluar kështu tkurrjen e investimeve dhe konsumimit publik dhe kontributin negativ të eksporteve neto ndaj rritjes. Rritja e fuqishme në konsumin privat u mbështet nga niveli i lartë i vazhdueshëm i punësimit dhe rritja e pagave. Sektorët e ndërtimit, prodhimit dhe shërbimeve ishin nxitësit kryesorë të rritjes në prodhim, pjesërisht falë turizmit lundrues. Këto tendenca makroekonomike vazhduan gjerësisht në tre-mujorin e parë të vitit 2023, edhe pse me një ritëm më të ngadaltë, përveç konsumit publik dhe investimeve në rritje. </w:t>
      </w:r>
    </w:p>
    <w:p w14:paraId="36EAB9AA" w14:textId="77777777" w:rsidR="00E6279B" w:rsidRPr="0032048B" w:rsidRDefault="00E6279B" w:rsidP="00E6279B">
      <w:pPr>
        <w:ind w:left="980" w:right="976"/>
        <w:jc w:val="both"/>
        <w:rPr>
          <w:sz w:val="24"/>
          <w:szCs w:val="24"/>
          <w:lang w:val="sq-AL"/>
        </w:rPr>
      </w:pPr>
    </w:p>
    <w:p w14:paraId="65E1890B" w14:textId="77777777" w:rsidR="00E6279B" w:rsidRPr="0032048B" w:rsidRDefault="00E6279B" w:rsidP="00E6279B">
      <w:pPr>
        <w:ind w:left="980" w:right="976"/>
        <w:jc w:val="both"/>
        <w:rPr>
          <w:sz w:val="24"/>
          <w:szCs w:val="24"/>
          <w:lang w:val="sq-AL"/>
        </w:rPr>
      </w:pPr>
      <w:r w:rsidRPr="0032048B">
        <w:rPr>
          <w:sz w:val="24"/>
          <w:szCs w:val="24"/>
          <w:lang w:val="sq-AL"/>
        </w:rPr>
        <w:t>K</w:t>
      </w:r>
      <w:r w:rsidRPr="0032048B">
        <w:rPr>
          <w:sz w:val="24"/>
          <w:szCs w:val="24"/>
          <w:lang w:val="sq-AL" w:bidi="sq-AL"/>
        </w:rPr>
        <w:t>onvergjenca me nivelet e të ardhurave në BE ka qëndruar e pandryshuar gjatë viteve 2014-2019, me PBB-në për frymë (e barazuar me fuqinë blerëse) në 30% të mesatares së BE-së, por me rritje në 32% në vitin 2021 dhe 34% në vitin 2022.</w:t>
      </w:r>
    </w:p>
    <w:p w14:paraId="1853667B" w14:textId="77777777" w:rsidR="00E6279B" w:rsidRPr="0032048B" w:rsidRDefault="00E6279B" w:rsidP="00E6279B">
      <w:pPr>
        <w:ind w:left="980" w:right="976"/>
        <w:jc w:val="both"/>
        <w:rPr>
          <w:sz w:val="24"/>
          <w:szCs w:val="24"/>
          <w:highlight w:val="yellow"/>
          <w:lang w:val="sq-AL"/>
        </w:rPr>
      </w:pPr>
    </w:p>
    <w:p w14:paraId="528F3D59" w14:textId="77777777" w:rsidR="00E6279B" w:rsidRPr="0032048B" w:rsidRDefault="00E6279B" w:rsidP="00E6279B">
      <w:pPr>
        <w:ind w:left="980" w:right="976"/>
        <w:jc w:val="both"/>
        <w:rPr>
          <w:sz w:val="24"/>
          <w:szCs w:val="24"/>
          <w:lang w:val="sq-AL"/>
        </w:rPr>
      </w:pPr>
      <w:r w:rsidRPr="0032048B">
        <w:rPr>
          <w:b/>
          <w:bCs/>
          <w:sz w:val="24"/>
          <w:szCs w:val="24"/>
          <w:lang w:val="sq-AL"/>
        </w:rPr>
        <w:t xml:space="preserve">Pavarësisht çmimeve të importit në rritje, deficiti i llogarive </w:t>
      </w:r>
      <w:proofErr w:type="spellStart"/>
      <w:r w:rsidRPr="0032048B">
        <w:rPr>
          <w:b/>
          <w:bCs/>
          <w:sz w:val="24"/>
          <w:szCs w:val="24"/>
          <w:lang w:val="sq-AL"/>
        </w:rPr>
        <w:t>korente</w:t>
      </w:r>
      <w:proofErr w:type="spellEnd"/>
      <w:r w:rsidRPr="0032048B">
        <w:rPr>
          <w:b/>
          <w:bCs/>
          <w:sz w:val="24"/>
          <w:szCs w:val="24"/>
          <w:lang w:val="sq-AL"/>
        </w:rPr>
        <w:t xml:space="preserve"> u ul në vitin 2022. </w:t>
      </w:r>
      <w:r w:rsidRPr="0032048B">
        <w:rPr>
          <w:sz w:val="24"/>
          <w:szCs w:val="24"/>
          <w:lang w:val="sq-AL"/>
        </w:rPr>
        <w:t xml:space="preserve">Rritja shumë e madhe e çmimeve të importit në vitin 2022 zgjeroi deficitin tregtar të mallrave, pavarësisht kjo vlerësimit të monedhës dhe rritjes së konsiderueshme në nivelin e eksportit të mallrave. Megjithatë, një rritje prej 30% në suficitin tregtar të shërbimeve, në vlerën 13% të PBB-së, kontribuoi në uljen me 1,7 pikë përqindje </w:t>
      </w:r>
      <w:r w:rsidRPr="0032048B">
        <w:rPr>
          <w:spacing w:val="-1"/>
          <w:sz w:val="24"/>
          <w:szCs w:val="24"/>
          <w:lang w:val="sq-AL"/>
        </w:rPr>
        <w:t xml:space="preserve">në deficitin e llogarive </w:t>
      </w:r>
      <w:proofErr w:type="spellStart"/>
      <w:r w:rsidRPr="0032048B">
        <w:rPr>
          <w:spacing w:val="-1"/>
          <w:sz w:val="24"/>
          <w:szCs w:val="24"/>
          <w:lang w:val="sq-AL"/>
        </w:rPr>
        <w:t>korente</w:t>
      </w:r>
      <w:proofErr w:type="spellEnd"/>
      <w:r w:rsidRPr="0032048B">
        <w:rPr>
          <w:spacing w:val="-1"/>
          <w:sz w:val="24"/>
          <w:szCs w:val="24"/>
          <w:lang w:val="sq-AL"/>
        </w:rPr>
        <w:t xml:space="preserve"> në vlerën 6% të PBB-së për vitin 2022. Përqindja e </w:t>
      </w:r>
      <w:proofErr w:type="spellStart"/>
      <w:r w:rsidRPr="0032048B">
        <w:rPr>
          <w:spacing w:val="-1"/>
          <w:sz w:val="24"/>
          <w:szCs w:val="24"/>
          <w:lang w:val="sq-AL"/>
        </w:rPr>
        <w:t>remitancave</w:t>
      </w:r>
      <w:proofErr w:type="spellEnd"/>
      <w:r w:rsidRPr="0032048B">
        <w:rPr>
          <w:spacing w:val="-1"/>
          <w:sz w:val="24"/>
          <w:szCs w:val="24"/>
          <w:lang w:val="sq-AL"/>
        </w:rPr>
        <w:t xml:space="preserve"> në PBB vazhdoi të bjerë, nga </w:t>
      </w:r>
      <w:r w:rsidRPr="0032048B">
        <w:rPr>
          <w:sz w:val="24"/>
          <w:szCs w:val="24"/>
          <w:lang w:val="sq-AL"/>
        </w:rPr>
        <w:t xml:space="preserve">4,9% në vitin 2021 në 4,5% në vitin 2022, duke sjellë një rënie në suficitin e të ardhurave sekondare në mbi 6% të PBB-së në vitin 2022. Në gjysmën e parë të vitit 2023, deficiti i llogarive </w:t>
      </w:r>
      <w:proofErr w:type="spellStart"/>
      <w:r w:rsidRPr="0032048B">
        <w:rPr>
          <w:sz w:val="24"/>
          <w:szCs w:val="24"/>
          <w:lang w:val="sq-AL"/>
        </w:rPr>
        <w:t>korente</w:t>
      </w:r>
      <w:proofErr w:type="spellEnd"/>
      <w:r w:rsidRPr="0032048B">
        <w:rPr>
          <w:sz w:val="24"/>
          <w:szCs w:val="24"/>
          <w:lang w:val="sq-AL"/>
        </w:rPr>
        <w:t xml:space="preserve"> vazhdoi të ulet me rreth 27% krahasuar me gjysmën e parë të vitit 2022, i shtyrë nga një rritje e vazhdueshme e suficitit tregtar në shërbime dhe nga rritja e </w:t>
      </w:r>
      <w:proofErr w:type="spellStart"/>
      <w:r w:rsidRPr="0032048B">
        <w:rPr>
          <w:sz w:val="24"/>
          <w:szCs w:val="24"/>
          <w:lang w:val="sq-AL"/>
        </w:rPr>
        <w:t>remitancave</w:t>
      </w:r>
      <w:proofErr w:type="spellEnd"/>
      <w:r w:rsidRPr="0032048B">
        <w:rPr>
          <w:sz w:val="24"/>
          <w:szCs w:val="24"/>
          <w:lang w:val="sq-AL"/>
        </w:rPr>
        <w:t xml:space="preserve">. </w:t>
      </w:r>
    </w:p>
    <w:p w14:paraId="5C314FCE" w14:textId="77777777" w:rsidR="00E6279B" w:rsidRPr="0032048B" w:rsidRDefault="00E6279B" w:rsidP="00E6279B">
      <w:pPr>
        <w:ind w:left="980" w:right="976"/>
        <w:jc w:val="both"/>
        <w:rPr>
          <w:sz w:val="24"/>
          <w:szCs w:val="24"/>
          <w:lang w:val="sq-AL"/>
        </w:rPr>
      </w:pPr>
    </w:p>
    <w:p w14:paraId="6ACF6ED2" w14:textId="77777777" w:rsidR="00E6279B" w:rsidRPr="0032048B" w:rsidRDefault="00E6279B" w:rsidP="00E6279B">
      <w:pPr>
        <w:ind w:left="980" w:right="976"/>
        <w:jc w:val="both"/>
        <w:rPr>
          <w:sz w:val="24"/>
          <w:szCs w:val="24"/>
          <w:lang w:val="sq-AL"/>
        </w:rPr>
      </w:pPr>
      <w:r w:rsidRPr="0032048B">
        <w:rPr>
          <w:b/>
          <w:sz w:val="24"/>
          <w:szCs w:val="24"/>
          <w:lang w:val="sq-AL"/>
        </w:rPr>
        <w:t xml:space="preserve">Flukset e investimeve të huaja </w:t>
      </w:r>
      <w:proofErr w:type="spellStart"/>
      <w:r w:rsidRPr="0032048B">
        <w:rPr>
          <w:b/>
          <w:sz w:val="24"/>
          <w:szCs w:val="24"/>
          <w:lang w:val="sq-AL"/>
        </w:rPr>
        <w:t>direkte</w:t>
      </w:r>
      <w:proofErr w:type="spellEnd"/>
      <w:r w:rsidRPr="0032048B">
        <w:rPr>
          <w:b/>
          <w:sz w:val="24"/>
          <w:szCs w:val="24"/>
          <w:lang w:val="sq-AL"/>
        </w:rPr>
        <w:t xml:space="preserve"> (FDI) u shtuan ndjeshëm dhe financuan deficiti</w:t>
      </w:r>
    </w:p>
    <w:p w14:paraId="75F15B39" w14:textId="09A0E86B" w:rsidR="00117B81" w:rsidRPr="0032048B" w:rsidRDefault="00E6279B" w:rsidP="00E6279B">
      <w:pPr>
        <w:ind w:left="5813" w:right="977"/>
        <w:jc w:val="both"/>
        <w:rPr>
          <w:sz w:val="24"/>
          <w:szCs w:val="24"/>
          <w:lang w:val="sq-AL"/>
        </w:rPr>
      </w:pPr>
      <w:r w:rsidRPr="0032048B">
        <w:rPr>
          <w:sz w:val="24"/>
          <w:szCs w:val="24"/>
          <w:highlight w:val="yellow"/>
          <w:lang w:val="sq-AL"/>
        </w:rPr>
        <mc:AlternateContent>
          <mc:Choice Requires="wpg">
            <w:drawing>
              <wp:anchor distT="0" distB="0" distL="0" distR="0" simplePos="0" relativeHeight="251661312" behindDoc="0" locked="0" layoutInCell="1" allowOverlap="1" wp14:anchorId="7615E454" wp14:editId="23D111B2">
                <wp:simplePos x="0" y="0"/>
                <wp:positionH relativeFrom="page">
                  <wp:posOffset>914400</wp:posOffset>
                </wp:positionH>
                <wp:positionV relativeFrom="paragraph">
                  <wp:posOffset>132715</wp:posOffset>
                </wp:positionV>
                <wp:extent cx="2954020" cy="1965960"/>
                <wp:effectExtent l="0" t="0" r="17780" b="15240"/>
                <wp:wrapThrough wrapText="bothSides">
                  <wp:wrapPolygon edited="0">
                    <wp:start x="0" y="0"/>
                    <wp:lineTo x="0" y="21558"/>
                    <wp:lineTo x="21591" y="21558"/>
                    <wp:lineTo x="21591" y="0"/>
                    <wp:lineTo x="0" y="0"/>
                  </wp:wrapPolygon>
                </wp:wrapThrough>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4020" cy="1965960"/>
                          <a:chOff x="0" y="0"/>
                          <a:chExt cx="2954020" cy="1788160"/>
                        </a:xfrm>
                      </wpg:grpSpPr>
                      <wps:wsp>
                        <wps:cNvPr id="127" name="Graphic 127"/>
                        <wps:cNvSpPr/>
                        <wps:spPr>
                          <a:xfrm>
                            <a:off x="380252" y="625727"/>
                            <a:ext cx="2322830" cy="408940"/>
                          </a:xfrm>
                          <a:custGeom>
                            <a:avLst/>
                            <a:gdLst/>
                            <a:ahLst/>
                            <a:cxnLst/>
                            <a:rect l="l" t="t" r="r" b="b"/>
                            <a:pathLst>
                              <a:path w="2322830" h="408940">
                                <a:moveTo>
                                  <a:pt x="211404" y="0"/>
                                </a:moveTo>
                                <a:lnTo>
                                  <a:pt x="0" y="0"/>
                                </a:lnTo>
                                <a:lnTo>
                                  <a:pt x="0" y="387032"/>
                                </a:lnTo>
                                <a:lnTo>
                                  <a:pt x="211404" y="387032"/>
                                </a:lnTo>
                                <a:lnTo>
                                  <a:pt x="211404" y="0"/>
                                </a:lnTo>
                                <a:close/>
                              </a:path>
                              <a:path w="2322830" h="408940">
                                <a:moveTo>
                                  <a:pt x="738441" y="0"/>
                                </a:moveTo>
                                <a:lnTo>
                                  <a:pt x="528027" y="0"/>
                                </a:lnTo>
                                <a:lnTo>
                                  <a:pt x="528027" y="385051"/>
                                </a:lnTo>
                                <a:lnTo>
                                  <a:pt x="738441" y="385051"/>
                                </a:lnTo>
                                <a:lnTo>
                                  <a:pt x="738441" y="0"/>
                                </a:lnTo>
                                <a:close/>
                              </a:path>
                              <a:path w="2322830" h="408940">
                                <a:moveTo>
                                  <a:pt x="1266469" y="0"/>
                                </a:moveTo>
                                <a:lnTo>
                                  <a:pt x="1056055" y="0"/>
                                </a:lnTo>
                                <a:lnTo>
                                  <a:pt x="1056055" y="408813"/>
                                </a:lnTo>
                                <a:lnTo>
                                  <a:pt x="1266469" y="408813"/>
                                </a:lnTo>
                                <a:lnTo>
                                  <a:pt x="1266469" y="0"/>
                                </a:lnTo>
                                <a:close/>
                              </a:path>
                              <a:path w="2322830" h="408940">
                                <a:moveTo>
                                  <a:pt x="1794497" y="0"/>
                                </a:moveTo>
                                <a:lnTo>
                                  <a:pt x="1583093" y="0"/>
                                </a:lnTo>
                                <a:lnTo>
                                  <a:pt x="1583093" y="378117"/>
                                </a:lnTo>
                                <a:lnTo>
                                  <a:pt x="1794497" y="378117"/>
                                </a:lnTo>
                                <a:lnTo>
                                  <a:pt x="1794497" y="0"/>
                                </a:lnTo>
                                <a:close/>
                              </a:path>
                              <a:path w="2322830" h="408940">
                                <a:moveTo>
                                  <a:pt x="2322525" y="0"/>
                                </a:moveTo>
                                <a:lnTo>
                                  <a:pt x="2111121" y="0"/>
                                </a:lnTo>
                                <a:lnTo>
                                  <a:pt x="2111121" y="292989"/>
                                </a:lnTo>
                                <a:lnTo>
                                  <a:pt x="2322525" y="292989"/>
                                </a:lnTo>
                                <a:lnTo>
                                  <a:pt x="2322525" y="0"/>
                                </a:lnTo>
                                <a:close/>
                              </a:path>
                            </a:pathLst>
                          </a:custGeom>
                          <a:solidFill>
                            <a:srgbClr val="FFC000"/>
                          </a:solidFill>
                        </wps:spPr>
                        <wps:bodyPr wrap="square" lIns="0" tIns="0" rIns="0" bIns="0" rtlCol="0">
                          <a:prstTxWarp prst="textNoShape">
                            <a:avLst/>
                          </a:prstTxWarp>
                          <a:noAutofit/>
                        </wps:bodyPr>
                      </wps:wsp>
                      <wps:wsp>
                        <wps:cNvPr id="128" name="Graphic 128"/>
                        <wps:cNvSpPr/>
                        <wps:spPr>
                          <a:xfrm>
                            <a:off x="380252" y="478229"/>
                            <a:ext cx="2322830" cy="147955"/>
                          </a:xfrm>
                          <a:custGeom>
                            <a:avLst/>
                            <a:gdLst/>
                            <a:ahLst/>
                            <a:cxnLst/>
                            <a:rect l="l" t="t" r="r" b="b"/>
                            <a:pathLst>
                              <a:path w="2322830" h="147955">
                                <a:moveTo>
                                  <a:pt x="211404" y="0"/>
                                </a:moveTo>
                                <a:lnTo>
                                  <a:pt x="0" y="0"/>
                                </a:lnTo>
                                <a:lnTo>
                                  <a:pt x="0" y="147485"/>
                                </a:lnTo>
                                <a:lnTo>
                                  <a:pt x="211404" y="147485"/>
                                </a:lnTo>
                                <a:lnTo>
                                  <a:pt x="211404" y="0"/>
                                </a:lnTo>
                                <a:close/>
                              </a:path>
                              <a:path w="2322830" h="147955">
                                <a:moveTo>
                                  <a:pt x="738428" y="2971"/>
                                </a:moveTo>
                                <a:lnTo>
                                  <a:pt x="528015" y="2971"/>
                                </a:lnTo>
                                <a:lnTo>
                                  <a:pt x="528015" y="147485"/>
                                </a:lnTo>
                                <a:lnTo>
                                  <a:pt x="738428" y="147485"/>
                                </a:lnTo>
                                <a:lnTo>
                                  <a:pt x="738428" y="2971"/>
                                </a:lnTo>
                                <a:close/>
                              </a:path>
                              <a:path w="2322830" h="147955">
                                <a:moveTo>
                                  <a:pt x="1266456" y="4953"/>
                                </a:moveTo>
                                <a:lnTo>
                                  <a:pt x="1056043" y="4953"/>
                                </a:lnTo>
                                <a:lnTo>
                                  <a:pt x="1056043" y="147485"/>
                                </a:lnTo>
                                <a:lnTo>
                                  <a:pt x="1266456" y="147485"/>
                                </a:lnTo>
                                <a:lnTo>
                                  <a:pt x="1266456" y="4953"/>
                                </a:lnTo>
                                <a:close/>
                              </a:path>
                              <a:path w="2322830" h="147955">
                                <a:moveTo>
                                  <a:pt x="1794484" y="5943"/>
                                </a:moveTo>
                                <a:lnTo>
                                  <a:pt x="1583067" y="5943"/>
                                </a:lnTo>
                                <a:lnTo>
                                  <a:pt x="1583067" y="147485"/>
                                </a:lnTo>
                                <a:lnTo>
                                  <a:pt x="1794484" y="147485"/>
                                </a:lnTo>
                                <a:lnTo>
                                  <a:pt x="1794484" y="5943"/>
                                </a:lnTo>
                                <a:close/>
                              </a:path>
                              <a:path w="2322830" h="147955">
                                <a:moveTo>
                                  <a:pt x="2322499" y="15836"/>
                                </a:moveTo>
                                <a:lnTo>
                                  <a:pt x="2111095" y="15836"/>
                                </a:lnTo>
                                <a:lnTo>
                                  <a:pt x="2111095" y="147485"/>
                                </a:lnTo>
                                <a:lnTo>
                                  <a:pt x="2322499" y="147485"/>
                                </a:lnTo>
                                <a:lnTo>
                                  <a:pt x="2322499" y="15836"/>
                                </a:lnTo>
                                <a:close/>
                              </a:path>
                            </a:pathLst>
                          </a:custGeom>
                          <a:solidFill>
                            <a:srgbClr val="2E9AFA"/>
                          </a:solidFill>
                        </wps:spPr>
                        <wps:bodyPr wrap="square" lIns="0" tIns="0" rIns="0" bIns="0" rtlCol="0">
                          <a:prstTxWarp prst="textNoShape">
                            <a:avLst/>
                          </a:prstTxWarp>
                          <a:noAutofit/>
                        </wps:bodyPr>
                      </wps:wsp>
                      <wps:wsp>
                        <wps:cNvPr id="129" name="Graphic 129"/>
                        <wps:cNvSpPr/>
                        <wps:spPr>
                          <a:xfrm>
                            <a:off x="221451" y="343607"/>
                            <a:ext cx="1270" cy="845819"/>
                          </a:xfrm>
                          <a:custGeom>
                            <a:avLst/>
                            <a:gdLst/>
                            <a:ahLst/>
                            <a:cxnLst/>
                            <a:rect l="l" t="t" r="r" b="b"/>
                            <a:pathLst>
                              <a:path h="845819">
                                <a:moveTo>
                                  <a:pt x="0" y="845334"/>
                                </a:moveTo>
                                <a:lnTo>
                                  <a:pt x="0" y="0"/>
                                </a:lnTo>
                              </a:path>
                            </a:pathLst>
                          </a:custGeom>
                          <a:ln w="6203">
                            <a:solidFill>
                              <a:srgbClr val="7E7E7E"/>
                            </a:solidFill>
                            <a:prstDash val="solid"/>
                          </a:ln>
                        </wps:spPr>
                        <wps:bodyPr wrap="square" lIns="0" tIns="0" rIns="0" bIns="0" rtlCol="0">
                          <a:prstTxWarp prst="textNoShape">
                            <a:avLst/>
                          </a:prstTxWarp>
                          <a:noAutofit/>
                        </wps:bodyPr>
                      </wps:wsp>
                      <wps:wsp>
                        <wps:cNvPr id="130" name="Graphic 130"/>
                        <wps:cNvSpPr/>
                        <wps:spPr>
                          <a:xfrm>
                            <a:off x="192668" y="343605"/>
                            <a:ext cx="29209" cy="845819"/>
                          </a:xfrm>
                          <a:custGeom>
                            <a:avLst/>
                            <a:gdLst/>
                            <a:ahLst/>
                            <a:cxnLst/>
                            <a:rect l="l" t="t" r="r" b="b"/>
                            <a:pathLst>
                              <a:path w="29209" h="845819">
                                <a:moveTo>
                                  <a:pt x="0" y="845334"/>
                                </a:moveTo>
                                <a:lnTo>
                                  <a:pt x="28782" y="845334"/>
                                </a:lnTo>
                              </a:path>
                              <a:path w="29209" h="845819">
                                <a:moveTo>
                                  <a:pt x="0" y="564216"/>
                                </a:moveTo>
                                <a:lnTo>
                                  <a:pt x="28782" y="564216"/>
                                </a:lnTo>
                              </a:path>
                              <a:path w="29209" h="845819">
                                <a:moveTo>
                                  <a:pt x="0" y="282108"/>
                                </a:moveTo>
                                <a:lnTo>
                                  <a:pt x="28782" y="282108"/>
                                </a:lnTo>
                              </a:path>
                              <a:path w="29209" h="845819">
                                <a:moveTo>
                                  <a:pt x="0" y="0"/>
                                </a:moveTo>
                                <a:lnTo>
                                  <a:pt x="28782" y="0"/>
                                </a:lnTo>
                              </a:path>
                            </a:pathLst>
                          </a:custGeom>
                          <a:ln w="6194">
                            <a:solidFill>
                              <a:srgbClr val="7E7E7E"/>
                            </a:solidFill>
                            <a:prstDash val="solid"/>
                          </a:ln>
                        </wps:spPr>
                        <wps:bodyPr wrap="square" lIns="0" tIns="0" rIns="0" bIns="0" rtlCol="0">
                          <a:prstTxWarp prst="textNoShape">
                            <a:avLst/>
                          </a:prstTxWarp>
                          <a:noAutofit/>
                        </wps:bodyPr>
                      </wps:wsp>
                      <wps:wsp>
                        <wps:cNvPr id="131" name="Graphic 131"/>
                        <wps:cNvSpPr/>
                        <wps:spPr>
                          <a:xfrm>
                            <a:off x="221451" y="625714"/>
                            <a:ext cx="2639695" cy="1270"/>
                          </a:xfrm>
                          <a:custGeom>
                            <a:avLst/>
                            <a:gdLst/>
                            <a:ahLst/>
                            <a:cxnLst/>
                            <a:rect l="l" t="t" r="r" b="b"/>
                            <a:pathLst>
                              <a:path w="2639695">
                                <a:moveTo>
                                  <a:pt x="0" y="0"/>
                                </a:moveTo>
                                <a:lnTo>
                                  <a:pt x="2639128" y="0"/>
                                </a:lnTo>
                              </a:path>
                            </a:pathLst>
                          </a:custGeom>
                          <a:ln w="6186">
                            <a:solidFill>
                              <a:srgbClr val="7E7E7E"/>
                            </a:solidFill>
                            <a:prstDash val="solid"/>
                          </a:ln>
                        </wps:spPr>
                        <wps:bodyPr wrap="square" lIns="0" tIns="0" rIns="0" bIns="0" rtlCol="0">
                          <a:prstTxWarp prst="textNoShape">
                            <a:avLst/>
                          </a:prstTxWarp>
                          <a:noAutofit/>
                        </wps:bodyPr>
                      </wps:wsp>
                      <wps:wsp>
                        <wps:cNvPr id="132" name="Graphic 132"/>
                        <wps:cNvSpPr/>
                        <wps:spPr>
                          <a:xfrm>
                            <a:off x="485959" y="795474"/>
                            <a:ext cx="2111375" cy="74295"/>
                          </a:xfrm>
                          <a:custGeom>
                            <a:avLst/>
                            <a:gdLst/>
                            <a:ahLst/>
                            <a:cxnLst/>
                            <a:rect l="l" t="t" r="r" b="b"/>
                            <a:pathLst>
                              <a:path w="2111375" h="74295">
                                <a:moveTo>
                                  <a:pt x="0" y="20786"/>
                                </a:moveTo>
                                <a:lnTo>
                                  <a:pt x="528025" y="53451"/>
                                </a:lnTo>
                                <a:lnTo>
                                  <a:pt x="1055059" y="74238"/>
                                </a:lnTo>
                                <a:lnTo>
                                  <a:pt x="1583085" y="46523"/>
                                </a:lnTo>
                                <a:lnTo>
                                  <a:pt x="2111110" y="0"/>
                                </a:lnTo>
                              </a:path>
                            </a:pathLst>
                          </a:custGeom>
                          <a:ln w="18559">
                            <a:solidFill>
                              <a:srgbClr val="353A73"/>
                            </a:solidFill>
                            <a:prstDash val="solid"/>
                          </a:ln>
                        </wps:spPr>
                        <wps:bodyPr wrap="square" lIns="0" tIns="0" rIns="0" bIns="0" rtlCol="0">
                          <a:prstTxWarp prst="textNoShape">
                            <a:avLst/>
                          </a:prstTxWarp>
                          <a:noAutofit/>
                        </wps:bodyPr>
                      </wps:wsp>
                      <wps:wsp>
                        <wps:cNvPr id="133" name="Graphic 133"/>
                        <wps:cNvSpPr/>
                        <wps:spPr>
                          <a:xfrm>
                            <a:off x="485959" y="400522"/>
                            <a:ext cx="2111375" cy="40640"/>
                          </a:xfrm>
                          <a:custGeom>
                            <a:avLst/>
                            <a:gdLst/>
                            <a:ahLst/>
                            <a:cxnLst/>
                            <a:rect l="l" t="t" r="r" b="b"/>
                            <a:pathLst>
                              <a:path w="2111375" h="40640">
                                <a:moveTo>
                                  <a:pt x="0" y="0"/>
                                </a:moveTo>
                                <a:lnTo>
                                  <a:pt x="528025" y="12868"/>
                                </a:lnTo>
                                <a:lnTo>
                                  <a:pt x="1055059" y="35634"/>
                                </a:lnTo>
                                <a:lnTo>
                                  <a:pt x="1583085" y="40583"/>
                                </a:lnTo>
                                <a:lnTo>
                                  <a:pt x="2111110" y="35634"/>
                                </a:lnTo>
                              </a:path>
                            </a:pathLst>
                          </a:custGeom>
                          <a:ln w="18559">
                            <a:solidFill>
                              <a:srgbClr val="FF0000"/>
                            </a:solidFill>
                            <a:prstDash val="solid"/>
                          </a:ln>
                        </wps:spPr>
                        <wps:bodyPr wrap="square" lIns="0" tIns="0" rIns="0" bIns="0" rtlCol="0">
                          <a:prstTxWarp prst="textNoShape">
                            <a:avLst/>
                          </a:prstTxWarp>
                          <a:noAutofit/>
                        </wps:bodyPr>
                      </wps:wsp>
                      <wps:wsp>
                        <wps:cNvPr id="134" name="Graphic 134"/>
                        <wps:cNvSpPr/>
                        <wps:spPr>
                          <a:xfrm>
                            <a:off x="149989" y="1430466"/>
                            <a:ext cx="159385" cy="45720"/>
                          </a:xfrm>
                          <a:custGeom>
                            <a:avLst/>
                            <a:gdLst/>
                            <a:ahLst/>
                            <a:cxnLst/>
                            <a:rect l="l" t="t" r="r" b="b"/>
                            <a:pathLst>
                              <a:path w="159385" h="45720">
                                <a:moveTo>
                                  <a:pt x="158786" y="45528"/>
                                </a:moveTo>
                                <a:lnTo>
                                  <a:pt x="0" y="45528"/>
                                </a:lnTo>
                                <a:lnTo>
                                  <a:pt x="0" y="0"/>
                                </a:lnTo>
                                <a:lnTo>
                                  <a:pt x="158786" y="0"/>
                                </a:lnTo>
                                <a:lnTo>
                                  <a:pt x="158786" y="45528"/>
                                </a:lnTo>
                                <a:close/>
                              </a:path>
                            </a:pathLst>
                          </a:custGeom>
                          <a:solidFill>
                            <a:srgbClr val="2E9AFA"/>
                          </a:solidFill>
                        </wps:spPr>
                        <wps:bodyPr wrap="square" lIns="0" tIns="0" rIns="0" bIns="0" rtlCol="0">
                          <a:prstTxWarp prst="textNoShape">
                            <a:avLst/>
                          </a:prstTxWarp>
                          <a:noAutofit/>
                        </wps:bodyPr>
                      </wps:wsp>
                      <wps:wsp>
                        <wps:cNvPr id="135" name="Graphic 135"/>
                        <wps:cNvSpPr/>
                        <wps:spPr>
                          <a:xfrm>
                            <a:off x="1531586" y="1430466"/>
                            <a:ext cx="159385" cy="45720"/>
                          </a:xfrm>
                          <a:custGeom>
                            <a:avLst/>
                            <a:gdLst/>
                            <a:ahLst/>
                            <a:cxnLst/>
                            <a:rect l="l" t="t" r="r" b="b"/>
                            <a:pathLst>
                              <a:path w="159385" h="45720">
                                <a:moveTo>
                                  <a:pt x="158786" y="45528"/>
                                </a:moveTo>
                                <a:lnTo>
                                  <a:pt x="0" y="45528"/>
                                </a:lnTo>
                                <a:lnTo>
                                  <a:pt x="0" y="0"/>
                                </a:lnTo>
                                <a:lnTo>
                                  <a:pt x="158786" y="0"/>
                                </a:lnTo>
                                <a:lnTo>
                                  <a:pt x="158786" y="45528"/>
                                </a:lnTo>
                                <a:close/>
                              </a:path>
                            </a:pathLst>
                          </a:custGeom>
                          <a:solidFill>
                            <a:srgbClr val="FFC000"/>
                          </a:solidFill>
                        </wps:spPr>
                        <wps:bodyPr wrap="square" lIns="0" tIns="0" rIns="0" bIns="0" rtlCol="0">
                          <a:prstTxWarp prst="textNoShape">
                            <a:avLst/>
                          </a:prstTxWarp>
                          <a:noAutofit/>
                        </wps:bodyPr>
                      </wps:wsp>
                      <wps:wsp>
                        <wps:cNvPr id="136" name="Graphic 136"/>
                        <wps:cNvSpPr/>
                        <wps:spPr>
                          <a:xfrm>
                            <a:off x="149493" y="1575479"/>
                            <a:ext cx="159385" cy="1270"/>
                          </a:xfrm>
                          <a:custGeom>
                            <a:avLst/>
                            <a:gdLst/>
                            <a:ahLst/>
                            <a:cxnLst/>
                            <a:rect l="l" t="t" r="r" b="b"/>
                            <a:pathLst>
                              <a:path w="159385">
                                <a:moveTo>
                                  <a:pt x="0" y="0"/>
                                </a:moveTo>
                                <a:lnTo>
                                  <a:pt x="158786" y="0"/>
                                </a:lnTo>
                              </a:path>
                            </a:pathLst>
                          </a:custGeom>
                          <a:ln w="18557">
                            <a:solidFill>
                              <a:srgbClr val="353A73"/>
                            </a:solidFill>
                            <a:prstDash val="solid"/>
                          </a:ln>
                        </wps:spPr>
                        <wps:bodyPr wrap="square" lIns="0" tIns="0" rIns="0" bIns="0" rtlCol="0">
                          <a:prstTxWarp prst="textNoShape">
                            <a:avLst/>
                          </a:prstTxWarp>
                          <a:noAutofit/>
                        </wps:bodyPr>
                      </wps:wsp>
                      <wps:wsp>
                        <wps:cNvPr id="137" name="Graphic 137"/>
                        <wps:cNvSpPr/>
                        <wps:spPr>
                          <a:xfrm>
                            <a:off x="1531090" y="1575479"/>
                            <a:ext cx="159385" cy="1270"/>
                          </a:xfrm>
                          <a:custGeom>
                            <a:avLst/>
                            <a:gdLst/>
                            <a:ahLst/>
                            <a:cxnLst/>
                            <a:rect l="l" t="t" r="r" b="b"/>
                            <a:pathLst>
                              <a:path w="159385">
                                <a:moveTo>
                                  <a:pt x="0" y="0"/>
                                </a:moveTo>
                                <a:lnTo>
                                  <a:pt x="158786" y="0"/>
                                </a:lnTo>
                              </a:path>
                            </a:pathLst>
                          </a:custGeom>
                          <a:ln w="18557">
                            <a:solidFill>
                              <a:srgbClr val="FF0000"/>
                            </a:solidFill>
                            <a:prstDash val="solid"/>
                          </a:ln>
                        </wps:spPr>
                        <wps:bodyPr wrap="square" lIns="0" tIns="0" rIns="0" bIns="0" rtlCol="0">
                          <a:prstTxWarp prst="textNoShape">
                            <a:avLst/>
                          </a:prstTxWarp>
                          <a:noAutofit/>
                        </wps:bodyPr>
                      </wps:wsp>
                      <wps:wsp>
                        <wps:cNvPr id="138" name="Graphic 138"/>
                        <wps:cNvSpPr/>
                        <wps:spPr>
                          <a:xfrm>
                            <a:off x="3095" y="3095"/>
                            <a:ext cx="2948305" cy="1781810"/>
                          </a:xfrm>
                          <a:custGeom>
                            <a:avLst/>
                            <a:gdLst/>
                            <a:ahLst/>
                            <a:cxnLst/>
                            <a:rect l="l" t="t" r="r" b="b"/>
                            <a:pathLst>
                              <a:path w="2948305" h="1781810">
                                <a:moveTo>
                                  <a:pt x="0" y="0"/>
                                </a:moveTo>
                                <a:lnTo>
                                  <a:pt x="2947816" y="0"/>
                                </a:lnTo>
                                <a:lnTo>
                                  <a:pt x="2947816" y="1781738"/>
                                </a:lnTo>
                                <a:lnTo>
                                  <a:pt x="0" y="1781738"/>
                                </a:lnTo>
                                <a:lnTo>
                                  <a:pt x="0" y="0"/>
                                </a:lnTo>
                                <a:close/>
                              </a:path>
                            </a:pathLst>
                          </a:custGeom>
                          <a:ln w="6191">
                            <a:solidFill>
                              <a:srgbClr val="7E7E7E"/>
                            </a:solidFill>
                            <a:prstDash val="solid"/>
                          </a:ln>
                        </wps:spPr>
                        <wps:bodyPr wrap="square" lIns="0" tIns="0" rIns="0" bIns="0" rtlCol="0">
                          <a:prstTxWarp prst="textNoShape">
                            <a:avLst/>
                          </a:prstTxWarp>
                          <a:noAutofit/>
                        </wps:bodyPr>
                      </wps:wsp>
                      <wps:wsp>
                        <wps:cNvPr id="139" name="Textbox 139"/>
                        <wps:cNvSpPr txBox="1"/>
                        <wps:spPr>
                          <a:xfrm>
                            <a:off x="45279" y="300938"/>
                            <a:ext cx="104139" cy="91440"/>
                          </a:xfrm>
                          <a:prstGeom prst="rect">
                            <a:avLst/>
                          </a:prstGeom>
                        </wps:spPr>
                        <wps:txbx>
                          <w:txbxContent>
                            <w:p w14:paraId="4916852A" w14:textId="77777777" w:rsidR="00E6279B" w:rsidRDefault="00E6279B" w:rsidP="00E6279B">
                              <w:pPr>
                                <w:spacing w:line="143" w:lineRule="exact"/>
                                <w:rPr>
                                  <w:rFonts w:ascii="Calibri"/>
                                  <w:sz w:val="14"/>
                                </w:rPr>
                              </w:pPr>
                              <w:r>
                                <w:rPr>
                                  <w:rFonts w:ascii="Calibri"/>
                                  <w:spacing w:val="-5"/>
                                  <w:sz w:val="14"/>
                                </w:rPr>
                                <w:t>10</w:t>
                              </w:r>
                            </w:p>
                          </w:txbxContent>
                        </wps:txbx>
                        <wps:bodyPr wrap="square" lIns="0" tIns="0" rIns="0" bIns="0" rtlCol="0">
                          <a:noAutofit/>
                        </wps:bodyPr>
                      </wps:wsp>
                      <wps:wsp>
                        <wps:cNvPr id="140" name="Textbox 140"/>
                        <wps:cNvSpPr txBox="1"/>
                        <wps:spPr>
                          <a:xfrm>
                            <a:off x="278131" y="263438"/>
                            <a:ext cx="355600" cy="91440"/>
                          </a:xfrm>
                          <a:prstGeom prst="rect">
                            <a:avLst/>
                          </a:prstGeom>
                        </wps:spPr>
                        <wps:txbx>
                          <w:txbxContent>
                            <w:p w14:paraId="08B12438" w14:textId="77777777" w:rsidR="00E6279B" w:rsidRDefault="00E6279B" w:rsidP="00E6279B">
                              <w:pPr>
                                <w:spacing w:line="143" w:lineRule="exact"/>
                                <w:rPr>
                                  <w:rFonts w:ascii="Calibri"/>
                                  <w:sz w:val="14"/>
                                </w:rPr>
                              </w:pPr>
                              <w:r>
                                <w:rPr>
                                  <w:rFonts w:ascii="Calibri"/>
                                  <w:sz w:val="14"/>
                                </w:rPr>
                                <w:t>%</w:t>
                              </w:r>
                              <w:r>
                                <w:rPr>
                                  <w:rFonts w:ascii="Calibri"/>
                                  <w:spacing w:val="1"/>
                                  <w:sz w:val="14"/>
                                </w:rPr>
                                <w:t xml:space="preserve"> </w:t>
                              </w:r>
                              <w:r>
                                <w:rPr>
                                  <w:rFonts w:ascii="Calibri"/>
                                  <w:sz w:val="14"/>
                                </w:rPr>
                                <w:t>of</w:t>
                              </w:r>
                              <w:r>
                                <w:rPr>
                                  <w:rFonts w:ascii="Calibri"/>
                                  <w:spacing w:val="1"/>
                                  <w:sz w:val="14"/>
                                </w:rPr>
                                <w:t xml:space="preserve"> </w:t>
                              </w:r>
                              <w:r>
                                <w:rPr>
                                  <w:rFonts w:ascii="Calibri"/>
                                  <w:spacing w:val="-5"/>
                                  <w:sz w:val="14"/>
                                </w:rPr>
                                <w:t>GDP</w:t>
                              </w:r>
                            </w:p>
                          </w:txbxContent>
                        </wps:txbx>
                        <wps:bodyPr wrap="square" lIns="0" tIns="0" rIns="0" bIns="0" rtlCol="0">
                          <a:noAutofit/>
                        </wps:bodyPr>
                      </wps:wsp>
                      <wps:wsp>
                        <wps:cNvPr id="141" name="Textbox 141"/>
                        <wps:cNvSpPr txBox="1"/>
                        <wps:spPr>
                          <a:xfrm>
                            <a:off x="425931" y="69673"/>
                            <a:ext cx="2114550" cy="244475"/>
                          </a:xfrm>
                          <a:prstGeom prst="rect">
                            <a:avLst/>
                          </a:prstGeom>
                        </wps:spPr>
                        <wps:txbx>
                          <w:txbxContent>
                            <w:p w14:paraId="09F46872" w14:textId="77777777" w:rsidR="00E6279B" w:rsidRDefault="00E6279B" w:rsidP="00E6279B">
                              <w:pPr>
                                <w:spacing w:line="242" w:lineRule="auto"/>
                                <w:ind w:left="897" w:right="18" w:hanging="898"/>
                                <w:rPr>
                                  <w:b/>
                                  <w:sz w:val="17"/>
                                </w:rPr>
                              </w:pPr>
                              <w:r>
                                <w:rPr>
                                  <w:i/>
                                  <w:sz w:val="17"/>
                                </w:rPr>
                                <w:t>Graph</w:t>
                              </w:r>
                              <w:r>
                                <w:rPr>
                                  <w:i/>
                                  <w:spacing w:val="-10"/>
                                  <w:sz w:val="17"/>
                                </w:rPr>
                                <w:t xml:space="preserve"> </w:t>
                              </w:r>
                              <w:r>
                                <w:rPr>
                                  <w:i/>
                                  <w:sz w:val="17"/>
                                </w:rPr>
                                <w:t>1.2:</w:t>
                              </w:r>
                              <w:r>
                                <w:rPr>
                                  <w:i/>
                                  <w:spacing w:val="-10"/>
                                  <w:sz w:val="17"/>
                                </w:rPr>
                                <w:t xml:space="preserve"> </w:t>
                              </w:r>
                              <w:r>
                                <w:rPr>
                                  <w:b/>
                                  <w:sz w:val="17"/>
                                </w:rPr>
                                <w:t>Albania</w:t>
                              </w:r>
                              <w:r>
                                <w:rPr>
                                  <w:b/>
                                  <w:spacing w:val="-10"/>
                                  <w:sz w:val="17"/>
                                </w:rPr>
                                <w:t xml:space="preserve"> </w:t>
                              </w:r>
                              <w:r>
                                <w:rPr>
                                  <w:b/>
                                  <w:sz w:val="17"/>
                                </w:rPr>
                                <w:t>-</w:t>
                              </w:r>
                              <w:r>
                                <w:rPr>
                                  <w:b/>
                                  <w:spacing w:val="-11"/>
                                  <w:sz w:val="17"/>
                                </w:rPr>
                                <w:t xml:space="preserve"> </w:t>
                              </w:r>
                              <w:r>
                                <w:rPr>
                                  <w:b/>
                                  <w:sz w:val="17"/>
                                </w:rPr>
                                <w:t>Current</w:t>
                              </w:r>
                              <w:r>
                                <w:rPr>
                                  <w:b/>
                                  <w:spacing w:val="-9"/>
                                  <w:sz w:val="17"/>
                                </w:rPr>
                                <w:t xml:space="preserve"> </w:t>
                              </w:r>
                              <w:r>
                                <w:rPr>
                                  <w:b/>
                                  <w:sz w:val="17"/>
                                </w:rPr>
                                <w:t>account</w:t>
                              </w:r>
                              <w:r>
                                <w:rPr>
                                  <w:b/>
                                  <w:spacing w:val="-10"/>
                                  <w:sz w:val="17"/>
                                </w:rPr>
                                <w:t xml:space="preserve"> </w:t>
                              </w:r>
                              <w:r>
                                <w:rPr>
                                  <w:b/>
                                  <w:sz w:val="17"/>
                                </w:rPr>
                                <w:t>selected components and FDI</w:t>
                              </w:r>
                            </w:p>
                          </w:txbxContent>
                        </wps:txbx>
                        <wps:bodyPr wrap="square" lIns="0" tIns="0" rIns="0" bIns="0" rtlCol="0">
                          <a:noAutofit/>
                        </wps:bodyPr>
                      </wps:wsp>
                      <wps:wsp>
                        <wps:cNvPr id="142" name="Textbox 142"/>
                        <wps:cNvSpPr txBox="1"/>
                        <wps:spPr>
                          <a:xfrm>
                            <a:off x="17405" y="582858"/>
                            <a:ext cx="133985" cy="655320"/>
                          </a:xfrm>
                          <a:prstGeom prst="rect">
                            <a:avLst/>
                          </a:prstGeom>
                        </wps:spPr>
                        <wps:txbx>
                          <w:txbxContent>
                            <w:p w14:paraId="3D946783" w14:textId="77777777" w:rsidR="00E6279B" w:rsidRDefault="00E6279B" w:rsidP="00E6279B">
                              <w:pPr>
                                <w:spacing w:line="145" w:lineRule="exact"/>
                                <w:ind w:right="18"/>
                                <w:jc w:val="right"/>
                                <w:rPr>
                                  <w:rFonts w:ascii="Calibri"/>
                                  <w:sz w:val="14"/>
                                </w:rPr>
                              </w:pPr>
                              <w:r>
                                <w:rPr>
                                  <w:rFonts w:ascii="Calibri"/>
                                  <w:spacing w:val="-10"/>
                                  <w:sz w:val="14"/>
                                </w:rPr>
                                <w:t>0</w:t>
                              </w:r>
                            </w:p>
                            <w:p w14:paraId="0153F0A0" w14:textId="77777777" w:rsidR="00E6279B" w:rsidRDefault="00E6279B" w:rsidP="00E6279B">
                              <w:pPr>
                                <w:spacing w:before="102"/>
                                <w:rPr>
                                  <w:rFonts w:ascii="Calibri"/>
                                  <w:sz w:val="14"/>
                                </w:rPr>
                              </w:pPr>
                            </w:p>
                            <w:p w14:paraId="0C42D86F" w14:textId="77777777" w:rsidR="00E6279B" w:rsidRDefault="00E6279B" w:rsidP="00E6279B">
                              <w:pPr>
                                <w:rPr>
                                  <w:rFonts w:ascii="Calibri"/>
                                  <w:sz w:val="14"/>
                                </w:rPr>
                              </w:pPr>
                              <w:r>
                                <w:rPr>
                                  <w:rFonts w:ascii="Calibri"/>
                                  <w:spacing w:val="-2"/>
                                  <w:sz w:val="14"/>
                                </w:rPr>
                                <w:t>-</w:t>
                              </w:r>
                              <w:r>
                                <w:rPr>
                                  <w:rFonts w:ascii="Calibri"/>
                                  <w:spacing w:val="-5"/>
                                  <w:sz w:val="14"/>
                                </w:rPr>
                                <w:t>10</w:t>
                              </w:r>
                            </w:p>
                            <w:p w14:paraId="7B75D78A" w14:textId="77777777" w:rsidR="00E6279B" w:rsidRDefault="00E6279B" w:rsidP="00E6279B">
                              <w:pPr>
                                <w:spacing w:before="102"/>
                                <w:rPr>
                                  <w:rFonts w:ascii="Calibri"/>
                                  <w:sz w:val="14"/>
                                </w:rPr>
                              </w:pPr>
                            </w:p>
                            <w:p w14:paraId="72DABDD5" w14:textId="77777777" w:rsidR="00E6279B" w:rsidRDefault="00E6279B" w:rsidP="00E6279B">
                              <w:pPr>
                                <w:spacing w:line="169" w:lineRule="exact"/>
                                <w:ind w:right="18"/>
                                <w:jc w:val="right"/>
                                <w:rPr>
                                  <w:rFonts w:ascii="Calibri"/>
                                  <w:sz w:val="14"/>
                                </w:rPr>
                              </w:pPr>
                              <w:r>
                                <w:rPr>
                                  <w:rFonts w:ascii="Calibri"/>
                                  <w:spacing w:val="-2"/>
                                  <w:sz w:val="14"/>
                                </w:rPr>
                                <w:t>-</w:t>
                              </w:r>
                              <w:r>
                                <w:rPr>
                                  <w:rFonts w:ascii="Calibri"/>
                                  <w:spacing w:val="-5"/>
                                  <w:sz w:val="14"/>
                                </w:rPr>
                                <w:t>20</w:t>
                              </w:r>
                            </w:p>
                          </w:txbxContent>
                        </wps:txbx>
                        <wps:bodyPr wrap="square" lIns="0" tIns="0" rIns="0" bIns="0" rtlCol="0">
                          <a:noAutofit/>
                        </wps:bodyPr>
                      </wps:wsp>
                      <wps:wsp>
                        <wps:cNvPr id="143" name="Textbox 143"/>
                        <wps:cNvSpPr txBox="1"/>
                        <wps:spPr>
                          <a:xfrm>
                            <a:off x="393589" y="1264703"/>
                            <a:ext cx="196850" cy="91440"/>
                          </a:xfrm>
                          <a:prstGeom prst="rect">
                            <a:avLst/>
                          </a:prstGeom>
                        </wps:spPr>
                        <wps:txbx>
                          <w:txbxContent>
                            <w:p w14:paraId="50341131" w14:textId="77777777" w:rsidR="00E6279B" w:rsidRDefault="00E6279B" w:rsidP="00E6279B">
                              <w:pPr>
                                <w:spacing w:line="143" w:lineRule="exact"/>
                                <w:rPr>
                                  <w:rFonts w:ascii="Calibri"/>
                                  <w:b/>
                                  <w:sz w:val="14"/>
                                </w:rPr>
                              </w:pPr>
                              <w:r>
                                <w:rPr>
                                  <w:rFonts w:ascii="Calibri"/>
                                  <w:b/>
                                  <w:spacing w:val="-4"/>
                                  <w:sz w:val="14"/>
                                </w:rPr>
                                <w:t>2018</w:t>
                              </w:r>
                            </w:p>
                          </w:txbxContent>
                        </wps:txbx>
                        <wps:bodyPr wrap="square" lIns="0" tIns="0" rIns="0" bIns="0" rtlCol="0">
                          <a:noAutofit/>
                        </wps:bodyPr>
                      </wps:wsp>
                      <wps:wsp>
                        <wps:cNvPr id="144" name="Textbox 144"/>
                        <wps:cNvSpPr txBox="1"/>
                        <wps:spPr>
                          <a:xfrm>
                            <a:off x="921371" y="1264703"/>
                            <a:ext cx="196850" cy="91440"/>
                          </a:xfrm>
                          <a:prstGeom prst="rect">
                            <a:avLst/>
                          </a:prstGeom>
                        </wps:spPr>
                        <wps:txbx>
                          <w:txbxContent>
                            <w:p w14:paraId="082FB6C4" w14:textId="77777777" w:rsidR="00E6279B" w:rsidRDefault="00E6279B" w:rsidP="00E6279B">
                              <w:pPr>
                                <w:spacing w:line="143" w:lineRule="exact"/>
                                <w:rPr>
                                  <w:rFonts w:ascii="Calibri"/>
                                  <w:b/>
                                  <w:sz w:val="14"/>
                                </w:rPr>
                              </w:pPr>
                              <w:r>
                                <w:rPr>
                                  <w:rFonts w:ascii="Calibri"/>
                                  <w:b/>
                                  <w:spacing w:val="-4"/>
                                  <w:sz w:val="14"/>
                                </w:rPr>
                                <w:t>2019</w:t>
                              </w:r>
                            </w:p>
                          </w:txbxContent>
                        </wps:txbx>
                        <wps:bodyPr wrap="square" lIns="0" tIns="0" rIns="0" bIns="0" rtlCol="0">
                          <a:noAutofit/>
                        </wps:bodyPr>
                      </wps:wsp>
                      <wps:wsp>
                        <wps:cNvPr id="145" name="Textbox 145"/>
                        <wps:cNvSpPr txBox="1"/>
                        <wps:spPr>
                          <a:xfrm>
                            <a:off x="1449151" y="1264703"/>
                            <a:ext cx="196850" cy="91440"/>
                          </a:xfrm>
                          <a:prstGeom prst="rect">
                            <a:avLst/>
                          </a:prstGeom>
                        </wps:spPr>
                        <wps:txbx>
                          <w:txbxContent>
                            <w:p w14:paraId="265A32A1" w14:textId="77777777" w:rsidR="00E6279B" w:rsidRDefault="00E6279B" w:rsidP="00E6279B">
                              <w:pPr>
                                <w:spacing w:line="143" w:lineRule="exact"/>
                                <w:rPr>
                                  <w:rFonts w:ascii="Calibri"/>
                                  <w:b/>
                                  <w:sz w:val="14"/>
                                </w:rPr>
                              </w:pPr>
                              <w:r>
                                <w:rPr>
                                  <w:rFonts w:ascii="Calibri"/>
                                  <w:b/>
                                  <w:spacing w:val="-4"/>
                                  <w:sz w:val="14"/>
                                </w:rPr>
                                <w:t>2020</w:t>
                              </w:r>
                            </w:p>
                          </w:txbxContent>
                        </wps:txbx>
                        <wps:bodyPr wrap="square" lIns="0" tIns="0" rIns="0" bIns="0" rtlCol="0">
                          <a:noAutofit/>
                        </wps:bodyPr>
                      </wps:wsp>
                      <wps:wsp>
                        <wps:cNvPr id="146" name="Textbox 146"/>
                        <wps:cNvSpPr txBox="1"/>
                        <wps:spPr>
                          <a:xfrm>
                            <a:off x="1976933" y="1264703"/>
                            <a:ext cx="196850" cy="91440"/>
                          </a:xfrm>
                          <a:prstGeom prst="rect">
                            <a:avLst/>
                          </a:prstGeom>
                        </wps:spPr>
                        <wps:txbx>
                          <w:txbxContent>
                            <w:p w14:paraId="749F105C" w14:textId="77777777" w:rsidR="00E6279B" w:rsidRDefault="00E6279B" w:rsidP="00E6279B">
                              <w:pPr>
                                <w:spacing w:line="143" w:lineRule="exact"/>
                                <w:rPr>
                                  <w:rFonts w:ascii="Calibri"/>
                                  <w:b/>
                                  <w:sz w:val="14"/>
                                </w:rPr>
                              </w:pPr>
                              <w:r>
                                <w:rPr>
                                  <w:rFonts w:ascii="Calibri"/>
                                  <w:b/>
                                  <w:spacing w:val="-4"/>
                                  <w:sz w:val="14"/>
                                </w:rPr>
                                <w:t>2021</w:t>
                              </w:r>
                            </w:p>
                          </w:txbxContent>
                        </wps:txbx>
                        <wps:bodyPr wrap="square" lIns="0" tIns="0" rIns="0" bIns="0" rtlCol="0">
                          <a:noAutofit/>
                        </wps:bodyPr>
                      </wps:wsp>
                      <wps:wsp>
                        <wps:cNvPr id="147" name="Textbox 147"/>
                        <wps:cNvSpPr txBox="1"/>
                        <wps:spPr>
                          <a:xfrm>
                            <a:off x="2504714" y="1264703"/>
                            <a:ext cx="196850" cy="91440"/>
                          </a:xfrm>
                          <a:prstGeom prst="rect">
                            <a:avLst/>
                          </a:prstGeom>
                        </wps:spPr>
                        <wps:txbx>
                          <w:txbxContent>
                            <w:p w14:paraId="5BF9716D" w14:textId="77777777" w:rsidR="00E6279B" w:rsidRDefault="00E6279B" w:rsidP="00E6279B">
                              <w:pPr>
                                <w:spacing w:line="143" w:lineRule="exact"/>
                                <w:rPr>
                                  <w:rFonts w:ascii="Calibri"/>
                                  <w:b/>
                                  <w:sz w:val="14"/>
                                </w:rPr>
                              </w:pPr>
                              <w:r>
                                <w:rPr>
                                  <w:rFonts w:ascii="Calibri"/>
                                  <w:b/>
                                  <w:spacing w:val="-4"/>
                                  <w:sz w:val="14"/>
                                </w:rPr>
                                <w:t>2022</w:t>
                              </w:r>
                            </w:p>
                          </w:txbxContent>
                        </wps:txbx>
                        <wps:bodyPr wrap="square" lIns="0" tIns="0" rIns="0" bIns="0" rtlCol="0">
                          <a:noAutofit/>
                        </wps:bodyPr>
                      </wps:wsp>
                      <wps:wsp>
                        <wps:cNvPr id="148" name="Textbox 148"/>
                        <wps:cNvSpPr txBox="1"/>
                        <wps:spPr>
                          <a:xfrm>
                            <a:off x="325500" y="1414767"/>
                            <a:ext cx="2562225" cy="345440"/>
                          </a:xfrm>
                          <a:prstGeom prst="rect">
                            <a:avLst/>
                          </a:prstGeom>
                        </wps:spPr>
                        <wps:txbx>
                          <w:txbxContent>
                            <w:p w14:paraId="77828BA9" w14:textId="77777777" w:rsidR="00E6279B" w:rsidRDefault="00E6279B" w:rsidP="00E6279B">
                              <w:pPr>
                                <w:tabs>
                                  <w:tab w:val="left" w:pos="2175"/>
                                </w:tabs>
                                <w:spacing w:line="132" w:lineRule="exact"/>
                                <w:ind w:left="29"/>
                                <w:rPr>
                                  <w:rFonts w:ascii="Calibri"/>
                                  <w:sz w:val="13"/>
                                </w:rPr>
                              </w:pPr>
                              <w:r>
                                <w:rPr>
                                  <w:rFonts w:ascii="Calibri"/>
                                  <w:spacing w:val="-2"/>
                                  <w:sz w:val="13"/>
                                </w:rPr>
                                <w:t>Workers'</w:t>
                              </w:r>
                              <w:r>
                                <w:rPr>
                                  <w:rFonts w:ascii="Calibri"/>
                                  <w:spacing w:val="11"/>
                                  <w:sz w:val="13"/>
                                </w:rPr>
                                <w:t xml:space="preserve"> </w:t>
                              </w:r>
                              <w:r>
                                <w:rPr>
                                  <w:rFonts w:ascii="Calibri"/>
                                  <w:spacing w:val="-2"/>
                                  <w:sz w:val="13"/>
                                </w:rPr>
                                <w:t>remittances</w:t>
                              </w:r>
                              <w:r>
                                <w:rPr>
                                  <w:rFonts w:ascii="Calibri"/>
                                  <w:spacing w:val="11"/>
                                  <w:sz w:val="13"/>
                                </w:rPr>
                                <w:t xml:space="preserve"> </w:t>
                              </w:r>
                              <w:r>
                                <w:rPr>
                                  <w:rFonts w:ascii="Calibri"/>
                                  <w:spacing w:val="-2"/>
                                  <w:sz w:val="13"/>
                                </w:rPr>
                                <w:t>balance</w:t>
                              </w:r>
                              <w:r>
                                <w:rPr>
                                  <w:rFonts w:ascii="Calibri"/>
                                  <w:sz w:val="13"/>
                                </w:rPr>
                                <w:tab/>
                                <w:t>Goods</w:t>
                              </w:r>
                              <w:r>
                                <w:rPr>
                                  <w:rFonts w:ascii="Calibri"/>
                                  <w:spacing w:val="-4"/>
                                  <w:sz w:val="13"/>
                                </w:rPr>
                                <w:t xml:space="preserve"> </w:t>
                              </w:r>
                              <w:r>
                                <w:rPr>
                                  <w:rFonts w:ascii="Calibri"/>
                                  <w:sz w:val="13"/>
                                </w:rPr>
                                <w:t>and</w:t>
                              </w:r>
                              <w:r>
                                <w:rPr>
                                  <w:rFonts w:ascii="Calibri"/>
                                  <w:spacing w:val="-3"/>
                                  <w:sz w:val="13"/>
                                </w:rPr>
                                <w:t xml:space="preserve"> </w:t>
                              </w:r>
                              <w:r>
                                <w:rPr>
                                  <w:rFonts w:ascii="Calibri"/>
                                  <w:sz w:val="13"/>
                                </w:rPr>
                                <w:t>services</w:t>
                              </w:r>
                              <w:r>
                                <w:rPr>
                                  <w:rFonts w:ascii="Calibri"/>
                                  <w:spacing w:val="-5"/>
                                  <w:sz w:val="13"/>
                                </w:rPr>
                                <w:t xml:space="preserve"> </w:t>
                              </w:r>
                              <w:r>
                                <w:rPr>
                                  <w:rFonts w:ascii="Calibri"/>
                                  <w:sz w:val="13"/>
                                </w:rPr>
                                <w:t>trade</w:t>
                              </w:r>
                              <w:r>
                                <w:rPr>
                                  <w:rFonts w:ascii="Calibri"/>
                                  <w:spacing w:val="-5"/>
                                  <w:sz w:val="13"/>
                                </w:rPr>
                                <w:t xml:space="preserve"> </w:t>
                              </w:r>
                              <w:r>
                                <w:rPr>
                                  <w:rFonts w:ascii="Calibri"/>
                                  <w:spacing w:val="-2"/>
                                  <w:sz w:val="13"/>
                                </w:rPr>
                                <w:t>balance</w:t>
                              </w:r>
                            </w:p>
                            <w:p w14:paraId="6634BB4B" w14:textId="77777777" w:rsidR="00E6279B" w:rsidRDefault="00E6279B" w:rsidP="00E6279B">
                              <w:pPr>
                                <w:tabs>
                                  <w:tab w:val="left" w:pos="2175"/>
                                </w:tabs>
                                <w:spacing w:before="33"/>
                                <w:rPr>
                                  <w:rFonts w:ascii="Calibri"/>
                                  <w:sz w:val="13"/>
                                </w:rPr>
                              </w:pPr>
                              <w:r>
                                <w:rPr>
                                  <w:rFonts w:ascii="Calibri"/>
                                  <w:sz w:val="13"/>
                                </w:rPr>
                                <w:t>Current</w:t>
                              </w:r>
                              <w:r>
                                <w:rPr>
                                  <w:rFonts w:ascii="Calibri"/>
                                  <w:spacing w:val="-6"/>
                                  <w:sz w:val="13"/>
                                </w:rPr>
                                <w:t xml:space="preserve"> </w:t>
                              </w:r>
                              <w:proofErr w:type="spellStart"/>
                              <w:r>
                                <w:rPr>
                                  <w:rFonts w:ascii="Calibri"/>
                                  <w:sz w:val="13"/>
                                </w:rPr>
                                <w:t>a</w:t>
                              </w:r>
                              <w:r>
                                <w:rPr>
                                  <w:rFonts w:ascii="Calibri"/>
                                  <w:sz w:val="13"/>
                                </w:rPr>
                                <w:t>ç</w:t>
                              </w:r>
                              <w:r>
                                <w:rPr>
                                  <w:rFonts w:ascii="Calibri"/>
                                  <w:sz w:val="13"/>
                                </w:rPr>
                                <w:t>ount</w:t>
                              </w:r>
                              <w:proofErr w:type="spellEnd"/>
                              <w:r>
                                <w:rPr>
                                  <w:rFonts w:ascii="Calibri"/>
                                  <w:spacing w:val="-5"/>
                                  <w:sz w:val="13"/>
                                </w:rPr>
                                <w:t xml:space="preserve"> </w:t>
                              </w:r>
                              <w:r>
                                <w:rPr>
                                  <w:rFonts w:ascii="Calibri"/>
                                  <w:spacing w:val="-2"/>
                                  <w:sz w:val="13"/>
                                </w:rPr>
                                <w:t>balance</w:t>
                              </w:r>
                              <w:r>
                                <w:rPr>
                                  <w:rFonts w:ascii="Calibri"/>
                                  <w:sz w:val="13"/>
                                </w:rPr>
                                <w:tab/>
                                <w:t>Net</w:t>
                              </w:r>
                              <w:r>
                                <w:rPr>
                                  <w:rFonts w:ascii="Calibri"/>
                                  <w:spacing w:val="-3"/>
                                  <w:sz w:val="13"/>
                                </w:rPr>
                                <w:t xml:space="preserve"> </w:t>
                              </w:r>
                              <w:r>
                                <w:rPr>
                                  <w:rFonts w:ascii="Calibri"/>
                                  <w:spacing w:val="-5"/>
                                  <w:sz w:val="13"/>
                                </w:rPr>
                                <w:t>FDI</w:t>
                              </w:r>
                            </w:p>
                            <w:p w14:paraId="1002117A" w14:textId="77777777" w:rsidR="00E6279B" w:rsidRDefault="00E6279B" w:rsidP="00E6279B">
                              <w:pPr>
                                <w:spacing w:before="51" w:line="169" w:lineRule="exact"/>
                                <w:ind w:left="1675"/>
                                <w:rPr>
                                  <w:rFonts w:ascii="Calibri"/>
                                  <w:i/>
                                  <w:sz w:val="14"/>
                                </w:rPr>
                              </w:pPr>
                              <w:r>
                                <w:rPr>
                                  <w:rFonts w:ascii="Calibri"/>
                                  <w:i/>
                                  <w:sz w:val="14"/>
                                </w:rPr>
                                <w:t>Source:</w:t>
                              </w:r>
                              <w:r>
                                <w:rPr>
                                  <w:rFonts w:ascii="Calibri"/>
                                  <w:i/>
                                  <w:spacing w:val="1"/>
                                  <w:sz w:val="14"/>
                                </w:rPr>
                                <w:t xml:space="preserve"> </w:t>
                              </w:r>
                              <w:r>
                                <w:rPr>
                                  <w:rFonts w:ascii="Calibri"/>
                                  <w:i/>
                                  <w:sz w:val="14"/>
                                </w:rPr>
                                <w:t>IMF</w:t>
                              </w:r>
                              <w:r>
                                <w:rPr>
                                  <w:rFonts w:ascii="Calibri"/>
                                  <w:i/>
                                  <w:spacing w:val="2"/>
                                  <w:sz w:val="14"/>
                                </w:rPr>
                                <w:t xml:space="preserve"> </w:t>
                              </w:r>
                              <w:r>
                                <w:rPr>
                                  <w:rFonts w:ascii="Calibri"/>
                                  <w:i/>
                                  <w:sz w:val="14"/>
                                </w:rPr>
                                <w:t>and</w:t>
                              </w:r>
                              <w:r>
                                <w:rPr>
                                  <w:rFonts w:ascii="Calibri"/>
                                  <w:i/>
                                  <w:spacing w:val="6"/>
                                  <w:sz w:val="14"/>
                                </w:rPr>
                                <w:t xml:space="preserve"> </w:t>
                              </w:r>
                              <w:r>
                                <w:rPr>
                                  <w:rFonts w:ascii="Calibri"/>
                                  <w:i/>
                                  <w:sz w:val="14"/>
                                </w:rPr>
                                <w:t>Central Bank</w:t>
                              </w:r>
                              <w:r>
                                <w:rPr>
                                  <w:rFonts w:ascii="Calibri"/>
                                  <w:i/>
                                  <w:spacing w:val="4"/>
                                  <w:sz w:val="14"/>
                                </w:rPr>
                                <w:t xml:space="preserve"> </w:t>
                              </w:r>
                              <w:r>
                                <w:rPr>
                                  <w:rFonts w:ascii="Calibri"/>
                                  <w:i/>
                                  <w:sz w:val="14"/>
                                </w:rPr>
                                <w:t>of</w:t>
                              </w:r>
                              <w:r>
                                <w:rPr>
                                  <w:rFonts w:ascii="Calibri"/>
                                  <w:i/>
                                  <w:spacing w:val="5"/>
                                  <w:sz w:val="14"/>
                                </w:rPr>
                                <w:t xml:space="preserve"> </w:t>
                              </w:r>
                              <w:r>
                                <w:rPr>
                                  <w:rFonts w:ascii="Calibri"/>
                                  <w:i/>
                                  <w:spacing w:val="-2"/>
                                  <w:sz w:val="14"/>
                                </w:rPr>
                                <w:t>Albania</w:t>
                              </w:r>
                            </w:p>
                          </w:txbxContent>
                        </wps:txbx>
                        <wps:bodyPr wrap="square" lIns="0" tIns="0" rIns="0" bIns="0" rtlCol="0">
                          <a:noAutofit/>
                        </wps:bodyPr>
                      </wps:wsp>
                    </wpg:wgp>
                  </a:graphicData>
                </a:graphic>
                <wp14:sizeRelV relativeFrom="margin">
                  <wp14:pctHeight>0</wp14:pctHeight>
                </wp14:sizeRelV>
              </wp:anchor>
            </w:drawing>
          </mc:Choice>
          <mc:Fallback>
            <w:pict>
              <v:group w14:anchorId="7615E454" id="Group 126" o:spid="_x0000_s1084" style="position:absolute;left:0;text-align:left;margin-left:1in;margin-top:10.45pt;width:232.6pt;height:154.8pt;z-index:251661312;mso-wrap-distance-left:0;mso-wrap-distance-right:0;mso-position-horizontal-relative:page;mso-height-relative:margin" coordsize="29540,17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">
                <v:shape id="Graphic 127" o:spid="_x0000_s1085" style="position:absolute;left:3802;top:6257;width:23228;height:4089;visibility:visible;mso-wrap-style:square;v-text-anchor:top" coordsize="2322830,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" path="m211404,l,,,387032r211404,l211404,xem738441,l528027,r,385051l738441,385051,738441,xem1266469,l1056055,r,408813l1266469,408813,1266469,xem1794497,l1583093,r,378117l1794497,378117,1794497,xem2322525,l2111121,r,292989l2322525,292989,2322525,xe" fillcolor="#ffc000" stroked="f">
                  <v:path arrowok="t"/>
                </v:shape>
                <v:shape id="Graphic 128" o:spid="_x0000_s1086" style="position:absolute;left:3802;top:4782;width:23228;height:1479;visibility:visible;mso-wrap-style:square;v-text-anchor:top" coordsize="2322830,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" path="m211404,l,,,147485r211404,l211404,xem738428,2971r-210413,l528015,147485r210413,l738428,2971xem1266456,4953r-210413,l1056043,147485r210413,l1266456,4953xem1794484,5943r-211417,l1583067,147485r211417,l1794484,5943xem2322499,15836r-211404,l2111095,147485r211404,l2322499,15836xe" fillcolor="#2e9afa" stroked="f">
                  <v:path arrowok="t"/>
                </v:shape>
                <v:shape id="Graphic 129" o:spid="_x0000_s1087" style="position:absolute;left:2214;top:3436;width:13;height:8458;visibility:visible;mso-wrap-style:square;v-text-anchor:top" coordsize="1270,845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" path="m,845334l,e" filled="f" strokecolor="#7e7e7e" strokeweight=".17231mm">
                  <v:path arrowok="t"/>
                </v:shape>
                <v:shape id="Graphic 130" o:spid="_x0000_s1088" style="position:absolute;left:1926;top:3436;width:292;height:8458;visibility:visible;mso-wrap-style:square;v-text-anchor:top" coordsize="29209,845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" path="m,845334r28782,em,564216r28782,em,282108r28782,em,l28782,e" filled="f" strokecolor="#7e7e7e" strokeweight=".17206mm">
                  <v:path arrowok="t"/>
                </v:shape>
                <v:shape id="Graphic 131" o:spid="_x0000_s1089" style="position:absolute;left:2214;top:6257;width:26397;height:12;visibility:visible;mso-wrap-style:square;v-text-anchor:top" coordsize="2639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" path="m,l2639128,e" filled="f" strokecolor="#7e7e7e" strokeweight=".17183mm">
                  <v:path arrowok="t"/>
                </v:shape>
                <v:shape id="Graphic 132" o:spid="_x0000_s1090" style="position:absolute;left:4859;top:7954;width:21114;height:743;visibility:visible;mso-wrap-style:square;v-text-anchor:top" coordsize="2111375,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" path="m,20786l528025,53451r527034,20787l1583085,46523,2111110,e" filled="f" strokecolor="#353a73" strokeweight=".51553mm">
                  <v:path arrowok="t"/>
                </v:shape>
                <v:shape id="Graphic 133" o:spid="_x0000_s1091" style="position:absolute;left:4859;top:4005;width:21114;height:406;visibility:visible;mso-wrap-style:square;v-text-anchor:top" coordsize="2111375,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" path="m,l528025,12868r527034,22766l1583085,40583r528025,-4949e" filled="f" strokecolor="red" strokeweight=".51553mm">
                  <v:path arrowok="t"/>
                </v:shape>
                <v:shape id="Graphic 134" o:spid="_x0000_s1092" style="position:absolute;left:1499;top:14304;width:1594;height:457;visibility:visible;mso-wrap-style:square;v-text-anchor:top" coordsize="15938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" path="m158786,45528l,45528,,,158786,r,45528xe" fillcolor="#2e9afa" stroked="f">
                  <v:path arrowok="t"/>
                </v:shape>
                <v:shape id="Graphic 135" o:spid="_x0000_s1093" style="position:absolute;left:15315;top:14304;width:1594;height:457;visibility:visible;mso-wrap-style:square;v-text-anchor:top" coordsize="15938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" path="m158786,45528l,45528,,,158786,r,45528xe" fillcolor="#ffc000" stroked="f">
                  <v:path arrowok="t"/>
                </v:shape>
                <v:shape id="Graphic 136" o:spid="_x0000_s1094" style="position:absolute;left:1494;top:15754;width:1594;height:13;visibility:visible;mso-wrap-style:square;v-text-anchor:top" coordsize="1593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" path="m,l158786,e" filled="f" strokecolor="#353a73" strokeweight=".51547mm">
                  <v:path arrowok="t"/>
                </v:shape>
                <v:shape id="Graphic 137" o:spid="_x0000_s1095" style="position:absolute;left:15310;top:15754;width:1594;height:13;visibility:visible;mso-wrap-style:square;v-text-anchor:top" coordsize="1593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" path="m,l158786,e" filled="f" strokecolor="red" strokeweight=".51547mm">
                  <v:path arrowok="t"/>
                </v:shape>
                <v:shape id="Graphic 138" o:spid="_x0000_s1096" style="position:absolute;left:30;top:30;width:29484;height:17819;visibility:visible;mso-wrap-style:square;v-text-anchor:top" coordsize="2948305,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" path="m,l2947816,r,1781738l,1781738,,xe" filled="f" strokecolor="#7e7e7e" strokeweight=".17197mm">
                  <v:path arrowok="t"/>
                </v:shape>
                <v:shape id="Textbox 139" o:spid="_x0000_s1097" type="#_x0000_t202" style="position:absolute;left:452;top:3009;width:1042;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14:paraId="4916852A" w14:textId="77777777" w:rsidR="00E6279B" w:rsidRDefault="00E6279B" w:rsidP="00E6279B">
                        <w:pPr>
                          <w:spacing w:line="143" w:lineRule="exact"/>
                          <w:rPr>
                            <w:rFonts w:ascii="Calibri"/>
                            <w:sz w:val="14"/>
                          </w:rPr>
                        </w:pPr>
                        <w:r>
                          <w:rPr>
                            <w:rFonts w:ascii="Calibri"/>
                            <w:spacing w:val="-5"/>
                            <w:sz w:val="14"/>
                          </w:rPr>
                          <w:t>10</w:t>
                        </w:r>
                      </w:p>
                    </w:txbxContent>
                  </v:textbox>
                </v:shape>
                <v:shape id="Textbox 140" o:spid="_x0000_s1098" type="#_x0000_t202" style="position:absolute;left:2781;top:2634;width:3556;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14:paraId="08B12438" w14:textId="77777777" w:rsidR="00E6279B" w:rsidRDefault="00E6279B" w:rsidP="00E6279B">
                        <w:pPr>
                          <w:spacing w:line="143" w:lineRule="exact"/>
                          <w:rPr>
                            <w:rFonts w:ascii="Calibri"/>
                            <w:sz w:val="14"/>
                          </w:rPr>
                        </w:pPr>
                        <w:r>
                          <w:rPr>
                            <w:rFonts w:ascii="Calibri"/>
                            <w:sz w:val="14"/>
                          </w:rPr>
                          <w:t>%</w:t>
                        </w:r>
                        <w:r>
                          <w:rPr>
                            <w:rFonts w:ascii="Calibri"/>
                            <w:spacing w:val="1"/>
                            <w:sz w:val="14"/>
                          </w:rPr>
                          <w:t xml:space="preserve"> </w:t>
                        </w:r>
                        <w:r>
                          <w:rPr>
                            <w:rFonts w:ascii="Calibri"/>
                            <w:sz w:val="14"/>
                          </w:rPr>
                          <w:t>of</w:t>
                        </w:r>
                        <w:r>
                          <w:rPr>
                            <w:rFonts w:ascii="Calibri"/>
                            <w:spacing w:val="1"/>
                            <w:sz w:val="14"/>
                          </w:rPr>
                          <w:t xml:space="preserve"> </w:t>
                        </w:r>
                        <w:r>
                          <w:rPr>
                            <w:rFonts w:ascii="Calibri"/>
                            <w:spacing w:val="-5"/>
                            <w:sz w:val="14"/>
                          </w:rPr>
                          <w:t>GDP</w:t>
                        </w:r>
                      </w:p>
                    </w:txbxContent>
                  </v:textbox>
                </v:shape>
                <v:shape id="Textbox 141" o:spid="_x0000_s1099" type="#_x0000_t202" style="position:absolute;left:4259;top:696;width:21145;height:2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09F46872" w14:textId="77777777" w:rsidR="00E6279B" w:rsidRDefault="00E6279B" w:rsidP="00E6279B">
                        <w:pPr>
                          <w:spacing w:line="242" w:lineRule="auto"/>
                          <w:ind w:left="897" w:right="18" w:hanging="898"/>
                          <w:rPr>
                            <w:b/>
                            <w:sz w:val="17"/>
                          </w:rPr>
                        </w:pPr>
                        <w:r>
                          <w:rPr>
                            <w:i/>
                            <w:sz w:val="17"/>
                          </w:rPr>
                          <w:t>Graph</w:t>
                        </w:r>
                        <w:r>
                          <w:rPr>
                            <w:i/>
                            <w:spacing w:val="-10"/>
                            <w:sz w:val="17"/>
                          </w:rPr>
                          <w:t xml:space="preserve"> </w:t>
                        </w:r>
                        <w:r>
                          <w:rPr>
                            <w:i/>
                            <w:sz w:val="17"/>
                          </w:rPr>
                          <w:t>1.2:</w:t>
                        </w:r>
                        <w:r>
                          <w:rPr>
                            <w:i/>
                            <w:spacing w:val="-10"/>
                            <w:sz w:val="17"/>
                          </w:rPr>
                          <w:t xml:space="preserve"> </w:t>
                        </w:r>
                        <w:r>
                          <w:rPr>
                            <w:b/>
                            <w:sz w:val="17"/>
                          </w:rPr>
                          <w:t>Albania</w:t>
                        </w:r>
                        <w:r>
                          <w:rPr>
                            <w:b/>
                            <w:spacing w:val="-10"/>
                            <w:sz w:val="17"/>
                          </w:rPr>
                          <w:t xml:space="preserve"> </w:t>
                        </w:r>
                        <w:r>
                          <w:rPr>
                            <w:b/>
                            <w:sz w:val="17"/>
                          </w:rPr>
                          <w:t>-</w:t>
                        </w:r>
                        <w:r>
                          <w:rPr>
                            <w:b/>
                            <w:spacing w:val="-11"/>
                            <w:sz w:val="17"/>
                          </w:rPr>
                          <w:t xml:space="preserve"> </w:t>
                        </w:r>
                        <w:r>
                          <w:rPr>
                            <w:b/>
                            <w:sz w:val="17"/>
                          </w:rPr>
                          <w:t>Current</w:t>
                        </w:r>
                        <w:r>
                          <w:rPr>
                            <w:b/>
                            <w:spacing w:val="-9"/>
                            <w:sz w:val="17"/>
                          </w:rPr>
                          <w:t xml:space="preserve"> </w:t>
                        </w:r>
                        <w:r>
                          <w:rPr>
                            <w:b/>
                            <w:sz w:val="17"/>
                          </w:rPr>
                          <w:t>account</w:t>
                        </w:r>
                        <w:r>
                          <w:rPr>
                            <w:b/>
                            <w:spacing w:val="-10"/>
                            <w:sz w:val="17"/>
                          </w:rPr>
                          <w:t xml:space="preserve"> </w:t>
                        </w:r>
                        <w:r>
                          <w:rPr>
                            <w:b/>
                            <w:sz w:val="17"/>
                          </w:rPr>
                          <w:t>selected components and FDI</w:t>
                        </w:r>
                      </w:p>
                    </w:txbxContent>
                  </v:textbox>
                </v:shape>
                <v:shape id="Textbox 142" o:spid="_x0000_s1100" type="#_x0000_t202" style="position:absolute;left:174;top:5828;width:1339;height:6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3D946783" w14:textId="77777777" w:rsidR="00E6279B" w:rsidRDefault="00E6279B" w:rsidP="00E6279B">
                        <w:pPr>
                          <w:spacing w:line="145" w:lineRule="exact"/>
                          <w:ind w:right="18"/>
                          <w:jc w:val="right"/>
                          <w:rPr>
                            <w:rFonts w:ascii="Calibri"/>
                            <w:sz w:val="14"/>
                          </w:rPr>
                        </w:pPr>
                        <w:r>
                          <w:rPr>
                            <w:rFonts w:ascii="Calibri"/>
                            <w:spacing w:val="-10"/>
                            <w:sz w:val="14"/>
                          </w:rPr>
                          <w:t>0</w:t>
                        </w:r>
                      </w:p>
                      <w:p w14:paraId="0153F0A0" w14:textId="77777777" w:rsidR="00E6279B" w:rsidRDefault="00E6279B" w:rsidP="00E6279B">
                        <w:pPr>
                          <w:spacing w:before="102"/>
                          <w:rPr>
                            <w:rFonts w:ascii="Calibri"/>
                            <w:sz w:val="14"/>
                          </w:rPr>
                        </w:pPr>
                      </w:p>
                      <w:p w14:paraId="0C42D86F" w14:textId="77777777" w:rsidR="00E6279B" w:rsidRDefault="00E6279B" w:rsidP="00E6279B">
                        <w:pPr>
                          <w:rPr>
                            <w:rFonts w:ascii="Calibri"/>
                            <w:sz w:val="14"/>
                          </w:rPr>
                        </w:pPr>
                        <w:r>
                          <w:rPr>
                            <w:rFonts w:ascii="Calibri"/>
                            <w:spacing w:val="-2"/>
                            <w:sz w:val="14"/>
                          </w:rPr>
                          <w:t>-</w:t>
                        </w:r>
                        <w:r>
                          <w:rPr>
                            <w:rFonts w:ascii="Calibri"/>
                            <w:spacing w:val="-5"/>
                            <w:sz w:val="14"/>
                          </w:rPr>
                          <w:t>10</w:t>
                        </w:r>
                      </w:p>
                      <w:p w14:paraId="7B75D78A" w14:textId="77777777" w:rsidR="00E6279B" w:rsidRDefault="00E6279B" w:rsidP="00E6279B">
                        <w:pPr>
                          <w:spacing w:before="102"/>
                          <w:rPr>
                            <w:rFonts w:ascii="Calibri"/>
                            <w:sz w:val="14"/>
                          </w:rPr>
                        </w:pPr>
                      </w:p>
                      <w:p w14:paraId="72DABDD5" w14:textId="77777777" w:rsidR="00E6279B" w:rsidRDefault="00E6279B" w:rsidP="00E6279B">
                        <w:pPr>
                          <w:spacing w:line="169" w:lineRule="exact"/>
                          <w:ind w:right="18"/>
                          <w:jc w:val="right"/>
                          <w:rPr>
                            <w:rFonts w:ascii="Calibri"/>
                            <w:sz w:val="14"/>
                          </w:rPr>
                        </w:pPr>
                        <w:r>
                          <w:rPr>
                            <w:rFonts w:ascii="Calibri"/>
                            <w:spacing w:val="-2"/>
                            <w:sz w:val="14"/>
                          </w:rPr>
                          <w:t>-</w:t>
                        </w:r>
                        <w:r>
                          <w:rPr>
                            <w:rFonts w:ascii="Calibri"/>
                            <w:spacing w:val="-5"/>
                            <w:sz w:val="14"/>
                          </w:rPr>
                          <w:t>20</w:t>
                        </w:r>
                      </w:p>
                    </w:txbxContent>
                  </v:textbox>
                </v:shape>
                <v:shape id="Textbox 143" o:spid="_x0000_s1101" type="#_x0000_t202" style="position:absolute;left:3935;top:12647;width:1969;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50341131" w14:textId="77777777" w:rsidR="00E6279B" w:rsidRDefault="00E6279B" w:rsidP="00E6279B">
                        <w:pPr>
                          <w:spacing w:line="143" w:lineRule="exact"/>
                          <w:rPr>
                            <w:rFonts w:ascii="Calibri"/>
                            <w:b/>
                            <w:sz w:val="14"/>
                          </w:rPr>
                        </w:pPr>
                        <w:r>
                          <w:rPr>
                            <w:rFonts w:ascii="Calibri"/>
                            <w:b/>
                            <w:spacing w:val="-4"/>
                            <w:sz w:val="14"/>
                          </w:rPr>
                          <w:t>2018</w:t>
                        </w:r>
                      </w:p>
                    </w:txbxContent>
                  </v:textbox>
                </v:shape>
                <v:shape id="Textbox 144" o:spid="_x0000_s1102" type="#_x0000_t202" style="position:absolute;left:9213;top:12647;width:1969;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082FB6C4" w14:textId="77777777" w:rsidR="00E6279B" w:rsidRDefault="00E6279B" w:rsidP="00E6279B">
                        <w:pPr>
                          <w:spacing w:line="143" w:lineRule="exact"/>
                          <w:rPr>
                            <w:rFonts w:ascii="Calibri"/>
                            <w:b/>
                            <w:sz w:val="14"/>
                          </w:rPr>
                        </w:pPr>
                        <w:r>
                          <w:rPr>
                            <w:rFonts w:ascii="Calibri"/>
                            <w:b/>
                            <w:spacing w:val="-4"/>
                            <w:sz w:val="14"/>
                          </w:rPr>
                          <w:t>2019</w:t>
                        </w:r>
                      </w:p>
                    </w:txbxContent>
                  </v:textbox>
                </v:shape>
                <v:shape id="Textbox 145" o:spid="_x0000_s1103" type="#_x0000_t202" style="position:absolute;left:14491;top:12647;width:1969;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265A32A1" w14:textId="77777777" w:rsidR="00E6279B" w:rsidRDefault="00E6279B" w:rsidP="00E6279B">
                        <w:pPr>
                          <w:spacing w:line="143" w:lineRule="exact"/>
                          <w:rPr>
                            <w:rFonts w:ascii="Calibri"/>
                            <w:b/>
                            <w:sz w:val="14"/>
                          </w:rPr>
                        </w:pPr>
                        <w:r>
                          <w:rPr>
                            <w:rFonts w:ascii="Calibri"/>
                            <w:b/>
                            <w:spacing w:val="-4"/>
                            <w:sz w:val="14"/>
                          </w:rPr>
                          <w:t>2020</w:t>
                        </w:r>
                      </w:p>
                    </w:txbxContent>
                  </v:textbox>
                </v:shape>
                <v:shape id="Textbox 146" o:spid="_x0000_s1104" type="#_x0000_t202" style="position:absolute;left:19769;top:12647;width:1968;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749F105C" w14:textId="77777777" w:rsidR="00E6279B" w:rsidRDefault="00E6279B" w:rsidP="00E6279B">
                        <w:pPr>
                          <w:spacing w:line="143" w:lineRule="exact"/>
                          <w:rPr>
                            <w:rFonts w:ascii="Calibri"/>
                            <w:b/>
                            <w:sz w:val="14"/>
                          </w:rPr>
                        </w:pPr>
                        <w:r>
                          <w:rPr>
                            <w:rFonts w:ascii="Calibri"/>
                            <w:b/>
                            <w:spacing w:val="-4"/>
                            <w:sz w:val="14"/>
                          </w:rPr>
                          <w:t>2021</w:t>
                        </w:r>
                      </w:p>
                    </w:txbxContent>
                  </v:textbox>
                </v:shape>
                <v:shape id="Textbox 147" o:spid="_x0000_s1105" type="#_x0000_t202" style="position:absolute;left:25047;top:12647;width:1968;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5BF9716D" w14:textId="77777777" w:rsidR="00E6279B" w:rsidRDefault="00E6279B" w:rsidP="00E6279B">
                        <w:pPr>
                          <w:spacing w:line="143" w:lineRule="exact"/>
                          <w:rPr>
                            <w:rFonts w:ascii="Calibri"/>
                            <w:b/>
                            <w:sz w:val="14"/>
                          </w:rPr>
                        </w:pPr>
                        <w:r>
                          <w:rPr>
                            <w:rFonts w:ascii="Calibri"/>
                            <w:b/>
                            <w:spacing w:val="-4"/>
                            <w:sz w:val="14"/>
                          </w:rPr>
                          <w:t>2022</w:t>
                        </w:r>
                      </w:p>
                    </w:txbxContent>
                  </v:textbox>
                </v:shape>
                <v:shape id="Textbox 148" o:spid="_x0000_s1106" type="#_x0000_t202" style="position:absolute;left:3255;top:14147;width:25622;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77828BA9" w14:textId="77777777" w:rsidR="00E6279B" w:rsidRDefault="00E6279B" w:rsidP="00E6279B">
                        <w:pPr>
                          <w:tabs>
                            <w:tab w:val="left" w:pos="2175"/>
                          </w:tabs>
                          <w:spacing w:line="132" w:lineRule="exact"/>
                          <w:ind w:left="29"/>
                          <w:rPr>
                            <w:rFonts w:ascii="Calibri"/>
                            <w:sz w:val="13"/>
                          </w:rPr>
                        </w:pPr>
                        <w:r>
                          <w:rPr>
                            <w:rFonts w:ascii="Calibri"/>
                            <w:spacing w:val="-2"/>
                            <w:sz w:val="13"/>
                          </w:rPr>
                          <w:t>Workers'</w:t>
                        </w:r>
                        <w:r>
                          <w:rPr>
                            <w:rFonts w:ascii="Calibri"/>
                            <w:spacing w:val="11"/>
                            <w:sz w:val="13"/>
                          </w:rPr>
                          <w:t xml:space="preserve"> </w:t>
                        </w:r>
                        <w:r>
                          <w:rPr>
                            <w:rFonts w:ascii="Calibri"/>
                            <w:spacing w:val="-2"/>
                            <w:sz w:val="13"/>
                          </w:rPr>
                          <w:t>remittances</w:t>
                        </w:r>
                        <w:r>
                          <w:rPr>
                            <w:rFonts w:ascii="Calibri"/>
                            <w:spacing w:val="11"/>
                            <w:sz w:val="13"/>
                          </w:rPr>
                          <w:t xml:space="preserve"> </w:t>
                        </w:r>
                        <w:r>
                          <w:rPr>
                            <w:rFonts w:ascii="Calibri"/>
                            <w:spacing w:val="-2"/>
                            <w:sz w:val="13"/>
                          </w:rPr>
                          <w:t>balance</w:t>
                        </w:r>
                        <w:r>
                          <w:rPr>
                            <w:rFonts w:ascii="Calibri"/>
                            <w:sz w:val="13"/>
                          </w:rPr>
                          <w:tab/>
                          <w:t>Goods</w:t>
                        </w:r>
                        <w:r>
                          <w:rPr>
                            <w:rFonts w:ascii="Calibri"/>
                            <w:spacing w:val="-4"/>
                            <w:sz w:val="13"/>
                          </w:rPr>
                          <w:t xml:space="preserve"> </w:t>
                        </w:r>
                        <w:r>
                          <w:rPr>
                            <w:rFonts w:ascii="Calibri"/>
                            <w:sz w:val="13"/>
                          </w:rPr>
                          <w:t>and</w:t>
                        </w:r>
                        <w:r>
                          <w:rPr>
                            <w:rFonts w:ascii="Calibri"/>
                            <w:spacing w:val="-3"/>
                            <w:sz w:val="13"/>
                          </w:rPr>
                          <w:t xml:space="preserve"> </w:t>
                        </w:r>
                        <w:r>
                          <w:rPr>
                            <w:rFonts w:ascii="Calibri"/>
                            <w:sz w:val="13"/>
                          </w:rPr>
                          <w:t>services</w:t>
                        </w:r>
                        <w:r>
                          <w:rPr>
                            <w:rFonts w:ascii="Calibri"/>
                            <w:spacing w:val="-5"/>
                            <w:sz w:val="13"/>
                          </w:rPr>
                          <w:t xml:space="preserve"> </w:t>
                        </w:r>
                        <w:r>
                          <w:rPr>
                            <w:rFonts w:ascii="Calibri"/>
                            <w:sz w:val="13"/>
                          </w:rPr>
                          <w:t>trade</w:t>
                        </w:r>
                        <w:r>
                          <w:rPr>
                            <w:rFonts w:ascii="Calibri"/>
                            <w:spacing w:val="-5"/>
                            <w:sz w:val="13"/>
                          </w:rPr>
                          <w:t xml:space="preserve"> </w:t>
                        </w:r>
                        <w:r>
                          <w:rPr>
                            <w:rFonts w:ascii="Calibri"/>
                            <w:spacing w:val="-2"/>
                            <w:sz w:val="13"/>
                          </w:rPr>
                          <w:t>balance</w:t>
                        </w:r>
                      </w:p>
                      <w:p w14:paraId="6634BB4B" w14:textId="77777777" w:rsidR="00E6279B" w:rsidRDefault="00E6279B" w:rsidP="00E6279B">
                        <w:pPr>
                          <w:tabs>
                            <w:tab w:val="left" w:pos="2175"/>
                          </w:tabs>
                          <w:spacing w:before="33"/>
                          <w:rPr>
                            <w:rFonts w:ascii="Calibri"/>
                            <w:sz w:val="13"/>
                          </w:rPr>
                        </w:pPr>
                        <w:r>
                          <w:rPr>
                            <w:rFonts w:ascii="Calibri"/>
                            <w:sz w:val="13"/>
                          </w:rPr>
                          <w:t>Current</w:t>
                        </w:r>
                        <w:r>
                          <w:rPr>
                            <w:rFonts w:ascii="Calibri"/>
                            <w:spacing w:val="-6"/>
                            <w:sz w:val="13"/>
                          </w:rPr>
                          <w:t xml:space="preserve"> </w:t>
                        </w:r>
                        <w:proofErr w:type="spellStart"/>
                        <w:r>
                          <w:rPr>
                            <w:rFonts w:ascii="Calibri"/>
                            <w:sz w:val="13"/>
                          </w:rPr>
                          <w:t>a</w:t>
                        </w:r>
                        <w:r>
                          <w:rPr>
                            <w:rFonts w:ascii="Calibri"/>
                            <w:sz w:val="13"/>
                          </w:rPr>
                          <w:t>ç</w:t>
                        </w:r>
                        <w:r>
                          <w:rPr>
                            <w:rFonts w:ascii="Calibri"/>
                            <w:sz w:val="13"/>
                          </w:rPr>
                          <w:t>ount</w:t>
                        </w:r>
                        <w:proofErr w:type="spellEnd"/>
                        <w:r>
                          <w:rPr>
                            <w:rFonts w:ascii="Calibri"/>
                            <w:spacing w:val="-5"/>
                            <w:sz w:val="13"/>
                          </w:rPr>
                          <w:t xml:space="preserve"> </w:t>
                        </w:r>
                        <w:r>
                          <w:rPr>
                            <w:rFonts w:ascii="Calibri"/>
                            <w:spacing w:val="-2"/>
                            <w:sz w:val="13"/>
                          </w:rPr>
                          <w:t>balance</w:t>
                        </w:r>
                        <w:r>
                          <w:rPr>
                            <w:rFonts w:ascii="Calibri"/>
                            <w:sz w:val="13"/>
                          </w:rPr>
                          <w:tab/>
                          <w:t>Net</w:t>
                        </w:r>
                        <w:r>
                          <w:rPr>
                            <w:rFonts w:ascii="Calibri"/>
                            <w:spacing w:val="-3"/>
                            <w:sz w:val="13"/>
                          </w:rPr>
                          <w:t xml:space="preserve"> </w:t>
                        </w:r>
                        <w:r>
                          <w:rPr>
                            <w:rFonts w:ascii="Calibri"/>
                            <w:spacing w:val="-5"/>
                            <w:sz w:val="13"/>
                          </w:rPr>
                          <w:t>FDI</w:t>
                        </w:r>
                      </w:p>
                      <w:p w14:paraId="1002117A" w14:textId="77777777" w:rsidR="00E6279B" w:rsidRDefault="00E6279B" w:rsidP="00E6279B">
                        <w:pPr>
                          <w:spacing w:before="51" w:line="169" w:lineRule="exact"/>
                          <w:ind w:left="1675"/>
                          <w:rPr>
                            <w:rFonts w:ascii="Calibri"/>
                            <w:i/>
                            <w:sz w:val="14"/>
                          </w:rPr>
                        </w:pPr>
                        <w:r>
                          <w:rPr>
                            <w:rFonts w:ascii="Calibri"/>
                            <w:i/>
                            <w:sz w:val="14"/>
                          </w:rPr>
                          <w:t>Source:</w:t>
                        </w:r>
                        <w:r>
                          <w:rPr>
                            <w:rFonts w:ascii="Calibri"/>
                            <w:i/>
                            <w:spacing w:val="1"/>
                            <w:sz w:val="14"/>
                          </w:rPr>
                          <w:t xml:space="preserve"> </w:t>
                        </w:r>
                        <w:r>
                          <w:rPr>
                            <w:rFonts w:ascii="Calibri"/>
                            <w:i/>
                            <w:sz w:val="14"/>
                          </w:rPr>
                          <w:t>IMF</w:t>
                        </w:r>
                        <w:r>
                          <w:rPr>
                            <w:rFonts w:ascii="Calibri"/>
                            <w:i/>
                            <w:spacing w:val="2"/>
                            <w:sz w:val="14"/>
                          </w:rPr>
                          <w:t xml:space="preserve"> </w:t>
                        </w:r>
                        <w:r>
                          <w:rPr>
                            <w:rFonts w:ascii="Calibri"/>
                            <w:i/>
                            <w:sz w:val="14"/>
                          </w:rPr>
                          <w:t>and</w:t>
                        </w:r>
                        <w:r>
                          <w:rPr>
                            <w:rFonts w:ascii="Calibri"/>
                            <w:i/>
                            <w:spacing w:val="6"/>
                            <w:sz w:val="14"/>
                          </w:rPr>
                          <w:t xml:space="preserve"> </w:t>
                        </w:r>
                        <w:r>
                          <w:rPr>
                            <w:rFonts w:ascii="Calibri"/>
                            <w:i/>
                            <w:sz w:val="14"/>
                          </w:rPr>
                          <w:t>Central Bank</w:t>
                        </w:r>
                        <w:r>
                          <w:rPr>
                            <w:rFonts w:ascii="Calibri"/>
                            <w:i/>
                            <w:spacing w:val="4"/>
                            <w:sz w:val="14"/>
                          </w:rPr>
                          <w:t xml:space="preserve"> </w:t>
                        </w:r>
                        <w:r>
                          <w:rPr>
                            <w:rFonts w:ascii="Calibri"/>
                            <w:i/>
                            <w:sz w:val="14"/>
                          </w:rPr>
                          <w:t>of</w:t>
                        </w:r>
                        <w:r>
                          <w:rPr>
                            <w:rFonts w:ascii="Calibri"/>
                            <w:i/>
                            <w:spacing w:val="5"/>
                            <w:sz w:val="14"/>
                          </w:rPr>
                          <w:t xml:space="preserve"> </w:t>
                        </w:r>
                        <w:r>
                          <w:rPr>
                            <w:rFonts w:ascii="Calibri"/>
                            <w:i/>
                            <w:spacing w:val="-2"/>
                            <w:sz w:val="14"/>
                          </w:rPr>
                          <w:t>Albania</w:t>
                        </w:r>
                      </w:p>
                    </w:txbxContent>
                  </v:textbox>
                </v:shape>
                <w10:wrap type="through" anchorx="page"/>
              </v:group>
            </w:pict>
          </mc:Fallback>
        </mc:AlternateContent>
      </w:r>
      <w:r w:rsidRPr="0032048B">
        <w:rPr>
          <w:b/>
          <w:sz w:val="24"/>
          <w:szCs w:val="24"/>
          <w:lang w:val="sq-AL"/>
        </w:rPr>
        <w:t xml:space="preserve">deficitin e llogarive </w:t>
      </w:r>
      <w:proofErr w:type="spellStart"/>
      <w:r w:rsidRPr="0032048B">
        <w:rPr>
          <w:b/>
          <w:sz w:val="24"/>
          <w:szCs w:val="24"/>
          <w:lang w:val="sq-AL"/>
        </w:rPr>
        <w:t>korente</w:t>
      </w:r>
      <w:proofErr w:type="spellEnd"/>
      <w:r w:rsidRPr="0032048B">
        <w:rPr>
          <w:b/>
          <w:sz w:val="24"/>
          <w:szCs w:val="24"/>
          <w:lang w:val="sq-AL"/>
        </w:rPr>
        <w:t xml:space="preserve"> në vitin 2022. </w:t>
      </w:r>
      <w:r w:rsidRPr="0032048B">
        <w:rPr>
          <w:bCs/>
          <w:sz w:val="24"/>
          <w:szCs w:val="24"/>
          <w:lang w:val="sq-AL"/>
        </w:rPr>
        <w:t xml:space="preserve">Përfundimi i projekteve të mëdha energjetike çuan në një trend rënës të flukseve hyrëse të FDI-ve pasi arritën vlerën më ët lartë prej mbi 8% të PBB-së në periudhën 2015-2019, por ato u rritën me 19% në vitin 2022, gjë që e çoi vlerën në 6,7% të PBB-së në vitin 2022 nga 6,4% në vitin 2021. Flukset hyrëse të FDI-ve financuan përsëri plotësisht deficitin e llogarive </w:t>
      </w:r>
      <w:proofErr w:type="spellStart"/>
      <w:r w:rsidRPr="0032048B">
        <w:rPr>
          <w:bCs/>
          <w:sz w:val="24"/>
          <w:szCs w:val="24"/>
          <w:lang w:val="sq-AL"/>
        </w:rPr>
        <w:t>korente</w:t>
      </w:r>
      <w:proofErr w:type="spellEnd"/>
      <w:r w:rsidRPr="0032048B">
        <w:rPr>
          <w:bCs/>
          <w:sz w:val="24"/>
          <w:szCs w:val="24"/>
          <w:lang w:val="sq-AL"/>
        </w:rPr>
        <w:t xml:space="preserve"> në vitin 2022, pas një mungese në vitet </w:t>
      </w:r>
      <w:r w:rsidRPr="0032048B">
        <w:rPr>
          <w:sz w:val="24"/>
          <w:szCs w:val="24"/>
          <w:lang w:val="sq-AL"/>
        </w:rPr>
        <w:t>2020 dhe 2021.</w:t>
      </w:r>
      <w:r w:rsidR="004D53EC">
        <w:rPr>
          <w:sz w:val="24"/>
          <w:szCs w:val="24"/>
          <w:lang w:val="sq-AL"/>
        </w:rPr>
        <w:t xml:space="preserve"> </w:t>
      </w:r>
      <w:r w:rsidRPr="0032048B">
        <w:rPr>
          <w:sz w:val="24"/>
          <w:szCs w:val="24"/>
          <w:lang w:val="sq-AL"/>
        </w:rPr>
        <w:t xml:space="preserve">Borxhi publik i jashtëm pësoi një ulje nominale </w:t>
      </w:r>
    </w:p>
    <w:p w14:paraId="32DB5817" w14:textId="7EF41C5F" w:rsidR="00E6279B" w:rsidRPr="0032048B" w:rsidRDefault="00E6279B" w:rsidP="00117B81">
      <w:pPr>
        <w:ind w:left="990" w:right="977"/>
        <w:jc w:val="both"/>
        <w:rPr>
          <w:sz w:val="24"/>
          <w:szCs w:val="24"/>
          <w:highlight w:val="yellow"/>
          <w:lang w:val="sq-AL"/>
        </w:rPr>
      </w:pPr>
      <w:r w:rsidRPr="0032048B">
        <w:rPr>
          <w:sz w:val="24"/>
          <w:szCs w:val="24"/>
          <w:lang w:val="sq-AL"/>
        </w:rPr>
        <w:t xml:space="preserve">me 3,3% (në terma të PBB-së nga 32% në 26,1%) dhe në përgjithësi borxhi i jashtëm u ul me </w:t>
      </w:r>
    </w:p>
    <w:p w14:paraId="23CF301E" w14:textId="660B5AE3" w:rsidR="00E6279B" w:rsidRPr="0032048B" w:rsidRDefault="00117B81" w:rsidP="00117B81">
      <w:pPr>
        <w:ind w:left="990" w:right="976"/>
        <w:jc w:val="both"/>
        <w:rPr>
          <w:sz w:val="24"/>
          <w:szCs w:val="24"/>
          <w:lang w:val="sq-AL"/>
        </w:rPr>
      </w:pPr>
      <w:r w:rsidRPr="0032048B">
        <w:rPr>
          <w:sz w:val="24"/>
          <w:szCs w:val="24"/>
          <w:highlight w:val="yellow"/>
          <w:lang w:val="sq-AL"/>
        </w:rPr>
        <mc:AlternateContent>
          <mc:Choice Requires="wps">
            <w:drawing>
              <wp:anchor distT="0" distB="0" distL="0" distR="0" simplePos="0" relativeHeight="251668480" behindDoc="1" locked="0" layoutInCell="1" allowOverlap="1" wp14:anchorId="398725D5" wp14:editId="6B58D953">
                <wp:simplePos x="0" y="0"/>
                <wp:positionH relativeFrom="page">
                  <wp:posOffset>913765</wp:posOffset>
                </wp:positionH>
                <wp:positionV relativeFrom="paragraph">
                  <wp:posOffset>1774161</wp:posOffset>
                </wp:positionV>
                <wp:extent cx="1828800" cy="9525"/>
                <wp:effectExtent l="0" t="0" r="0" b="0"/>
                <wp:wrapTopAndBottom/>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A69B3A" id="Graphic 149" o:spid="_x0000_s1026" style="position:absolute;margin-left:71.95pt;margin-top:139.7pt;width:2in;height:.75pt;z-index:-25164800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" path="m1828800,l,,,9143r1828800,l1828800,xe" fillcolor="black" stroked="f">
                <v:path arrowok="t"/>
                <w10:wrap type="topAndBottom" anchorx="page"/>
              </v:shape>
            </w:pict>
          </mc:Fallback>
        </mc:AlternateContent>
      </w:r>
      <w:r w:rsidR="00E6279B" w:rsidRPr="0032048B">
        <w:rPr>
          <w:sz w:val="24"/>
          <w:szCs w:val="24"/>
          <w:lang w:val="sq-AL"/>
        </w:rPr>
        <w:t>10</w:t>
      </w:r>
      <w:r w:rsidR="00E6279B" w:rsidRPr="0032048B">
        <w:rPr>
          <w:spacing w:val="-2"/>
          <w:sz w:val="24"/>
          <w:szCs w:val="24"/>
          <w:lang w:val="sq-AL"/>
        </w:rPr>
        <w:t xml:space="preserve"> </w:t>
      </w:r>
      <w:r w:rsidR="00E6279B" w:rsidRPr="0032048B">
        <w:rPr>
          <w:sz w:val="24"/>
          <w:szCs w:val="24"/>
          <w:lang w:val="sq-AL"/>
        </w:rPr>
        <w:t>pikë p</w:t>
      </w:r>
      <w:r w:rsidR="000857D8">
        <w:rPr>
          <w:sz w:val="24"/>
          <w:szCs w:val="24"/>
          <w:lang w:val="sq-AL"/>
        </w:rPr>
        <w:t>ë</w:t>
      </w:r>
      <w:r w:rsidR="00E6279B" w:rsidRPr="0032048B">
        <w:rPr>
          <w:sz w:val="24"/>
          <w:szCs w:val="24"/>
          <w:lang w:val="sq-AL"/>
        </w:rPr>
        <w:t xml:space="preserve">rqindje në 54,6% të PBB-së në vitin 2022. Duke përdorur rezervat e </w:t>
      </w:r>
      <w:proofErr w:type="spellStart"/>
      <w:r w:rsidR="00E6279B" w:rsidRPr="0032048B">
        <w:rPr>
          <w:sz w:val="24"/>
          <w:szCs w:val="24"/>
          <w:lang w:val="sq-AL"/>
        </w:rPr>
        <w:t>Eurobondit</w:t>
      </w:r>
      <w:proofErr w:type="spellEnd"/>
      <w:r w:rsidR="00E6279B" w:rsidRPr="0032048B">
        <w:rPr>
          <w:sz w:val="24"/>
          <w:szCs w:val="24"/>
          <w:lang w:val="sq-AL"/>
        </w:rPr>
        <w:t xml:space="preserve"> të vitit 2021 dhe në kuadër të rrethanave më pak të favorshme mbi tregjet e kapitalit, qeveria shqiptare emetoi</w:t>
      </w:r>
      <w:r w:rsidR="004D53EC">
        <w:rPr>
          <w:sz w:val="24"/>
          <w:szCs w:val="24"/>
          <w:lang w:val="sq-AL"/>
        </w:rPr>
        <w:t xml:space="preserve"> </w:t>
      </w:r>
      <w:proofErr w:type="spellStart"/>
      <w:r w:rsidR="00E6279B" w:rsidRPr="0032048B">
        <w:rPr>
          <w:sz w:val="24"/>
          <w:szCs w:val="24"/>
          <w:lang w:val="sq-AL"/>
        </w:rPr>
        <w:t>Eurobondin</w:t>
      </w:r>
      <w:proofErr w:type="spellEnd"/>
      <w:r w:rsidR="00E6279B" w:rsidRPr="0032048B">
        <w:rPr>
          <w:sz w:val="24"/>
          <w:szCs w:val="24"/>
          <w:lang w:val="sq-AL"/>
        </w:rPr>
        <w:t xml:space="preserve"> e saj të 6-të në qershor të vitit 2023</w:t>
      </w:r>
      <w:hyperlink w:anchor="_bookmark17" w:history="1">
        <w:r w:rsidR="00E6279B" w:rsidRPr="0032048B">
          <w:rPr>
            <w:sz w:val="24"/>
            <w:szCs w:val="24"/>
            <w:vertAlign w:val="superscript"/>
            <w:lang w:val="sq-AL"/>
          </w:rPr>
          <w:t>4</w:t>
        </w:r>
      </w:hyperlink>
      <w:r w:rsidR="00E6279B" w:rsidRPr="0032048B">
        <w:rPr>
          <w:sz w:val="24"/>
          <w:szCs w:val="24"/>
          <w:lang w:val="sq-AL"/>
        </w:rPr>
        <w:t>, gjë që rriti borxhin e jashtëm publik me 5,2% në tre-mujorin e dytë të vitit 2023 krahasuar me tre-mujorin e dytë të vitit 2022. Rezervat e këmbimit valutor të huaj janë shtuar vazhdimisht gjatë viteve dhe qëndruan në vlerën rreth 5 miliardë euro gjatë gjithë vitit 2022 dhe deri në maj të vitit 2023, përpara se të rriteshin në vlerën 5,6 miliardë në korrik të vitit 2023, pas dy ndërhyrjeve në tregun e monedhës së huaj për të adresuar një rritje të vlerësimit të monedhës. Rezervat vazhduan të mbulojnë në mënyrë të qëndrueshme 7 muaj të importeve të mallrave dhe shërbimeve dhe mbi pesë herë borxhin e jashtëm afatshkurtër.</w:t>
      </w:r>
    </w:p>
    <w:p w14:paraId="2519567A" w14:textId="25B71687" w:rsidR="00117B81" w:rsidRPr="0032048B" w:rsidRDefault="00117B81" w:rsidP="00117B81">
      <w:pPr>
        <w:spacing w:before="98"/>
        <w:ind w:left="980"/>
        <w:rPr>
          <w:rFonts w:ascii="Calibri"/>
          <w:sz w:val="20"/>
          <w:lang w:val="sq-AL"/>
        </w:rPr>
      </w:pPr>
      <w:r w:rsidRPr="0032048B">
        <w:rPr>
          <w:rFonts w:ascii="Calibri"/>
          <w:sz w:val="20"/>
          <w:vertAlign w:val="superscript"/>
          <w:lang w:val="sq-AL"/>
        </w:rPr>
        <w:t>4</w:t>
      </w:r>
      <w:r w:rsidRPr="0032048B">
        <w:rPr>
          <w:rFonts w:ascii="Calibri"/>
          <w:spacing w:val="-3"/>
          <w:sz w:val="20"/>
          <w:lang w:val="sq-AL"/>
        </w:rPr>
        <w:t xml:space="preserve"> </w:t>
      </w:r>
      <w:r w:rsidRPr="0032048B">
        <w:rPr>
          <w:rFonts w:ascii="Calibri"/>
          <w:sz w:val="20"/>
          <w:lang w:val="sq-AL"/>
        </w:rPr>
        <w:t>600</w:t>
      </w:r>
      <w:r w:rsidRPr="0032048B">
        <w:rPr>
          <w:rFonts w:ascii="Calibri"/>
          <w:spacing w:val="-3"/>
          <w:sz w:val="20"/>
          <w:lang w:val="sq-AL"/>
        </w:rPr>
        <w:t xml:space="preserve"> milion euro, 5 vjet </w:t>
      </w:r>
      <w:proofErr w:type="spellStart"/>
      <w:r w:rsidRPr="0032048B">
        <w:rPr>
          <w:rFonts w:ascii="Calibri"/>
          <w:spacing w:val="-3"/>
          <w:sz w:val="20"/>
          <w:lang w:val="sq-AL"/>
        </w:rPr>
        <w:t>maturim</w:t>
      </w:r>
      <w:proofErr w:type="spellEnd"/>
      <w:r w:rsidRPr="0032048B">
        <w:rPr>
          <w:rFonts w:ascii="Calibri"/>
          <w:spacing w:val="-3"/>
          <w:sz w:val="20"/>
          <w:lang w:val="sq-AL"/>
        </w:rPr>
        <w:t>, me nj</w:t>
      </w:r>
      <w:r w:rsidRPr="0032048B">
        <w:rPr>
          <w:rFonts w:ascii="Calibri"/>
          <w:spacing w:val="-3"/>
          <w:sz w:val="20"/>
          <w:lang w:val="sq-AL"/>
        </w:rPr>
        <w:t>ë</w:t>
      </w:r>
      <w:r w:rsidRPr="0032048B">
        <w:rPr>
          <w:rFonts w:ascii="Calibri"/>
          <w:spacing w:val="-3"/>
          <w:sz w:val="20"/>
          <w:lang w:val="sq-AL"/>
        </w:rPr>
        <w:t xml:space="preserve"> kupon prej </w:t>
      </w:r>
      <w:r w:rsidRPr="0032048B">
        <w:rPr>
          <w:rFonts w:ascii="Calibri"/>
          <w:spacing w:val="-4"/>
          <w:sz w:val="20"/>
          <w:lang w:val="sq-AL"/>
        </w:rPr>
        <w:t>5,9%.</w:t>
      </w:r>
    </w:p>
    <w:p w14:paraId="17189503" w14:textId="386039D8" w:rsidR="00117B81" w:rsidRPr="0032048B" w:rsidRDefault="00117B81" w:rsidP="00117B81">
      <w:pPr>
        <w:ind w:left="990" w:right="976"/>
        <w:jc w:val="both"/>
        <w:rPr>
          <w:sz w:val="24"/>
          <w:szCs w:val="24"/>
          <w:lang w:val="sq-AL"/>
        </w:rPr>
      </w:pPr>
    </w:p>
    <w:p w14:paraId="5E75A67E" w14:textId="5A8B79BE" w:rsidR="00E6279B" w:rsidRPr="0032048B" w:rsidRDefault="00E6279B" w:rsidP="00E6279B">
      <w:pPr>
        <w:spacing w:before="62"/>
        <w:ind w:left="980" w:right="979"/>
        <w:jc w:val="both"/>
        <w:rPr>
          <w:sz w:val="24"/>
          <w:szCs w:val="24"/>
          <w:highlight w:val="yellow"/>
          <w:lang w:val="sq-AL"/>
        </w:rPr>
      </w:pPr>
      <w:r w:rsidRPr="0032048B">
        <w:rPr>
          <w:b/>
          <w:sz w:val="24"/>
          <w:szCs w:val="24"/>
          <w:lang w:val="sq-AL"/>
        </w:rPr>
        <w:t xml:space="preserve">Inflacioni u rrit në mënyrë të konsiderueshme, edhe pse më pak se vendet e ngjashme me Shqipërinë, dhe Banka e Shqipërisë filloi rritjen e normës së politikës monetare. </w:t>
      </w:r>
      <w:r w:rsidRPr="0032048B">
        <w:rPr>
          <w:bCs/>
          <w:sz w:val="24"/>
          <w:szCs w:val="24"/>
          <w:lang w:val="sq-AL"/>
        </w:rPr>
        <w:t xml:space="preserve">Inflacioni vjetor arriti vlerën 2% në vitin 2021, por u ngrit mjaft shpejt nga fundi i vitit 2021 për shkak të rritjes së çmimeve ndërkombëtare të ushqimeve dhe energjisë në një vlerë mesatare prej 6,7% në vitin 2022. Megjithatë, ajo mbetet më e ulëta në rajon, falë çmimeve të subvencionuara të energjisë elektrike me pakicë dhe vlerësimit të lekut përkundrejt euros, kryesisht falë flukseve të jashtme domethënëse nga turizmi dhe FDI-të. Në përgjigje të tejkalimit të objektivit 3% të normës së inflacionit, dhe forcimit të presionit të çmimeve të nxitur nga kërkesa në vend, </w:t>
      </w:r>
      <w:r w:rsidRPr="0032048B">
        <w:rPr>
          <w:sz w:val="24"/>
          <w:szCs w:val="24"/>
          <w:lang w:val="sq-AL"/>
        </w:rPr>
        <w:t>Banka e Shqipërisë (</w:t>
      </w:r>
      <w:proofErr w:type="spellStart"/>
      <w:r w:rsidRPr="0032048B">
        <w:rPr>
          <w:sz w:val="24"/>
          <w:szCs w:val="24"/>
          <w:lang w:val="sq-AL"/>
        </w:rPr>
        <w:t>BSh</w:t>
      </w:r>
      <w:proofErr w:type="spellEnd"/>
      <w:r w:rsidRPr="0032048B">
        <w:rPr>
          <w:sz w:val="24"/>
          <w:szCs w:val="24"/>
          <w:lang w:val="sq-AL"/>
        </w:rPr>
        <w:t>) e rriti normën e politikave me 2,75</w:t>
      </w:r>
      <w:r w:rsidRPr="0032048B">
        <w:rPr>
          <w:spacing w:val="-3"/>
          <w:sz w:val="24"/>
          <w:szCs w:val="24"/>
          <w:lang w:val="sq-AL"/>
        </w:rPr>
        <w:t xml:space="preserve"> </w:t>
      </w:r>
      <w:r w:rsidRPr="0032048B">
        <w:rPr>
          <w:sz w:val="24"/>
          <w:szCs w:val="24"/>
          <w:lang w:val="sq-AL"/>
        </w:rPr>
        <w:t>pikë p</w:t>
      </w:r>
      <w:r w:rsidR="004D53EC">
        <w:rPr>
          <w:sz w:val="24"/>
          <w:szCs w:val="24"/>
          <w:lang w:val="sq-AL"/>
        </w:rPr>
        <w:t>ë</w:t>
      </w:r>
      <w:r w:rsidRPr="0032048B">
        <w:rPr>
          <w:sz w:val="24"/>
          <w:szCs w:val="24"/>
          <w:lang w:val="sq-AL"/>
        </w:rPr>
        <w:t>rqindje në disa faza për të arritur në vlerën 3% në mars të vitit 2023.</w:t>
      </w:r>
      <w:r w:rsidR="004D53EC">
        <w:rPr>
          <w:sz w:val="24"/>
          <w:szCs w:val="24"/>
          <w:lang w:val="sq-AL"/>
        </w:rPr>
        <w:t xml:space="preserve"> </w:t>
      </w:r>
    </w:p>
    <w:p w14:paraId="69977936" w14:textId="4A96474D" w:rsidR="00E6279B" w:rsidRPr="0032048B" w:rsidRDefault="00E6279B" w:rsidP="00117B81">
      <w:pPr>
        <w:spacing w:before="62"/>
        <w:ind w:left="980" w:right="979"/>
        <w:jc w:val="both"/>
        <w:rPr>
          <w:sz w:val="24"/>
          <w:szCs w:val="24"/>
          <w:highlight w:val="yellow"/>
          <w:lang w:val="sq-AL"/>
        </w:rPr>
      </w:pPr>
      <w:r w:rsidRPr="0032048B">
        <w:rPr>
          <w:spacing w:val="-2"/>
          <w:sz w:val="24"/>
          <w:szCs w:val="24"/>
          <w:lang w:val="sq-AL"/>
        </w:rPr>
        <w:t xml:space="preserve">Norma e inflacionit ka qenë në ulje që nga nëntori i vitit 2022, në vlerën 4% në gusht të vitit 2023, ndërkohë që rritja e çmimeve për ushqimin, energjinë dhe transportin u ngadalësua, vlerësimi i lekut shqiptar përkundrejt euros u përshpejtua (nga 2,8% në vitin 2022 në 7,8% vit pas viti në periudhën janar-gusht 2023) </w:t>
      </w:r>
      <w:r w:rsidRPr="0032048B">
        <w:rPr>
          <w:sz w:val="24"/>
          <w:szCs w:val="24"/>
          <w:lang w:val="sq-AL"/>
        </w:rPr>
        <w:t xml:space="preserve">dhe kushtet e tregut financiar u shtrënguan. </w:t>
      </w:r>
    </w:p>
    <w:p w14:paraId="2060BD1F" w14:textId="77777777" w:rsidR="00E6279B" w:rsidRPr="0032048B" w:rsidRDefault="00E6279B" w:rsidP="00E6279B">
      <w:pPr>
        <w:spacing w:before="120"/>
        <w:ind w:left="980" w:right="5590"/>
        <w:jc w:val="both"/>
        <w:rPr>
          <w:lang w:val="sq-AL"/>
        </w:rPr>
      </w:pPr>
      <w:r w:rsidRPr="0032048B">
        <w:rPr>
          <w:lang w:val="sq-AL"/>
        </w:rPr>
        <mc:AlternateContent>
          <mc:Choice Requires="wpg">
            <w:drawing>
              <wp:anchor distT="0" distB="0" distL="0" distR="0" simplePos="0" relativeHeight="251662336" behindDoc="0" locked="0" layoutInCell="1" allowOverlap="1" wp14:anchorId="2D65641C" wp14:editId="0804E0AE">
                <wp:simplePos x="0" y="0"/>
                <wp:positionH relativeFrom="page">
                  <wp:posOffset>3780430</wp:posOffset>
                </wp:positionH>
                <wp:positionV relativeFrom="paragraph">
                  <wp:posOffset>142723</wp:posOffset>
                </wp:positionV>
                <wp:extent cx="2987040" cy="2770496"/>
                <wp:effectExtent l="0" t="0" r="22860" b="754380"/>
                <wp:wrapNone/>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87040" cy="2770496"/>
                          <a:chOff x="0" y="0"/>
                          <a:chExt cx="2987040" cy="1748789"/>
                        </a:xfrm>
                      </wpg:grpSpPr>
                      <wps:wsp>
                        <wps:cNvPr id="151" name="Graphic 151"/>
                        <wps:cNvSpPr/>
                        <wps:spPr>
                          <a:xfrm>
                            <a:off x="379008" y="507707"/>
                            <a:ext cx="2256155" cy="429895"/>
                          </a:xfrm>
                          <a:custGeom>
                            <a:avLst/>
                            <a:gdLst/>
                            <a:ahLst/>
                            <a:cxnLst/>
                            <a:rect l="l" t="t" r="r" b="b"/>
                            <a:pathLst>
                              <a:path w="2256155" h="429895">
                                <a:moveTo>
                                  <a:pt x="166636" y="41554"/>
                                </a:moveTo>
                                <a:lnTo>
                                  <a:pt x="0" y="41554"/>
                                </a:lnTo>
                                <a:lnTo>
                                  <a:pt x="0" y="49466"/>
                                </a:lnTo>
                                <a:lnTo>
                                  <a:pt x="166636" y="49466"/>
                                </a:lnTo>
                                <a:lnTo>
                                  <a:pt x="166636" y="41554"/>
                                </a:lnTo>
                                <a:close/>
                              </a:path>
                              <a:path w="2256155" h="429895">
                                <a:moveTo>
                                  <a:pt x="584212" y="0"/>
                                </a:moveTo>
                                <a:lnTo>
                                  <a:pt x="417576" y="0"/>
                                </a:lnTo>
                                <a:lnTo>
                                  <a:pt x="417576" y="49466"/>
                                </a:lnTo>
                                <a:lnTo>
                                  <a:pt x="584212" y="49466"/>
                                </a:lnTo>
                                <a:lnTo>
                                  <a:pt x="584212" y="0"/>
                                </a:lnTo>
                                <a:close/>
                              </a:path>
                              <a:path w="2256155" h="429895">
                                <a:moveTo>
                                  <a:pt x="1002792" y="32651"/>
                                </a:moveTo>
                                <a:lnTo>
                                  <a:pt x="835164" y="32651"/>
                                </a:lnTo>
                                <a:lnTo>
                                  <a:pt x="835164" y="49466"/>
                                </a:lnTo>
                                <a:lnTo>
                                  <a:pt x="1002792" y="49466"/>
                                </a:lnTo>
                                <a:lnTo>
                                  <a:pt x="1002792" y="32651"/>
                                </a:lnTo>
                                <a:close/>
                              </a:path>
                              <a:path w="2256155" h="429895">
                                <a:moveTo>
                                  <a:pt x="1420368" y="49466"/>
                                </a:moveTo>
                                <a:lnTo>
                                  <a:pt x="1252740" y="49466"/>
                                </a:lnTo>
                                <a:lnTo>
                                  <a:pt x="1252740" y="429412"/>
                                </a:lnTo>
                                <a:lnTo>
                                  <a:pt x="1420368" y="429412"/>
                                </a:lnTo>
                                <a:lnTo>
                                  <a:pt x="1420368" y="49466"/>
                                </a:lnTo>
                                <a:close/>
                              </a:path>
                              <a:path w="2256155" h="429895">
                                <a:moveTo>
                                  <a:pt x="1837944" y="49466"/>
                                </a:moveTo>
                                <a:lnTo>
                                  <a:pt x="1671307" y="49466"/>
                                </a:lnTo>
                                <a:lnTo>
                                  <a:pt x="1671307" y="264172"/>
                                </a:lnTo>
                                <a:lnTo>
                                  <a:pt x="1837944" y="264172"/>
                                </a:lnTo>
                                <a:lnTo>
                                  <a:pt x="1837944" y="49466"/>
                                </a:lnTo>
                                <a:close/>
                              </a:path>
                              <a:path w="2256155" h="429895">
                                <a:moveTo>
                                  <a:pt x="2255532" y="49466"/>
                                </a:moveTo>
                                <a:lnTo>
                                  <a:pt x="2088896" y="49466"/>
                                </a:lnTo>
                                <a:lnTo>
                                  <a:pt x="2088896" y="197891"/>
                                </a:lnTo>
                                <a:lnTo>
                                  <a:pt x="2255532" y="197891"/>
                                </a:lnTo>
                                <a:lnTo>
                                  <a:pt x="2255532" y="49466"/>
                                </a:lnTo>
                                <a:close/>
                              </a:path>
                            </a:pathLst>
                          </a:custGeom>
                          <a:solidFill>
                            <a:srgbClr val="2E9AFA"/>
                          </a:solidFill>
                        </wps:spPr>
                        <wps:bodyPr wrap="square" lIns="0" tIns="0" rIns="0" bIns="0" rtlCol="0">
                          <a:prstTxWarp prst="textNoShape">
                            <a:avLst/>
                          </a:prstTxWarp>
                          <a:noAutofit/>
                        </wps:bodyPr>
                      </wps:wsp>
                      <wps:wsp>
                        <wps:cNvPr id="152" name="Graphic 152"/>
                        <wps:cNvSpPr/>
                        <wps:spPr>
                          <a:xfrm>
                            <a:off x="379016" y="507703"/>
                            <a:ext cx="2255520" cy="429895"/>
                          </a:xfrm>
                          <a:custGeom>
                            <a:avLst/>
                            <a:gdLst/>
                            <a:ahLst/>
                            <a:cxnLst/>
                            <a:rect l="l" t="t" r="r" b="b"/>
                            <a:pathLst>
                              <a:path w="2255520" h="429895">
                                <a:moveTo>
                                  <a:pt x="0" y="41555"/>
                                </a:moveTo>
                                <a:lnTo>
                                  <a:pt x="166635" y="41555"/>
                                </a:lnTo>
                                <a:lnTo>
                                  <a:pt x="166635" y="49471"/>
                                </a:lnTo>
                                <a:lnTo>
                                  <a:pt x="0" y="49471"/>
                                </a:lnTo>
                                <a:lnTo>
                                  <a:pt x="0" y="41555"/>
                                </a:lnTo>
                                <a:close/>
                              </a:path>
                              <a:path w="2255520" h="429895">
                                <a:moveTo>
                                  <a:pt x="417579" y="0"/>
                                </a:moveTo>
                                <a:lnTo>
                                  <a:pt x="584214" y="0"/>
                                </a:lnTo>
                                <a:lnTo>
                                  <a:pt x="584214" y="49471"/>
                                </a:lnTo>
                                <a:lnTo>
                                  <a:pt x="417579" y="49471"/>
                                </a:lnTo>
                                <a:lnTo>
                                  <a:pt x="417579" y="0"/>
                                </a:lnTo>
                                <a:close/>
                              </a:path>
                              <a:path w="2255520" h="429895">
                                <a:moveTo>
                                  <a:pt x="835159" y="32651"/>
                                </a:moveTo>
                                <a:lnTo>
                                  <a:pt x="1002786" y="32651"/>
                                </a:lnTo>
                                <a:lnTo>
                                  <a:pt x="1002786" y="49471"/>
                                </a:lnTo>
                                <a:lnTo>
                                  <a:pt x="835159" y="49471"/>
                                </a:lnTo>
                                <a:lnTo>
                                  <a:pt x="835159" y="32651"/>
                                </a:lnTo>
                                <a:close/>
                              </a:path>
                              <a:path w="2255520" h="429895">
                                <a:moveTo>
                                  <a:pt x="1252738" y="429411"/>
                                </a:moveTo>
                                <a:lnTo>
                                  <a:pt x="1420365" y="429411"/>
                                </a:lnTo>
                                <a:lnTo>
                                  <a:pt x="1420365" y="49471"/>
                                </a:lnTo>
                                <a:lnTo>
                                  <a:pt x="1252738" y="49471"/>
                                </a:lnTo>
                                <a:lnTo>
                                  <a:pt x="1252738" y="429411"/>
                                </a:lnTo>
                                <a:close/>
                              </a:path>
                              <a:path w="2255520" h="429895">
                                <a:moveTo>
                                  <a:pt x="1671310" y="264177"/>
                                </a:moveTo>
                                <a:lnTo>
                                  <a:pt x="1837945" y="264177"/>
                                </a:lnTo>
                                <a:lnTo>
                                  <a:pt x="1837945" y="49471"/>
                                </a:lnTo>
                                <a:lnTo>
                                  <a:pt x="1671310" y="49471"/>
                                </a:lnTo>
                                <a:lnTo>
                                  <a:pt x="1671310" y="264177"/>
                                </a:lnTo>
                                <a:close/>
                              </a:path>
                              <a:path w="2255520" h="429895">
                                <a:moveTo>
                                  <a:pt x="2088889" y="197885"/>
                                </a:moveTo>
                                <a:lnTo>
                                  <a:pt x="2255525" y="197885"/>
                                </a:lnTo>
                                <a:lnTo>
                                  <a:pt x="2255525" y="49471"/>
                                </a:lnTo>
                                <a:lnTo>
                                  <a:pt x="2088889" y="49471"/>
                                </a:lnTo>
                                <a:lnTo>
                                  <a:pt x="2088889" y="197885"/>
                                </a:lnTo>
                                <a:close/>
                              </a:path>
                            </a:pathLst>
                          </a:custGeom>
                          <a:ln w="6191">
                            <a:solidFill>
                              <a:srgbClr val="034E92"/>
                            </a:solidFill>
                            <a:prstDash val="solid"/>
                          </a:ln>
                        </wps:spPr>
                        <wps:bodyPr wrap="square" lIns="0" tIns="0" rIns="0" bIns="0" rtlCol="0">
                          <a:prstTxWarp prst="textNoShape">
                            <a:avLst/>
                          </a:prstTxWarp>
                          <a:noAutofit/>
                        </wps:bodyPr>
                      </wps:wsp>
                      <wps:wsp>
                        <wps:cNvPr id="153" name="Graphic 153"/>
                        <wps:cNvSpPr/>
                        <wps:spPr>
                          <a:xfrm>
                            <a:off x="379008" y="557187"/>
                            <a:ext cx="2256155" cy="553085"/>
                          </a:xfrm>
                          <a:custGeom>
                            <a:avLst/>
                            <a:gdLst/>
                            <a:ahLst/>
                            <a:cxnLst/>
                            <a:rect l="l" t="t" r="r" b="b"/>
                            <a:pathLst>
                              <a:path w="2256155" h="553085">
                                <a:moveTo>
                                  <a:pt x="166636" y="0"/>
                                </a:moveTo>
                                <a:lnTo>
                                  <a:pt x="0" y="0"/>
                                </a:lnTo>
                                <a:lnTo>
                                  <a:pt x="0" y="169189"/>
                                </a:lnTo>
                                <a:lnTo>
                                  <a:pt x="166636" y="169189"/>
                                </a:lnTo>
                                <a:lnTo>
                                  <a:pt x="166636" y="0"/>
                                </a:lnTo>
                                <a:close/>
                              </a:path>
                              <a:path w="2256155" h="553085">
                                <a:moveTo>
                                  <a:pt x="584225" y="0"/>
                                </a:moveTo>
                                <a:lnTo>
                                  <a:pt x="417588" y="0"/>
                                </a:lnTo>
                                <a:lnTo>
                                  <a:pt x="417588" y="182054"/>
                                </a:lnTo>
                                <a:lnTo>
                                  <a:pt x="584225" y="182054"/>
                                </a:lnTo>
                                <a:lnTo>
                                  <a:pt x="584225" y="0"/>
                                </a:lnTo>
                                <a:close/>
                              </a:path>
                              <a:path w="2256155" h="553085">
                                <a:moveTo>
                                  <a:pt x="1002804" y="0"/>
                                </a:moveTo>
                                <a:lnTo>
                                  <a:pt x="835164" y="0"/>
                                </a:lnTo>
                                <a:lnTo>
                                  <a:pt x="835164" y="173151"/>
                                </a:lnTo>
                                <a:lnTo>
                                  <a:pt x="1002804" y="173151"/>
                                </a:lnTo>
                                <a:lnTo>
                                  <a:pt x="1002804" y="0"/>
                                </a:lnTo>
                                <a:close/>
                              </a:path>
                              <a:path w="2256155" h="553085">
                                <a:moveTo>
                                  <a:pt x="1420380" y="379933"/>
                                </a:moveTo>
                                <a:lnTo>
                                  <a:pt x="1252753" y="379933"/>
                                </a:lnTo>
                                <a:lnTo>
                                  <a:pt x="1252753" y="553085"/>
                                </a:lnTo>
                                <a:lnTo>
                                  <a:pt x="1420380" y="553085"/>
                                </a:lnTo>
                                <a:lnTo>
                                  <a:pt x="1420380" y="379933"/>
                                </a:lnTo>
                                <a:close/>
                              </a:path>
                              <a:path w="2256155" h="553085">
                                <a:moveTo>
                                  <a:pt x="1837969" y="214706"/>
                                </a:moveTo>
                                <a:lnTo>
                                  <a:pt x="1671332" y="214706"/>
                                </a:lnTo>
                                <a:lnTo>
                                  <a:pt x="1671332" y="372021"/>
                                </a:lnTo>
                                <a:lnTo>
                                  <a:pt x="1837969" y="372021"/>
                                </a:lnTo>
                                <a:lnTo>
                                  <a:pt x="1837969" y="214706"/>
                                </a:lnTo>
                                <a:close/>
                              </a:path>
                              <a:path w="2256155" h="553085">
                                <a:moveTo>
                                  <a:pt x="2255545" y="148412"/>
                                </a:moveTo>
                                <a:lnTo>
                                  <a:pt x="2088908" y="148412"/>
                                </a:lnTo>
                                <a:lnTo>
                                  <a:pt x="2088908" y="305727"/>
                                </a:lnTo>
                                <a:lnTo>
                                  <a:pt x="2255545" y="305727"/>
                                </a:lnTo>
                                <a:lnTo>
                                  <a:pt x="2255545" y="148412"/>
                                </a:lnTo>
                                <a:close/>
                              </a:path>
                            </a:pathLst>
                          </a:custGeom>
                          <a:solidFill>
                            <a:srgbClr val="1A1D39"/>
                          </a:solidFill>
                        </wps:spPr>
                        <wps:bodyPr wrap="square" lIns="0" tIns="0" rIns="0" bIns="0" rtlCol="0">
                          <a:prstTxWarp prst="textNoShape">
                            <a:avLst/>
                          </a:prstTxWarp>
                          <a:noAutofit/>
                        </wps:bodyPr>
                      </wps:wsp>
                      <wps:wsp>
                        <wps:cNvPr id="154" name="Graphic 154"/>
                        <wps:cNvSpPr/>
                        <wps:spPr>
                          <a:xfrm>
                            <a:off x="379017" y="557177"/>
                            <a:ext cx="2256155" cy="553720"/>
                          </a:xfrm>
                          <a:custGeom>
                            <a:avLst/>
                            <a:gdLst/>
                            <a:ahLst/>
                            <a:cxnLst/>
                            <a:rect l="l" t="t" r="r" b="b"/>
                            <a:pathLst>
                              <a:path w="2256155" h="553720">
                                <a:moveTo>
                                  <a:pt x="0" y="169193"/>
                                </a:moveTo>
                                <a:lnTo>
                                  <a:pt x="166636" y="169193"/>
                                </a:lnTo>
                                <a:lnTo>
                                  <a:pt x="166636" y="0"/>
                                </a:lnTo>
                                <a:lnTo>
                                  <a:pt x="0" y="0"/>
                                </a:lnTo>
                                <a:lnTo>
                                  <a:pt x="0" y="169193"/>
                                </a:lnTo>
                                <a:close/>
                              </a:path>
                              <a:path w="2256155" h="553720">
                                <a:moveTo>
                                  <a:pt x="417583" y="182055"/>
                                </a:moveTo>
                                <a:lnTo>
                                  <a:pt x="584220" y="182055"/>
                                </a:lnTo>
                                <a:lnTo>
                                  <a:pt x="584220" y="0"/>
                                </a:lnTo>
                                <a:lnTo>
                                  <a:pt x="417583" y="0"/>
                                </a:lnTo>
                                <a:lnTo>
                                  <a:pt x="417583" y="182055"/>
                                </a:lnTo>
                                <a:close/>
                              </a:path>
                              <a:path w="2256155" h="553720">
                                <a:moveTo>
                                  <a:pt x="835167" y="173150"/>
                                </a:moveTo>
                                <a:lnTo>
                                  <a:pt x="1002795" y="173150"/>
                                </a:lnTo>
                                <a:lnTo>
                                  <a:pt x="1002795" y="0"/>
                                </a:lnTo>
                                <a:lnTo>
                                  <a:pt x="835167" y="0"/>
                                </a:lnTo>
                                <a:lnTo>
                                  <a:pt x="835167" y="173150"/>
                                </a:lnTo>
                                <a:close/>
                              </a:path>
                              <a:path w="2256155" h="553720">
                                <a:moveTo>
                                  <a:pt x="1252750" y="553093"/>
                                </a:moveTo>
                                <a:lnTo>
                                  <a:pt x="1420379" y="553093"/>
                                </a:lnTo>
                                <a:lnTo>
                                  <a:pt x="1420379" y="379942"/>
                                </a:lnTo>
                                <a:lnTo>
                                  <a:pt x="1252750" y="379942"/>
                                </a:lnTo>
                                <a:lnTo>
                                  <a:pt x="1252750" y="553093"/>
                                </a:lnTo>
                                <a:close/>
                              </a:path>
                              <a:path w="2256155" h="553720">
                                <a:moveTo>
                                  <a:pt x="1671326" y="372026"/>
                                </a:moveTo>
                                <a:lnTo>
                                  <a:pt x="1837963" y="372026"/>
                                </a:lnTo>
                                <a:lnTo>
                                  <a:pt x="1837963" y="214707"/>
                                </a:lnTo>
                                <a:lnTo>
                                  <a:pt x="1671326" y="214707"/>
                                </a:lnTo>
                                <a:lnTo>
                                  <a:pt x="1671326" y="372026"/>
                                </a:lnTo>
                                <a:close/>
                              </a:path>
                              <a:path w="2256155" h="553720">
                                <a:moveTo>
                                  <a:pt x="2088910" y="305734"/>
                                </a:moveTo>
                                <a:lnTo>
                                  <a:pt x="2255546" y="305734"/>
                                </a:lnTo>
                                <a:lnTo>
                                  <a:pt x="2255546" y="148415"/>
                                </a:lnTo>
                                <a:lnTo>
                                  <a:pt x="2088910" y="148415"/>
                                </a:lnTo>
                                <a:lnTo>
                                  <a:pt x="2088910" y="305734"/>
                                </a:lnTo>
                                <a:close/>
                              </a:path>
                            </a:pathLst>
                          </a:custGeom>
                          <a:ln w="6191">
                            <a:solidFill>
                              <a:srgbClr val="253852"/>
                            </a:solidFill>
                            <a:prstDash val="solid"/>
                          </a:ln>
                        </wps:spPr>
                        <wps:bodyPr wrap="square" lIns="0" tIns="0" rIns="0" bIns="0" rtlCol="0">
                          <a:prstTxWarp prst="textNoShape">
                            <a:avLst/>
                          </a:prstTxWarp>
                          <a:noAutofit/>
                        </wps:bodyPr>
                      </wps:wsp>
                      <wps:wsp>
                        <wps:cNvPr id="155" name="Graphic 155"/>
                        <wps:cNvSpPr/>
                        <wps:spPr>
                          <a:xfrm>
                            <a:off x="2760528" y="226694"/>
                            <a:ext cx="26034" cy="1983105"/>
                          </a:xfrm>
                          <a:custGeom>
                            <a:avLst/>
                            <a:gdLst/>
                            <a:ahLst/>
                            <a:cxnLst/>
                            <a:rect l="l" t="t" r="r" b="b"/>
                            <a:pathLst>
                              <a:path w="26034" h="1983105">
                                <a:moveTo>
                                  <a:pt x="0" y="991420"/>
                                </a:moveTo>
                                <a:lnTo>
                                  <a:pt x="0" y="0"/>
                                </a:lnTo>
                              </a:path>
                              <a:path w="26034" h="1983105">
                                <a:moveTo>
                                  <a:pt x="0" y="991420"/>
                                </a:moveTo>
                                <a:lnTo>
                                  <a:pt x="25788" y="991420"/>
                                </a:lnTo>
                              </a:path>
                              <a:path w="26034" h="1983105">
                                <a:moveTo>
                                  <a:pt x="0" y="1239770"/>
                                </a:moveTo>
                                <a:lnTo>
                                  <a:pt x="25788" y="1239770"/>
                                </a:lnTo>
                              </a:path>
                              <a:path w="26034" h="1983105">
                                <a:moveTo>
                                  <a:pt x="0" y="1487131"/>
                                </a:moveTo>
                                <a:lnTo>
                                  <a:pt x="25788" y="1487131"/>
                                </a:lnTo>
                              </a:path>
                              <a:path w="26034" h="1983105">
                                <a:moveTo>
                                  <a:pt x="0" y="1735481"/>
                                </a:moveTo>
                                <a:lnTo>
                                  <a:pt x="25788" y="1735481"/>
                                </a:lnTo>
                              </a:path>
                              <a:path w="26034" h="1983105">
                                <a:moveTo>
                                  <a:pt x="0" y="1982841"/>
                                </a:moveTo>
                                <a:lnTo>
                                  <a:pt x="25788" y="1982841"/>
                                </a:lnTo>
                              </a:path>
                            </a:pathLst>
                          </a:custGeom>
                          <a:ln w="6191">
                            <a:solidFill>
                              <a:srgbClr val="858585"/>
                            </a:solidFill>
                            <a:prstDash val="solid"/>
                          </a:ln>
                        </wps:spPr>
                        <wps:bodyPr wrap="square" lIns="0" tIns="0" rIns="0" bIns="0" rtlCol="0">
                          <a:prstTxWarp prst="textNoShape">
                            <a:avLst/>
                          </a:prstTxWarp>
                          <a:noAutofit/>
                        </wps:bodyPr>
                      </wps:wsp>
                      <wps:wsp>
                        <wps:cNvPr id="156" name="Graphic 156"/>
                        <wps:cNvSpPr/>
                        <wps:spPr>
                          <a:xfrm>
                            <a:off x="253048" y="226694"/>
                            <a:ext cx="1270" cy="991869"/>
                          </a:xfrm>
                          <a:custGeom>
                            <a:avLst/>
                            <a:gdLst/>
                            <a:ahLst/>
                            <a:cxnLst/>
                            <a:rect l="l" t="t" r="r" b="b"/>
                            <a:pathLst>
                              <a:path h="991869">
                                <a:moveTo>
                                  <a:pt x="0" y="991420"/>
                                </a:moveTo>
                                <a:lnTo>
                                  <a:pt x="0" y="0"/>
                                </a:lnTo>
                              </a:path>
                            </a:pathLst>
                          </a:custGeom>
                          <a:ln w="6199">
                            <a:solidFill>
                              <a:srgbClr val="858585"/>
                            </a:solidFill>
                            <a:prstDash val="solid"/>
                          </a:ln>
                        </wps:spPr>
                        <wps:bodyPr wrap="square" lIns="0" tIns="0" rIns="0" bIns="0" rtlCol="0">
                          <a:prstTxWarp prst="textNoShape">
                            <a:avLst/>
                          </a:prstTxWarp>
                          <a:noAutofit/>
                        </wps:bodyPr>
                      </wps:wsp>
                      <wps:wsp>
                        <wps:cNvPr id="157" name="Graphic 157"/>
                        <wps:cNvSpPr/>
                        <wps:spPr>
                          <a:xfrm>
                            <a:off x="224283" y="226705"/>
                            <a:ext cx="29209" cy="991869"/>
                          </a:xfrm>
                          <a:custGeom>
                            <a:avLst/>
                            <a:gdLst/>
                            <a:ahLst/>
                            <a:cxnLst/>
                            <a:rect l="l" t="t" r="r" b="b"/>
                            <a:pathLst>
                              <a:path w="29209" h="991869">
                                <a:moveTo>
                                  <a:pt x="0" y="991420"/>
                                </a:moveTo>
                                <a:lnTo>
                                  <a:pt x="28764" y="991420"/>
                                </a:lnTo>
                              </a:path>
                              <a:path w="29209" h="991869">
                                <a:moveTo>
                                  <a:pt x="0" y="660947"/>
                                </a:moveTo>
                                <a:lnTo>
                                  <a:pt x="28764" y="660947"/>
                                </a:lnTo>
                              </a:path>
                              <a:path w="29209" h="991869">
                                <a:moveTo>
                                  <a:pt x="0" y="330473"/>
                                </a:moveTo>
                                <a:lnTo>
                                  <a:pt x="28764" y="330473"/>
                                </a:lnTo>
                              </a:path>
                              <a:path w="29209" h="991869">
                                <a:moveTo>
                                  <a:pt x="0" y="0"/>
                                </a:moveTo>
                                <a:lnTo>
                                  <a:pt x="28764" y="0"/>
                                </a:lnTo>
                              </a:path>
                            </a:pathLst>
                          </a:custGeom>
                          <a:ln w="6191">
                            <a:solidFill>
                              <a:srgbClr val="858585"/>
                            </a:solidFill>
                            <a:prstDash val="solid"/>
                          </a:ln>
                        </wps:spPr>
                        <wps:bodyPr wrap="square" lIns="0" tIns="0" rIns="0" bIns="0" rtlCol="0">
                          <a:prstTxWarp prst="textNoShape">
                            <a:avLst/>
                          </a:prstTxWarp>
                          <a:noAutofit/>
                        </wps:bodyPr>
                      </wps:wsp>
                      <wps:wsp>
                        <wps:cNvPr id="158" name="Graphic 158"/>
                        <wps:cNvSpPr/>
                        <wps:spPr>
                          <a:xfrm>
                            <a:off x="253048" y="557175"/>
                            <a:ext cx="2507615" cy="1270"/>
                          </a:xfrm>
                          <a:custGeom>
                            <a:avLst/>
                            <a:gdLst/>
                            <a:ahLst/>
                            <a:cxnLst/>
                            <a:rect l="l" t="t" r="r" b="b"/>
                            <a:pathLst>
                              <a:path w="2507615">
                                <a:moveTo>
                                  <a:pt x="0" y="0"/>
                                </a:moveTo>
                                <a:lnTo>
                                  <a:pt x="2507483" y="0"/>
                                </a:lnTo>
                              </a:path>
                            </a:pathLst>
                          </a:custGeom>
                          <a:ln w="6183">
                            <a:solidFill>
                              <a:srgbClr val="858585"/>
                            </a:solidFill>
                            <a:prstDash val="solid"/>
                          </a:ln>
                        </wps:spPr>
                        <wps:bodyPr wrap="square" lIns="0" tIns="0" rIns="0" bIns="0" rtlCol="0">
                          <a:prstTxWarp prst="textNoShape">
                            <a:avLst/>
                          </a:prstTxWarp>
                          <a:noAutofit/>
                        </wps:bodyPr>
                      </wps:wsp>
                      <wps:wsp>
                        <wps:cNvPr id="159" name="Graphic 159"/>
                        <wps:cNvSpPr/>
                        <wps:spPr>
                          <a:xfrm>
                            <a:off x="253048" y="528482"/>
                            <a:ext cx="2507615" cy="57785"/>
                          </a:xfrm>
                          <a:custGeom>
                            <a:avLst/>
                            <a:gdLst/>
                            <a:ahLst/>
                            <a:cxnLst/>
                            <a:rect l="l" t="t" r="r" b="b"/>
                            <a:pathLst>
                              <a:path w="2507615" h="57785">
                                <a:moveTo>
                                  <a:pt x="0" y="0"/>
                                </a:moveTo>
                                <a:lnTo>
                                  <a:pt x="0" y="57386"/>
                                </a:lnTo>
                              </a:path>
                              <a:path w="2507615" h="57785">
                                <a:moveTo>
                                  <a:pt x="418575" y="0"/>
                                </a:moveTo>
                                <a:lnTo>
                                  <a:pt x="418575" y="57386"/>
                                </a:lnTo>
                              </a:path>
                              <a:path w="2507615" h="57785">
                                <a:moveTo>
                                  <a:pt x="836158" y="0"/>
                                </a:moveTo>
                                <a:lnTo>
                                  <a:pt x="836158" y="57386"/>
                                </a:lnTo>
                              </a:path>
                              <a:path w="2507615" h="57785">
                                <a:moveTo>
                                  <a:pt x="1253741" y="0"/>
                                </a:moveTo>
                                <a:lnTo>
                                  <a:pt x="1253741" y="57386"/>
                                </a:lnTo>
                              </a:path>
                              <a:path w="2507615" h="57785">
                                <a:moveTo>
                                  <a:pt x="1671324" y="0"/>
                                </a:moveTo>
                                <a:lnTo>
                                  <a:pt x="1671324" y="57386"/>
                                </a:lnTo>
                              </a:path>
                              <a:path w="2507615" h="57785">
                                <a:moveTo>
                                  <a:pt x="2089900" y="0"/>
                                </a:moveTo>
                                <a:lnTo>
                                  <a:pt x="2089900" y="57386"/>
                                </a:lnTo>
                              </a:path>
                              <a:path w="2507615" h="57785">
                                <a:moveTo>
                                  <a:pt x="2507483" y="0"/>
                                </a:moveTo>
                                <a:lnTo>
                                  <a:pt x="2507483" y="57386"/>
                                </a:lnTo>
                              </a:path>
                            </a:pathLst>
                          </a:custGeom>
                          <a:ln w="6191">
                            <a:solidFill>
                              <a:srgbClr val="858585"/>
                            </a:solidFill>
                            <a:prstDash val="solid"/>
                          </a:ln>
                        </wps:spPr>
                        <wps:bodyPr wrap="square" lIns="0" tIns="0" rIns="0" bIns="0" rtlCol="0">
                          <a:prstTxWarp prst="textNoShape">
                            <a:avLst/>
                          </a:prstTxWarp>
                          <a:noAutofit/>
                        </wps:bodyPr>
                      </wps:wsp>
                      <pic:pic xmlns:pic="http://schemas.openxmlformats.org/drawingml/2006/picture">
                        <pic:nvPicPr>
                          <pic:cNvPr id="160" name="Image 160"/>
                          <pic:cNvPicPr/>
                        </pic:nvPicPr>
                        <pic:blipFill>
                          <a:blip r:embed="rId11" cstate="print"/>
                          <a:stretch>
                            <a:fillRect/>
                          </a:stretch>
                        </pic:blipFill>
                        <pic:spPr>
                          <a:xfrm>
                            <a:off x="409645" y="669844"/>
                            <a:ext cx="105370" cy="105121"/>
                          </a:xfrm>
                          <a:prstGeom prst="rect">
                            <a:avLst/>
                          </a:prstGeom>
                        </pic:spPr>
                      </pic:pic>
                      <pic:pic xmlns:pic="http://schemas.openxmlformats.org/drawingml/2006/picture">
                        <pic:nvPicPr>
                          <pic:cNvPr id="161" name="Image 161"/>
                          <pic:cNvPicPr/>
                        </pic:nvPicPr>
                        <pic:blipFill>
                          <a:blip r:embed="rId11" cstate="print"/>
                          <a:stretch>
                            <a:fillRect/>
                          </a:stretch>
                        </pic:blipFill>
                        <pic:spPr>
                          <a:xfrm>
                            <a:off x="827227" y="639173"/>
                            <a:ext cx="105370" cy="105121"/>
                          </a:xfrm>
                          <a:prstGeom prst="rect">
                            <a:avLst/>
                          </a:prstGeom>
                        </pic:spPr>
                      </pic:pic>
                      <pic:pic xmlns:pic="http://schemas.openxmlformats.org/drawingml/2006/picture">
                        <pic:nvPicPr>
                          <pic:cNvPr id="162" name="Image 162"/>
                          <pic:cNvPicPr/>
                        </pic:nvPicPr>
                        <pic:blipFill>
                          <a:blip r:embed="rId11" cstate="print"/>
                          <a:stretch>
                            <a:fillRect/>
                          </a:stretch>
                        </pic:blipFill>
                        <pic:spPr>
                          <a:xfrm>
                            <a:off x="1244809" y="658963"/>
                            <a:ext cx="105370" cy="105121"/>
                          </a:xfrm>
                          <a:prstGeom prst="rect">
                            <a:avLst/>
                          </a:prstGeom>
                        </pic:spPr>
                      </pic:pic>
                      <pic:pic xmlns:pic="http://schemas.openxmlformats.org/drawingml/2006/picture">
                        <pic:nvPicPr>
                          <pic:cNvPr id="163" name="Image 163"/>
                          <pic:cNvPicPr/>
                        </pic:nvPicPr>
                        <pic:blipFill>
                          <a:blip r:embed="rId12" cstate="print"/>
                          <a:stretch>
                            <a:fillRect/>
                          </a:stretch>
                        </pic:blipFill>
                        <pic:spPr>
                          <a:xfrm>
                            <a:off x="1663383" y="1058695"/>
                            <a:ext cx="105370" cy="105121"/>
                          </a:xfrm>
                          <a:prstGeom prst="rect">
                            <a:avLst/>
                          </a:prstGeom>
                        </pic:spPr>
                      </pic:pic>
                      <pic:pic xmlns:pic="http://schemas.openxmlformats.org/drawingml/2006/picture">
                        <pic:nvPicPr>
                          <pic:cNvPr id="164" name="Image 164"/>
                          <pic:cNvPicPr/>
                        </pic:nvPicPr>
                        <pic:blipFill>
                          <a:blip r:embed="rId11" cstate="print"/>
                          <a:stretch>
                            <a:fillRect/>
                          </a:stretch>
                        </pic:blipFill>
                        <pic:spPr>
                          <a:xfrm>
                            <a:off x="2080965" y="884556"/>
                            <a:ext cx="105370" cy="105121"/>
                          </a:xfrm>
                          <a:prstGeom prst="rect">
                            <a:avLst/>
                          </a:prstGeom>
                        </pic:spPr>
                      </pic:pic>
                      <pic:pic xmlns:pic="http://schemas.openxmlformats.org/drawingml/2006/picture">
                        <pic:nvPicPr>
                          <pic:cNvPr id="165" name="Image 165"/>
                          <pic:cNvPicPr/>
                        </pic:nvPicPr>
                        <pic:blipFill>
                          <a:blip r:embed="rId11" cstate="print"/>
                          <a:stretch>
                            <a:fillRect/>
                          </a:stretch>
                        </pic:blipFill>
                        <pic:spPr>
                          <a:xfrm>
                            <a:off x="2498546" y="807381"/>
                            <a:ext cx="105370" cy="105121"/>
                          </a:xfrm>
                          <a:prstGeom prst="rect">
                            <a:avLst/>
                          </a:prstGeom>
                        </pic:spPr>
                      </pic:pic>
                      <wps:wsp>
                        <wps:cNvPr id="166" name="Graphic 166"/>
                        <wps:cNvSpPr/>
                        <wps:spPr>
                          <a:xfrm>
                            <a:off x="461839" y="294481"/>
                            <a:ext cx="2090420" cy="123189"/>
                          </a:xfrm>
                          <a:custGeom>
                            <a:avLst/>
                            <a:gdLst/>
                            <a:ahLst/>
                            <a:cxnLst/>
                            <a:rect l="l" t="t" r="r" b="b"/>
                            <a:pathLst>
                              <a:path w="2090420" h="123189">
                                <a:moveTo>
                                  <a:pt x="0" y="53429"/>
                                </a:moveTo>
                                <a:lnTo>
                                  <a:pt x="418575" y="85091"/>
                                </a:lnTo>
                                <a:lnTo>
                                  <a:pt x="836158" y="108838"/>
                                </a:lnTo>
                                <a:lnTo>
                                  <a:pt x="1253742" y="2968"/>
                                </a:lnTo>
                                <a:lnTo>
                                  <a:pt x="1671325" y="0"/>
                                </a:lnTo>
                                <a:lnTo>
                                  <a:pt x="2089900" y="122690"/>
                                </a:lnTo>
                              </a:path>
                            </a:pathLst>
                          </a:custGeom>
                          <a:ln w="18552">
                            <a:solidFill>
                              <a:srgbClr val="00AF50"/>
                            </a:solidFill>
                            <a:prstDash val="solid"/>
                          </a:ln>
                        </wps:spPr>
                        <wps:bodyPr wrap="square" lIns="0" tIns="0" rIns="0" bIns="0" rtlCol="0">
                          <a:prstTxWarp prst="textNoShape">
                            <a:avLst/>
                          </a:prstTxWarp>
                          <a:noAutofit/>
                        </wps:bodyPr>
                      </wps:wsp>
                      <wps:wsp>
                        <wps:cNvPr id="167" name="Graphic 167"/>
                        <wps:cNvSpPr/>
                        <wps:spPr>
                          <a:xfrm>
                            <a:off x="215356" y="1442716"/>
                            <a:ext cx="158750" cy="49530"/>
                          </a:xfrm>
                          <a:custGeom>
                            <a:avLst/>
                            <a:gdLst/>
                            <a:ahLst/>
                            <a:cxnLst/>
                            <a:rect l="l" t="t" r="r" b="b"/>
                            <a:pathLst>
                              <a:path w="158750" h="49530">
                                <a:moveTo>
                                  <a:pt x="158709" y="49475"/>
                                </a:moveTo>
                                <a:lnTo>
                                  <a:pt x="0" y="49475"/>
                                </a:lnTo>
                                <a:lnTo>
                                  <a:pt x="0" y="0"/>
                                </a:lnTo>
                                <a:lnTo>
                                  <a:pt x="158709" y="0"/>
                                </a:lnTo>
                                <a:lnTo>
                                  <a:pt x="158709" y="49475"/>
                                </a:lnTo>
                                <a:close/>
                              </a:path>
                            </a:pathLst>
                          </a:custGeom>
                          <a:solidFill>
                            <a:srgbClr val="2E9AFA"/>
                          </a:solidFill>
                        </wps:spPr>
                        <wps:bodyPr wrap="square" lIns="0" tIns="0" rIns="0" bIns="0" rtlCol="0">
                          <a:prstTxWarp prst="textNoShape">
                            <a:avLst/>
                          </a:prstTxWarp>
                          <a:noAutofit/>
                        </wps:bodyPr>
                      </wps:wsp>
                      <wps:wsp>
                        <wps:cNvPr id="168" name="Graphic 168"/>
                        <wps:cNvSpPr/>
                        <wps:spPr>
                          <a:xfrm>
                            <a:off x="215356" y="1442716"/>
                            <a:ext cx="158750" cy="49530"/>
                          </a:xfrm>
                          <a:custGeom>
                            <a:avLst/>
                            <a:gdLst/>
                            <a:ahLst/>
                            <a:cxnLst/>
                            <a:rect l="l" t="t" r="r" b="b"/>
                            <a:pathLst>
                              <a:path w="158750" h="49530">
                                <a:moveTo>
                                  <a:pt x="0" y="0"/>
                                </a:moveTo>
                                <a:lnTo>
                                  <a:pt x="158709" y="0"/>
                                </a:lnTo>
                                <a:lnTo>
                                  <a:pt x="158709" y="49475"/>
                                </a:lnTo>
                                <a:lnTo>
                                  <a:pt x="0" y="49475"/>
                                </a:lnTo>
                                <a:lnTo>
                                  <a:pt x="0" y="0"/>
                                </a:lnTo>
                                <a:close/>
                              </a:path>
                            </a:pathLst>
                          </a:custGeom>
                          <a:ln w="6185">
                            <a:solidFill>
                              <a:srgbClr val="034E92"/>
                            </a:solidFill>
                            <a:prstDash val="solid"/>
                          </a:ln>
                        </wps:spPr>
                        <wps:bodyPr wrap="square" lIns="0" tIns="0" rIns="0" bIns="0" rtlCol="0">
                          <a:prstTxWarp prst="textNoShape">
                            <a:avLst/>
                          </a:prstTxWarp>
                          <a:noAutofit/>
                        </wps:bodyPr>
                      </wps:wsp>
                      <wps:wsp>
                        <wps:cNvPr id="169" name="Graphic 169"/>
                        <wps:cNvSpPr/>
                        <wps:spPr>
                          <a:xfrm>
                            <a:off x="1456202" y="1442716"/>
                            <a:ext cx="158750" cy="49530"/>
                          </a:xfrm>
                          <a:custGeom>
                            <a:avLst/>
                            <a:gdLst/>
                            <a:ahLst/>
                            <a:cxnLst/>
                            <a:rect l="l" t="t" r="r" b="b"/>
                            <a:pathLst>
                              <a:path w="158750" h="49530">
                                <a:moveTo>
                                  <a:pt x="158709" y="49475"/>
                                </a:moveTo>
                                <a:lnTo>
                                  <a:pt x="0" y="49475"/>
                                </a:lnTo>
                                <a:lnTo>
                                  <a:pt x="0" y="0"/>
                                </a:lnTo>
                                <a:lnTo>
                                  <a:pt x="158709" y="0"/>
                                </a:lnTo>
                                <a:lnTo>
                                  <a:pt x="158709" y="49475"/>
                                </a:lnTo>
                                <a:close/>
                              </a:path>
                            </a:pathLst>
                          </a:custGeom>
                          <a:solidFill>
                            <a:srgbClr val="1A1D39"/>
                          </a:solidFill>
                        </wps:spPr>
                        <wps:bodyPr wrap="square" lIns="0" tIns="0" rIns="0" bIns="0" rtlCol="0">
                          <a:prstTxWarp prst="textNoShape">
                            <a:avLst/>
                          </a:prstTxWarp>
                          <a:noAutofit/>
                        </wps:bodyPr>
                      </wps:wsp>
                      <wps:wsp>
                        <wps:cNvPr id="170" name="Graphic 170"/>
                        <wps:cNvSpPr/>
                        <wps:spPr>
                          <a:xfrm>
                            <a:off x="1456202" y="1442716"/>
                            <a:ext cx="158750" cy="49530"/>
                          </a:xfrm>
                          <a:custGeom>
                            <a:avLst/>
                            <a:gdLst/>
                            <a:ahLst/>
                            <a:cxnLst/>
                            <a:rect l="l" t="t" r="r" b="b"/>
                            <a:pathLst>
                              <a:path w="158750" h="49530">
                                <a:moveTo>
                                  <a:pt x="0" y="0"/>
                                </a:moveTo>
                                <a:lnTo>
                                  <a:pt x="158709" y="0"/>
                                </a:lnTo>
                                <a:lnTo>
                                  <a:pt x="158709" y="49475"/>
                                </a:lnTo>
                                <a:lnTo>
                                  <a:pt x="0" y="49475"/>
                                </a:lnTo>
                                <a:lnTo>
                                  <a:pt x="0" y="0"/>
                                </a:lnTo>
                                <a:close/>
                              </a:path>
                            </a:pathLst>
                          </a:custGeom>
                          <a:ln w="6185">
                            <a:solidFill>
                              <a:srgbClr val="253852"/>
                            </a:solidFill>
                            <a:prstDash val="solid"/>
                          </a:ln>
                        </wps:spPr>
                        <wps:bodyPr wrap="square" lIns="0" tIns="0" rIns="0" bIns="0" rtlCol="0">
                          <a:prstTxWarp prst="textNoShape">
                            <a:avLst/>
                          </a:prstTxWarp>
                          <a:noAutofit/>
                        </wps:bodyPr>
                      </wps:wsp>
                      <wps:wsp>
                        <wps:cNvPr id="171" name="Graphic 171"/>
                        <wps:cNvSpPr/>
                        <wps:spPr>
                          <a:xfrm>
                            <a:off x="268918" y="1545617"/>
                            <a:ext cx="50165" cy="49530"/>
                          </a:xfrm>
                          <a:custGeom>
                            <a:avLst/>
                            <a:gdLst/>
                            <a:ahLst/>
                            <a:cxnLst/>
                            <a:rect l="l" t="t" r="r" b="b"/>
                            <a:pathLst>
                              <a:path w="50165" h="49530">
                                <a:moveTo>
                                  <a:pt x="24798" y="49475"/>
                                </a:moveTo>
                                <a:lnTo>
                                  <a:pt x="0" y="24737"/>
                                </a:lnTo>
                                <a:lnTo>
                                  <a:pt x="24798" y="0"/>
                                </a:lnTo>
                                <a:lnTo>
                                  <a:pt x="49596" y="24737"/>
                                </a:lnTo>
                                <a:lnTo>
                                  <a:pt x="24798" y="49475"/>
                                </a:lnTo>
                                <a:close/>
                              </a:path>
                            </a:pathLst>
                          </a:custGeom>
                          <a:solidFill>
                            <a:srgbClr val="FFD623"/>
                          </a:solidFill>
                        </wps:spPr>
                        <wps:bodyPr wrap="square" lIns="0" tIns="0" rIns="0" bIns="0" rtlCol="0">
                          <a:prstTxWarp prst="textNoShape">
                            <a:avLst/>
                          </a:prstTxWarp>
                          <a:noAutofit/>
                        </wps:bodyPr>
                      </wps:wsp>
                      <wps:wsp>
                        <wps:cNvPr id="172" name="Graphic 172"/>
                        <wps:cNvSpPr/>
                        <wps:spPr>
                          <a:xfrm>
                            <a:off x="1455706" y="1570847"/>
                            <a:ext cx="158750" cy="1270"/>
                          </a:xfrm>
                          <a:custGeom>
                            <a:avLst/>
                            <a:gdLst/>
                            <a:ahLst/>
                            <a:cxnLst/>
                            <a:rect l="l" t="t" r="r" b="b"/>
                            <a:pathLst>
                              <a:path w="158750">
                                <a:moveTo>
                                  <a:pt x="0" y="0"/>
                                </a:moveTo>
                                <a:lnTo>
                                  <a:pt x="158709" y="0"/>
                                </a:lnTo>
                              </a:path>
                            </a:pathLst>
                          </a:custGeom>
                          <a:ln w="18553">
                            <a:solidFill>
                              <a:srgbClr val="00AF50"/>
                            </a:solidFill>
                            <a:prstDash val="solid"/>
                          </a:ln>
                        </wps:spPr>
                        <wps:bodyPr wrap="square" lIns="0" tIns="0" rIns="0" bIns="0" rtlCol="0">
                          <a:prstTxWarp prst="textNoShape">
                            <a:avLst/>
                          </a:prstTxWarp>
                          <a:noAutofit/>
                        </wps:bodyPr>
                      </wps:wsp>
                      <wps:wsp>
                        <wps:cNvPr id="173" name="Graphic 173"/>
                        <wps:cNvSpPr/>
                        <wps:spPr>
                          <a:xfrm>
                            <a:off x="3093" y="3093"/>
                            <a:ext cx="2980690" cy="1742439"/>
                          </a:xfrm>
                          <a:custGeom>
                            <a:avLst/>
                            <a:gdLst/>
                            <a:ahLst/>
                            <a:cxnLst/>
                            <a:rect l="l" t="t" r="r" b="b"/>
                            <a:pathLst>
                              <a:path w="2980690" h="1742439">
                                <a:moveTo>
                                  <a:pt x="0" y="0"/>
                                </a:moveTo>
                                <a:lnTo>
                                  <a:pt x="2980616" y="0"/>
                                </a:lnTo>
                                <a:lnTo>
                                  <a:pt x="2980616" y="1742397"/>
                                </a:lnTo>
                                <a:lnTo>
                                  <a:pt x="0" y="1742397"/>
                                </a:lnTo>
                                <a:lnTo>
                                  <a:pt x="0" y="0"/>
                                </a:lnTo>
                                <a:close/>
                              </a:path>
                            </a:pathLst>
                          </a:custGeom>
                          <a:ln w="6187">
                            <a:solidFill>
                              <a:srgbClr val="858585"/>
                            </a:solidFill>
                            <a:prstDash val="solid"/>
                          </a:ln>
                        </wps:spPr>
                        <wps:bodyPr wrap="square" lIns="0" tIns="0" rIns="0" bIns="0" rtlCol="0">
                          <a:prstTxWarp prst="textNoShape">
                            <a:avLst/>
                          </a:prstTxWarp>
                          <a:noAutofit/>
                        </wps:bodyPr>
                      </wps:wsp>
                      <wps:wsp>
                        <wps:cNvPr id="174" name="Textbox 174"/>
                        <wps:cNvSpPr txBox="1"/>
                        <wps:spPr>
                          <a:xfrm>
                            <a:off x="122908" y="184127"/>
                            <a:ext cx="59055" cy="91440"/>
                          </a:xfrm>
                          <a:prstGeom prst="rect">
                            <a:avLst/>
                          </a:prstGeom>
                        </wps:spPr>
                        <wps:txbx>
                          <w:txbxContent>
                            <w:p w14:paraId="58227187" w14:textId="77777777" w:rsidR="00E6279B" w:rsidRDefault="00E6279B" w:rsidP="00E6279B">
                              <w:pPr>
                                <w:spacing w:line="143" w:lineRule="exact"/>
                                <w:rPr>
                                  <w:rFonts w:ascii="Calibri"/>
                                  <w:sz w:val="14"/>
                                </w:rPr>
                              </w:pPr>
                              <w:r>
                                <w:rPr>
                                  <w:rFonts w:ascii="Calibri"/>
                                  <w:spacing w:val="-10"/>
                                  <w:sz w:val="14"/>
                                </w:rPr>
                                <w:t>4</w:t>
                              </w:r>
                            </w:p>
                          </w:txbxContent>
                        </wps:txbx>
                        <wps:bodyPr wrap="square" lIns="0" tIns="0" rIns="0" bIns="0" rtlCol="0">
                          <a:noAutofit/>
                        </wps:bodyPr>
                      </wps:wsp>
                      <wps:wsp>
                        <wps:cNvPr id="175" name="Textbox 175"/>
                        <wps:cNvSpPr txBox="1"/>
                        <wps:spPr>
                          <a:xfrm>
                            <a:off x="294438" y="44907"/>
                            <a:ext cx="2225675" cy="263525"/>
                          </a:xfrm>
                          <a:prstGeom prst="rect">
                            <a:avLst/>
                          </a:prstGeom>
                        </wps:spPr>
                        <wps:txbx>
                          <w:txbxContent>
                            <w:p w14:paraId="4FAE00BF" w14:textId="77777777" w:rsidR="00E6279B" w:rsidRDefault="00E6279B" w:rsidP="00E6279B">
                              <w:pPr>
                                <w:spacing w:line="187" w:lineRule="exact"/>
                                <w:ind w:left="527"/>
                                <w:rPr>
                                  <w:b/>
                                  <w:sz w:val="17"/>
                                </w:rPr>
                              </w:pPr>
                              <w:r>
                                <w:rPr>
                                  <w:i/>
                                  <w:sz w:val="17"/>
                                </w:rPr>
                                <w:t>Graph</w:t>
                              </w:r>
                              <w:r>
                                <w:rPr>
                                  <w:i/>
                                  <w:spacing w:val="-4"/>
                                  <w:sz w:val="17"/>
                                </w:rPr>
                                <w:t xml:space="preserve"> </w:t>
                              </w:r>
                              <w:r>
                                <w:rPr>
                                  <w:i/>
                                  <w:sz w:val="17"/>
                                </w:rPr>
                                <w:t>1.3:</w:t>
                              </w:r>
                              <w:r>
                                <w:rPr>
                                  <w:i/>
                                  <w:spacing w:val="-4"/>
                                  <w:sz w:val="17"/>
                                </w:rPr>
                                <w:t xml:space="preserve"> </w:t>
                              </w:r>
                              <w:r>
                                <w:rPr>
                                  <w:b/>
                                  <w:sz w:val="17"/>
                                </w:rPr>
                                <w:t>Albania</w:t>
                              </w:r>
                              <w:r>
                                <w:rPr>
                                  <w:b/>
                                  <w:spacing w:val="-3"/>
                                  <w:sz w:val="17"/>
                                </w:rPr>
                                <w:t xml:space="preserve"> </w:t>
                              </w:r>
                              <w:r>
                                <w:rPr>
                                  <w:b/>
                                  <w:sz w:val="17"/>
                                </w:rPr>
                                <w:t>-</w:t>
                              </w:r>
                              <w:r>
                                <w:rPr>
                                  <w:b/>
                                  <w:spacing w:val="-6"/>
                                  <w:sz w:val="17"/>
                                </w:rPr>
                                <w:t xml:space="preserve"> </w:t>
                              </w:r>
                              <w:r>
                                <w:rPr>
                                  <w:b/>
                                  <w:sz w:val="17"/>
                                </w:rPr>
                                <w:t>Fiscal</w:t>
                              </w:r>
                              <w:r>
                                <w:rPr>
                                  <w:b/>
                                  <w:spacing w:val="-3"/>
                                  <w:sz w:val="17"/>
                                </w:rPr>
                                <w:t xml:space="preserve"> </w:t>
                              </w:r>
                              <w:r>
                                <w:rPr>
                                  <w:b/>
                                  <w:spacing w:val="-2"/>
                                  <w:sz w:val="17"/>
                                </w:rPr>
                                <w:t>developments</w:t>
                              </w:r>
                            </w:p>
                            <w:p w14:paraId="615F7926" w14:textId="77777777" w:rsidR="00E6279B" w:rsidRDefault="00E6279B" w:rsidP="00E6279B">
                              <w:pPr>
                                <w:spacing w:before="58" w:line="169" w:lineRule="exact"/>
                                <w:rPr>
                                  <w:rFonts w:ascii="Calibri"/>
                                  <w:sz w:val="14"/>
                                </w:rPr>
                              </w:pPr>
                              <w:r>
                                <w:rPr>
                                  <w:rFonts w:ascii="Calibri"/>
                                  <w:sz w:val="14"/>
                                </w:rPr>
                                <w:t>%</w:t>
                              </w:r>
                              <w:r>
                                <w:rPr>
                                  <w:rFonts w:ascii="Calibri"/>
                                  <w:spacing w:val="1"/>
                                  <w:sz w:val="14"/>
                                </w:rPr>
                                <w:t xml:space="preserve"> </w:t>
                              </w:r>
                              <w:r>
                                <w:rPr>
                                  <w:rFonts w:ascii="Calibri"/>
                                  <w:sz w:val="14"/>
                                </w:rPr>
                                <w:t>of</w:t>
                              </w:r>
                              <w:r>
                                <w:rPr>
                                  <w:rFonts w:ascii="Calibri"/>
                                  <w:spacing w:val="1"/>
                                  <w:sz w:val="14"/>
                                </w:rPr>
                                <w:t xml:space="preserve"> </w:t>
                              </w:r>
                              <w:r>
                                <w:rPr>
                                  <w:rFonts w:ascii="Calibri"/>
                                  <w:spacing w:val="-5"/>
                                  <w:sz w:val="14"/>
                                </w:rPr>
                                <w:t>GDP</w:t>
                              </w:r>
                            </w:p>
                          </w:txbxContent>
                        </wps:txbx>
                        <wps:bodyPr wrap="square" lIns="0" tIns="0" rIns="0" bIns="0" rtlCol="0">
                          <a:noAutofit/>
                        </wps:bodyPr>
                      </wps:wsp>
                      <wps:wsp>
                        <wps:cNvPr id="176" name="Textbox 176"/>
                        <wps:cNvSpPr txBox="1"/>
                        <wps:spPr>
                          <a:xfrm>
                            <a:off x="2837027" y="188404"/>
                            <a:ext cx="96520" cy="330200"/>
                          </a:xfrm>
                          <a:prstGeom prst="rect">
                            <a:avLst/>
                          </a:prstGeom>
                        </wps:spPr>
                        <wps:txbx>
                          <w:txbxContent>
                            <w:p w14:paraId="6C4A2385" w14:textId="77777777" w:rsidR="00E6279B" w:rsidRDefault="00E6279B" w:rsidP="00E6279B">
                              <w:pPr>
                                <w:spacing w:line="132" w:lineRule="exact"/>
                                <w:rPr>
                                  <w:rFonts w:ascii="Calibri"/>
                                  <w:sz w:val="13"/>
                                </w:rPr>
                              </w:pPr>
                              <w:r>
                                <w:rPr>
                                  <w:rFonts w:ascii="Calibri"/>
                                  <w:spacing w:val="-5"/>
                                  <w:sz w:val="13"/>
                                </w:rPr>
                                <w:t>80</w:t>
                              </w:r>
                            </w:p>
                            <w:p w14:paraId="73419987" w14:textId="77777777" w:rsidR="00E6279B" w:rsidRDefault="00E6279B" w:rsidP="00E6279B">
                              <w:pPr>
                                <w:spacing w:before="72"/>
                                <w:rPr>
                                  <w:rFonts w:ascii="Calibri"/>
                                  <w:sz w:val="13"/>
                                </w:rPr>
                              </w:pPr>
                            </w:p>
                            <w:p w14:paraId="36ABC5C2" w14:textId="77777777" w:rsidR="00E6279B" w:rsidRDefault="00E6279B" w:rsidP="00E6279B">
                              <w:pPr>
                                <w:spacing w:before="1" w:line="156" w:lineRule="exact"/>
                                <w:rPr>
                                  <w:rFonts w:ascii="Calibri"/>
                                  <w:sz w:val="13"/>
                                </w:rPr>
                              </w:pPr>
                              <w:r>
                                <w:rPr>
                                  <w:rFonts w:ascii="Calibri"/>
                                  <w:spacing w:val="-5"/>
                                  <w:sz w:val="13"/>
                                </w:rPr>
                                <w:t>60</w:t>
                              </w:r>
                            </w:p>
                          </w:txbxContent>
                        </wps:txbx>
                        <wps:bodyPr wrap="square" lIns="0" tIns="0" rIns="0" bIns="0" rtlCol="0">
                          <a:noAutofit/>
                        </wps:bodyPr>
                      </wps:wsp>
                      <wps:wsp>
                        <wps:cNvPr id="177" name="Textbox 177"/>
                        <wps:cNvSpPr txBox="1"/>
                        <wps:spPr>
                          <a:xfrm>
                            <a:off x="122908" y="514517"/>
                            <a:ext cx="59055" cy="91440"/>
                          </a:xfrm>
                          <a:prstGeom prst="rect">
                            <a:avLst/>
                          </a:prstGeom>
                        </wps:spPr>
                        <wps:txbx>
                          <w:txbxContent>
                            <w:p w14:paraId="66FB8884" w14:textId="77777777" w:rsidR="00E6279B" w:rsidRDefault="00E6279B" w:rsidP="00E6279B">
                              <w:pPr>
                                <w:spacing w:line="143" w:lineRule="exact"/>
                                <w:rPr>
                                  <w:rFonts w:ascii="Calibri"/>
                                  <w:sz w:val="14"/>
                                </w:rPr>
                              </w:pPr>
                              <w:r>
                                <w:rPr>
                                  <w:rFonts w:ascii="Calibri"/>
                                  <w:spacing w:val="-10"/>
                                  <w:sz w:val="14"/>
                                </w:rPr>
                                <w:t>0</w:t>
                              </w:r>
                            </w:p>
                          </w:txbxContent>
                        </wps:txbx>
                        <wps:bodyPr wrap="square" lIns="0" tIns="0" rIns="0" bIns="0" rtlCol="0">
                          <a:noAutofit/>
                        </wps:bodyPr>
                      </wps:wsp>
                      <wps:wsp>
                        <wps:cNvPr id="178" name="Textbox 178"/>
                        <wps:cNvSpPr txBox="1"/>
                        <wps:spPr>
                          <a:xfrm>
                            <a:off x="2837027" y="683989"/>
                            <a:ext cx="96520" cy="82550"/>
                          </a:xfrm>
                          <a:prstGeom prst="rect">
                            <a:avLst/>
                          </a:prstGeom>
                        </wps:spPr>
                        <wps:txbx>
                          <w:txbxContent>
                            <w:p w14:paraId="561EF36A" w14:textId="77777777" w:rsidR="00E6279B" w:rsidRDefault="00E6279B" w:rsidP="00E6279B">
                              <w:pPr>
                                <w:spacing w:line="129" w:lineRule="exact"/>
                                <w:rPr>
                                  <w:rFonts w:ascii="Calibri"/>
                                  <w:sz w:val="13"/>
                                </w:rPr>
                              </w:pPr>
                              <w:r>
                                <w:rPr>
                                  <w:rFonts w:ascii="Calibri"/>
                                  <w:spacing w:val="-5"/>
                                  <w:sz w:val="13"/>
                                </w:rPr>
                                <w:t>40</w:t>
                              </w:r>
                            </w:p>
                          </w:txbxContent>
                        </wps:txbx>
                        <wps:bodyPr wrap="square" lIns="0" tIns="0" rIns="0" bIns="0" rtlCol="0">
                          <a:noAutofit/>
                        </wps:bodyPr>
                      </wps:wsp>
                      <wps:wsp>
                        <wps:cNvPr id="179" name="Textbox 179"/>
                        <wps:cNvSpPr txBox="1"/>
                        <wps:spPr>
                          <a:xfrm>
                            <a:off x="95053" y="844908"/>
                            <a:ext cx="86995" cy="91440"/>
                          </a:xfrm>
                          <a:prstGeom prst="rect">
                            <a:avLst/>
                          </a:prstGeom>
                        </wps:spPr>
                        <wps:txbx>
                          <w:txbxContent>
                            <w:p w14:paraId="002E5C17" w14:textId="77777777" w:rsidR="00E6279B" w:rsidRDefault="00E6279B" w:rsidP="00E6279B">
                              <w:pPr>
                                <w:spacing w:line="143" w:lineRule="exact"/>
                                <w:rPr>
                                  <w:rFonts w:ascii="Calibri"/>
                                  <w:sz w:val="14"/>
                                </w:rPr>
                              </w:pPr>
                              <w:r>
                                <w:rPr>
                                  <w:rFonts w:ascii="Calibri"/>
                                  <w:spacing w:val="-2"/>
                                  <w:sz w:val="14"/>
                                </w:rPr>
                                <w:t>-</w:t>
                              </w:r>
                              <w:r>
                                <w:rPr>
                                  <w:rFonts w:ascii="Calibri"/>
                                  <w:spacing w:val="-10"/>
                                  <w:sz w:val="14"/>
                                </w:rPr>
                                <w:t>4</w:t>
                              </w:r>
                            </w:p>
                          </w:txbxContent>
                        </wps:txbx>
                        <wps:bodyPr wrap="square" lIns="0" tIns="0" rIns="0" bIns="0" rtlCol="0">
                          <a:noAutofit/>
                        </wps:bodyPr>
                      </wps:wsp>
                      <wps:wsp>
                        <wps:cNvPr id="180" name="Textbox 180"/>
                        <wps:cNvSpPr txBox="1"/>
                        <wps:spPr>
                          <a:xfrm>
                            <a:off x="2837027" y="931781"/>
                            <a:ext cx="96520" cy="82550"/>
                          </a:xfrm>
                          <a:prstGeom prst="rect">
                            <a:avLst/>
                          </a:prstGeom>
                        </wps:spPr>
                        <wps:txbx>
                          <w:txbxContent>
                            <w:p w14:paraId="57C36B16" w14:textId="77777777" w:rsidR="00E6279B" w:rsidRDefault="00E6279B" w:rsidP="00E6279B">
                              <w:pPr>
                                <w:spacing w:line="129" w:lineRule="exact"/>
                                <w:rPr>
                                  <w:rFonts w:ascii="Calibri"/>
                                  <w:sz w:val="13"/>
                                </w:rPr>
                              </w:pPr>
                              <w:r>
                                <w:rPr>
                                  <w:rFonts w:ascii="Calibri"/>
                                  <w:spacing w:val="-5"/>
                                  <w:sz w:val="13"/>
                                </w:rPr>
                                <w:t>20</w:t>
                              </w:r>
                            </w:p>
                          </w:txbxContent>
                        </wps:txbx>
                        <wps:bodyPr wrap="square" lIns="0" tIns="0" rIns="0" bIns="0" rtlCol="0">
                          <a:noAutofit/>
                        </wps:bodyPr>
                      </wps:wsp>
                      <wps:wsp>
                        <wps:cNvPr id="181" name="Textbox 181"/>
                        <wps:cNvSpPr txBox="1"/>
                        <wps:spPr>
                          <a:xfrm>
                            <a:off x="95051" y="1175299"/>
                            <a:ext cx="86995" cy="91440"/>
                          </a:xfrm>
                          <a:prstGeom prst="rect">
                            <a:avLst/>
                          </a:prstGeom>
                        </wps:spPr>
                        <wps:txbx>
                          <w:txbxContent>
                            <w:p w14:paraId="5A3D2A5B" w14:textId="77777777" w:rsidR="00E6279B" w:rsidRDefault="00E6279B" w:rsidP="00E6279B">
                              <w:pPr>
                                <w:spacing w:line="143" w:lineRule="exact"/>
                                <w:rPr>
                                  <w:rFonts w:ascii="Calibri"/>
                                  <w:sz w:val="14"/>
                                </w:rPr>
                              </w:pPr>
                              <w:r>
                                <w:rPr>
                                  <w:rFonts w:ascii="Calibri"/>
                                  <w:spacing w:val="-2"/>
                                  <w:sz w:val="14"/>
                                </w:rPr>
                                <w:t>-</w:t>
                              </w:r>
                              <w:r>
                                <w:rPr>
                                  <w:rFonts w:ascii="Calibri"/>
                                  <w:spacing w:val="-10"/>
                                  <w:sz w:val="14"/>
                                </w:rPr>
                                <w:t>8</w:t>
                              </w:r>
                            </w:p>
                          </w:txbxContent>
                        </wps:txbx>
                        <wps:bodyPr wrap="square" lIns="0" tIns="0" rIns="0" bIns="0" rtlCol="0">
                          <a:noAutofit/>
                        </wps:bodyPr>
                      </wps:wsp>
                      <wps:wsp>
                        <wps:cNvPr id="182" name="Textbox 182"/>
                        <wps:cNvSpPr txBox="1"/>
                        <wps:spPr>
                          <a:xfrm>
                            <a:off x="2837027" y="1179575"/>
                            <a:ext cx="54610" cy="82550"/>
                          </a:xfrm>
                          <a:prstGeom prst="rect">
                            <a:avLst/>
                          </a:prstGeom>
                        </wps:spPr>
                        <wps:txbx>
                          <w:txbxContent>
                            <w:p w14:paraId="3EEFD92B" w14:textId="77777777" w:rsidR="00E6279B" w:rsidRDefault="00E6279B" w:rsidP="00E6279B">
                              <w:pPr>
                                <w:spacing w:line="129" w:lineRule="exact"/>
                                <w:rPr>
                                  <w:rFonts w:ascii="Calibri"/>
                                  <w:sz w:val="13"/>
                                </w:rPr>
                              </w:pPr>
                              <w:r>
                                <w:rPr>
                                  <w:rFonts w:ascii="Calibri"/>
                                  <w:spacing w:val="-10"/>
                                  <w:sz w:val="13"/>
                                </w:rPr>
                                <w:t>0</w:t>
                              </w:r>
                            </w:p>
                          </w:txbxContent>
                        </wps:txbx>
                        <wps:bodyPr wrap="square" lIns="0" tIns="0" rIns="0" bIns="0" rtlCol="0">
                          <a:noAutofit/>
                        </wps:bodyPr>
                      </wps:wsp>
                      <wps:wsp>
                        <wps:cNvPr id="183" name="Textbox 183"/>
                        <wps:cNvSpPr txBox="1"/>
                        <wps:spPr>
                          <a:xfrm>
                            <a:off x="370108" y="1293253"/>
                            <a:ext cx="2486025" cy="424180"/>
                          </a:xfrm>
                          <a:prstGeom prst="rect">
                            <a:avLst/>
                          </a:prstGeom>
                        </wps:spPr>
                        <wps:txbx>
                          <w:txbxContent>
                            <w:p w14:paraId="33479ADA" w14:textId="77777777" w:rsidR="00E6279B" w:rsidRDefault="00E6279B" w:rsidP="00E6279B">
                              <w:pPr>
                                <w:tabs>
                                  <w:tab w:val="left" w:pos="657"/>
                                  <w:tab w:val="left" w:pos="1315"/>
                                  <w:tab w:val="left" w:pos="1973"/>
                                  <w:tab w:val="left" w:pos="2631"/>
                                  <w:tab w:val="left" w:pos="3289"/>
                                </w:tabs>
                                <w:spacing w:line="145" w:lineRule="exact"/>
                                <w:rPr>
                                  <w:rFonts w:ascii="Calibri"/>
                                  <w:b/>
                                  <w:sz w:val="14"/>
                                </w:rPr>
                              </w:pPr>
                              <w:r>
                                <w:rPr>
                                  <w:rFonts w:ascii="Calibri"/>
                                  <w:b/>
                                  <w:spacing w:val="-4"/>
                                  <w:sz w:val="14"/>
                                </w:rPr>
                                <w:t>2017</w:t>
                              </w:r>
                              <w:r>
                                <w:rPr>
                                  <w:rFonts w:ascii="Calibri"/>
                                  <w:b/>
                                  <w:sz w:val="14"/>
                                </w:rPr>
                                <w:tab/>
                              </w:r>
                              <w:r>
                                <w:rPr>
                                  <w:rFonts w:ascii="Calibri"/>
                                  <w:b/>
                                  <w:spacing w:val="-4"/>
                                  <w:sz w:val="14"/>
                                </w:rPr>
                                <w:t>2018</w:t>
                              </w:r>
                              <w:r>
                                <w:rPr>
                                  <w:rFonts w:ascii="Calibri"/>
                                  <w:b/>
                                  <w:sz w:val="14"/>
                                </w:rPr>
                                <w:tab/>
                              </w:r>
                              <w:r>
                                <w:rPr>
                                  <w:rFonts w:ascii="Calibri"/>
                                  <w:b/>
                                  <w:spacing w:val="-4"/>
                                  <w:sz w:val="14"/>
                                </w:rPr>
                                <w:t>2019</w:t>
                              </w:r>
                              <w:r>
                                <w:rPr>
                                  <w:rFonts w:ascii="Calibri"/>
                                  <w:b/>
                                  <w:sz w:val="14"/>
                                </w:rPr>
                                <w:tab/>
                              </w:r>
                              <w:r>
                                <w:rPr>
                                  <w:rFonts w:ascii="Calibri"/>
                                  <w:b/>
                                  <w:spacing w:val="-4"/>
                                  <w:sz w:val="14"/>
                                </w:rPr>
                                <w:t>2020</w:t>
                              </w:r>
                              <w:r>
                                <w:rPr>
                                  <w:rFonts w:ascii="Calibri"/>
                                  <w:b/>
                                  <w:sz w:val="14"/>
                                </w:rPr>
                                <w:tab/>
                              </w:r>
                              <w:r>
                                <w:rPr>
                                  <w:rFonts w:ascii="Calibri"/>
                                  <w:b/>
                                  <w:spacing w:val="-4"/>
                                  <w:sz w:val="14"/>
                                </w:rPr>
                                <w:t>2021</w:t>
                              </w:r>
                              <w:r>
                                <w:rPr>
                                  <w:rFonts w:ascii="Calibri"/>
                                  <w:b/>
                                  <w:sz w:val="14"/>
                                </w:rPr>
                                <w:tab/>
                              </w:r>
                              <w:r>
                                <w:rPr>
                                  <w:rFonts w:ascii="Calibri"/>
                                  <w:b/>
                                  <w:spacing w:val="-4"/>
                                  <w:sz w:val="14"/>
                                </w:rPr>
                                <w:t>2022</w:t>
                              </w:r>
                            </w:p>
                            <w:p w14:paraId="5D0C5AB6" w14:textId="77777777" w:rsidR="00E6279B" w:rsidRDefault="00E6279B" w:rsidP="00E6279B">
                              <w:pPr>
                                <w:tabs>
                                  <w:tab w:val="left" w:pos="1986"/>
                                </w:tabs>
                                <w:spacing w:before="36" w:line="167" w:lineRule="exact"/>
                                <w:ind w:left="32"/>
                                <w:rPr>
                                  <w:rFonts w:ascii="Calibri"/>
                                  <w:sz w:val="14"/>
                                </w:rPr>
                              </w:pPr>
                              <w:r>
                                <w:rPr>
                                  <w:rFonts w:ascii="Calibri"/>
                                  <w:sz w:val="14"/>
                                </w:rPr>
                                <w:t>Primary</w:t>
                              </w:r>
                              <w:r>
                                <w:rPr>
                                  <w:rFonts w:ascii="Calibri"/>
                                  <w:spacing w:val="4"/>
                                  <w:sz w:val="14"/>
                                </w:rPr>
                                <w:t xml:space="preserve"> </w:t>
                              </w:r>
                              <w:r>
                                <w:rPr>
                                  <w:rFonts w:ascii="Calibri"/>
                                  <w:sz w:val="14"/>
                                </w:rPr>
                                <w:t>balance</w:t>
                              </w:r>
                              <w:r>
                                <w:rPr>
                                  <w:rFonts w:ascii="Calibri"/>
                                  <w:spacing w:val="2"/>
                                  <w:sz w:val="14"/>
                                </w:rPr>
                                <w:t xml:space="preserve"> </w:t>
                              </w:r>
                              <w:r>
                                <w:rPr>
                                  <w:rFonts w:ascii="Calibri"/>
                                  <w:spacing w:val="-2"/>
                                  <w:sz w:val="14"/>
                                </w:rPr>
                                <w:t>(</w:t>
                              </w:r>
                              <w:proofErr w:type="spellStart"/>
                              <w:r>
                                <w:rPr>
                                  <w:rFonts w:ascii="Calibri"/>
                                  <w:spacing w:val="-2"/>
                                  <w:sz w:val="14"/>
                                </w:rPr>
                                <w:t>lhs</w:t>
                              </w:r>
                              <w:proofErr w:type="spellEnd"/>
                              <w:r>
                                <w:rPr>
                                  <w:rFonts w:ascii="Calibri"/>
                                  <w:spacing w:val="-2"/>
                                  <w:sz w:val="14"/>
                                </w:rPr>
                                <w:t>)</w:t>
                              </w:r>
                              <w:r>
                                <w:rPr>
                                  <w:rFonts w:ascii="Calibri"/>
                                  <w:sz w:val="14"/>
                                </w:rPr>
                                <w:tab/>
                                <w:t>Interest</w:t>
                              </w:r>
                              <w:r>
                                <w:rPr>
                                  <w:rFonts w:ascii="Calibri"/>
                                  <w:spacing w:val="2"/>
                                  <w:sz w:val="14"/>
                                </w:rPr>
                                <w:t xml:space="preserve"> </w:t>
                              </w:r>
                              <w:r>
                                <w:rPr>
                                  <w:rFonts w:ascii="Calibri"/>
                                  <w:spacing w:val="-2"/>
                                  <w:sz w:val="14"/>
                                </w:rPr>
                                <w:t>(</w:t>
                              </w:r>
                              <w:proofErr w:type="spellStart"/>
                              <w:r>
                                <w:rPr>
                                  <w:rFonts w:ascii="Calibri"/>
                                  <w:spacing w:val="-2"/>
                                  <w:sz w:val="14"/>
                                </w:rPr>
                                <w:t>lhs</w:t>
                              </w:r>
                              <w:proofErr w:type="spellEnd"/>
                              <w:r>
                                <w:rPr>
                                  <w:rFonts w:ascii="Calibri"/>
                                  <w:spacing w:val="-2"/>
                                  <w:sz w:val="14"/>
                                </w:rPr>
                                <w:t>)</w:t>
                              </w:r>
                            </w:p>
                            <w:p w14:paraId="3E00D6D4" w14:textId="77777777" w:rsidR="00E6279B" w:rsidRDefault="00E6279B" w:rsidP="00E6279B">
                              <w:pPr>
                                <w:tabs>
                                  <w:tab w:val="left" w:pos="1986"/>
                                </w:tabs>
                                <w:spacing w:line="159" w:lineRule="exact"/>
                                <w:ind w:left="32"/>
                                <w:rPr>
                                  <w:rFonts w:ascii="Calibri"/>
                                  <w:sz w:val="14"/>
                                </w:rPr>
                              </w:pPr>
                              <w:r>
                                <w:rPr>
                                  <w:rFonts w:ascii="Calibri"/>
                                  <w:sz w:val="14"/>
                                </w:rPr>
                                <w:t>GG</w:t>
                              </w:r>
                              <w:r>
                                <w:rPr>
                                  <w:rFonts w:ascii="Calibri"/>
                                  <w:spacing w:val="3"/>
                                  <w:sz w:val="14"/>
                                </w:rPr>
                                <w:t xml:space="preserve"> </w:t>
                              </w:r>
                              <w:r>
                                <w:rPr>
                                  <w:rFonts w:ascii="Calibri"/>
                                  <w:sz w:val="14"/>
                                </w:rPr>
                                <w:t>balance</w:t>
                              </w:r>
                              <w:r>
                                <w:rPr>
                                  <w:rFonts w:ascii="Calibri"/>
                                  <w:spacing w:val="5"/>
                                  <w:sz w:val="14"/>
                                </w:rPr>
                                <w:t xml:space="preserve"> </w:t>
                              </w:r>
                              <w:r>
                                <w:rPr>
                                  <w:rFonts w:ascii="Calibri"/>
                                  <w:spacing w:val="-2"/>
                                  <w:sz w:val="14"/>
                                </w:rPr>
                                <w:t>(</w:t>
                              </w:r>
                              <w:proofErr w:type="spellStart"/>
                              <w:r>
                                <w:rPr>
                                  <w:rFonts w:ascii="Calibri"/>
                                  <w:spacing w:val="-2"/>
                                  <w:sz w:val="14"/>
                                </w:rPr>
                                <w:t>lhs</w:t>
                              </w:r>
                              <w:proofErr w:type="spellEnd"/>
                              <w:r>
                                <w:rPr>
                                  <w:rFonts w:ascii="Calibri"/>
                                  <w:spacing w:val="-2"/>
                                  <w:sz w:val="14"/>
                                </w:rPr>
                                <w:t>)</w:t>
                              </w:r>
                              <w:r>
                                <w:rPr>
                                  <w:rFonts w:ascii="Calibri"/>
                                  <w:sz w:val="14"/>
                                </w:rPr>
                                <w:tab/>
                                <w:t>Public</w:t>
                              </w:r>
                              <w:r>
                                <w:rPr>
                                  <w:rFonts w:ascii="Calibri"/>
                                  <w:spacing w:val="2"/>
                                  <w:sz w:val="14"/>
                                </w:rPr>
                                <w:t xml:space="preserve"> </w:t>
                              </w:r>
                              <w:r>
                                <w:rPr>
                                  <w:rFonts w:ascii="Calibri"/>
                                  <w:sz w:val="14"/>
                                </w:rPr>
                                <w:t>debt</w:t>
                              </w:r>
                              <w:r>
                                <w:rPr>
                                  <w:rFonts w:ascii="Calibri"/>
                                  <w:spacing w:val="5"/>
                                  <w:sz w:val="14"/>
                                </w:rPr>
                                <w:t xml:space="preserve"> </w:t>
                              </w:r>
                              <w:r>
                                <w:rPr>
                                  <w:rFonts w:ascii="Calibri"/>
                                  <w:spacing w:val="-4"/>
                                  <w:sz w:val="14"/>
                                </w:rPr>
                                <w:t>(</w:t>
                              </w:r>
                              <w:proofErr w:type="spellStart"/>
                              <w:r>
                                <w:rPr>
                                  <w:rFonts w:ascii="Calibri"/>
                                  <w:spacing w:val="-4"/>
                                  <w:sz w:val="14"/>
                                </w:rPr>
                                <w:t>rhs</w:t>
                              </w:r>
                              <w:proofErr w:type="spellEnd"/>
                              <w:r>
                                <w:rPr>
                                  <w:rFonts w:ascii="Calibri"/>
                                  <w:spacing w:val="-4"/>
                                  <w:sz w:val="14"/>
                                </w:rPr>
                                <w:t>)</w:t>
                              </w:r>
                            </w:p>
                            <w:p w14:paraId="413E4D45" w14:textId="77777777" w:rsidR="00E6279B" w:rsidRDefault="00E6279B" w:rsidP="00E6279B">
                              <w:pPr>
                                <w:spacing w:line="161" w:lineRule="exact"/>
                                <w:ind w:left="2465"/>
                                <w:rPr>
                                  <w:rFonts w:ascii="Calibri"/>
                                  <w:i/>
                                  <w:sz w:val="14"/>
                                </w:rPr>
                              </w:pPr>
                              <w:r>
                                <w:rPr>
                                  <w:rFonts w:ascii="Calibri"/>
                                  <w:i/>
                                  <w:sz w:val="14"/>
                                </w:rPr>
                                <w:t>Source:</w:t>
                              </w:r>
                              <w:r>
                                <w:rPr>
                                  <w:rFonts w:ascii="Calibri"/>
                                  <w:i/>
                                  <w:spacing w:val="2"/>
                                  <w:sz w:val="14"/>
                                </w:rPr>
                                <w:t xml:space="preserve"> </w:t>
                              </w:r>
                              <w:r>
                                <w:rPr>
                                  <w:rFonts w:ascii="Calibri"/>
                                  <w:i/>
                                  <w:sz w:val="14"/>
                                </w:rPr>
                                <w:t>National</w:t>
                              </w:r>
                              <w:r>
                                <w:rPr>
                                  <w:rFonts w:ascii="Calibri"/>
                                  <w:i/>
                                  <w:spacing w:val="5"/>
                                  <w:sz w:val="14"/>
                                </w:rPr>
                                <w:t xml:space="preserve"> </w:t>
                              </w:r>
                              <w:r>
                                <w:rPr>
                                  <w:rFonts w:ascii="Calibri"/>
                                  <w:i/>
                                  <w:spacing w:val="-2"/>
                                  <w:sz w:val="14"/>
                                </w:rPr>
                                <w:t>sources</w:t>
                              </w:r>
                            </w:p>
                          </w:txbxContent>
                        </wps:txbx>
                        <wps:bodyPr wrap="square" lIns="0" tIns="0" rIns="0" bIns="0" rtlCol="0">
                          <a:noAutofit/>
                        </wps:bodyPr>
                      </wps:wsp>
                    </wpg:wgp>
                  </a:graphicData>
                </a:graphic>
                <wp14:sizeRelV relativeFrom="margin">
                  <wp14:pctHeight>0</wp14:pctHeight>
                </wp14:sizeRelV>
              </wp:anchor>
            </w:drawing>
          </mc:Choice>
          <mc:Fallback>
            <w:pict>
              <v:group w14:anchorId="2D65641C" id="Group 150" o:spid="_x0000_s1107" style="position:absolute;left:0;text-align:left;margin-left:297.65pt;margin-top:11.25pt;width:235.2pt;height:218.15pt;z-index:251662336;mso-wrap-distance-left:0;mso-wrap-distance-right:0;mso-position-horizontal-relative:page;mso-height-relative:margin" coordsize="29870,174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">
                <v:shape id="Graphic 151" o:spid="_x0000_s1108" style="position:absolute;left:3790;top:5077;width:22561;height:4299;visibility:visible;mso-wrap-style:square;v-text-anchor:top" coordsize="2256155,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" path="m166636,41554l,41554r,7912l166636,49466r,-7912xem584212,l417576,r,49466l584212,49466,584212,xem1002792,32651r-167628,l835164,49466r167628,l1002792,32651xem1420368,49466r-167628,l1252740,429412r167628,l1420368,49466xem1837944,49466r-166637,l1671307,264172r166637,l1837944,49466xem2255532,49466r-166636,l2088896,197891r166636,l2255532,49466xe" fillcolor="#2e9afa" stroked="f">
                  <v:path arrowok="t"/>
                </v:shape>
                <v:shape id="Graphic 152" o:spid="_x0000_s1109" style="position:absolute;left:3790;top:5077;width:22555;height:4298;visibility:visible;mso-wrap-style:square;v-text-anchor:top" coordsize="2255520,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" path="m,41555r166635,l166635,49471,,49471,,41555xem417579,l584214,r,49471l417579,49471,417579,xem835159,32651r167627,l1002786,49471r-167627,l835159,32651xem1252738,429411r167627,l1420365,49471r-167627,l1252738,429411xem1671310,264177r166635,l1837945,49471r-166635,l1671310,264177xem2088889,197885r166636,l2255525,49471r-166636,l2088889,197885xe" filled="f" strokecolor="#034e92" strokeweight=".17197mm">
                  <v:path arrowok="t"/>
                </v:shape>
                <v:shape id="Graphic 153" o:spid="_x0000_s1110" style="position:absolute;left:3790;top:5571;width:22561;height:5531;visibility:visible;mso-wrap-style:square;v-text-anchor:top" coordsize="2256155,553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" path="m166636,l,,,169189r166636,l166636,xem584225,l417588,r,182054l584225,182054,584225,xem1002804,l835164,r,173151l1002804,173151,1002804,xem1420380,379933r-167627,l1252753,553085r167627,l1420380,379933xem1837969,214706r-166637,l1671332,372021r166637,l1837969,214706xem2255545,148412r-166637,l2088908,305727r166637,l2255545,148412xe" fillcolor="#1a1d39" stroked="f">
                  <v:path arrowok="t"/>
                </v:shape>
                <v:shape id="Graphic 154" o:spid="_x0000_s1111" style="position:absolute;left:3790;top:5571;width:22561;height:5537;visibility:visible;mso-wrap-style:square;v-text-anchor:top" coordsize="2256155,55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" path="m,169193r166636,l166636,,,,,169193xem417583,182055r166637,l584220,,417583,r,182055xem835167,173150r167628,l1002795,,835167,r,173150xem1252750,553093r167629,l1420379,379942r-167629,l1252750,553093xem1671326,372026r166637,l1837963,214707r-166637,l1671326,372026xem2088910,305734r166636,l2255546,148415r-166636,l2088910,305734xe" filled="f" strokecolor="#253852" strokeweight=".17197mm">
                  <v:path arrowok="t"/>
                </v:shape>
                <v:shape id="Graphic 155" o:spid="_x0000_s1112" style="position:absolute;left:27605;top:2266;width:260;height:19831;visibility:visible;mso-wrap-style:square;v-text-anchor:top" coordsize="26034,198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" path="m,991420l,em,991420r25788,em,1239770r25788,em,1487131r25788,em,1735481r25788,em,1982841r25788,e" filled="f" strokecolor="#858585" strokeweight=".17197mm">
                  <v:path arrowok="t"/>
                </v:shape>
                <v:shape id="Graphic 156" o:spid="_x0000_s1113" style="position:absolute;left:2530;top:2266;width:13;height:9919;visibility:visible;mso-wrap-style:square;v-text-anchor:top" coordsize="1270,99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" path="m,991420l,e" filled="f" strokecolor="#858585" strokeweight=".17219mm">
                  <v:path arrowok="t"/>
                </v:shape>
                <v:shape id="Graphic 157" o:spid="_x0000_s1114" style="position:absolute;left:2242;top:2267;width:292;height:9918;visibility:visible;mso-wrap-style:square;v-text-anchor:top" coordsize="29209,99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" path="m,991420r28764,em,660947r28764,em,330473r28764,em,l28764,e" filled="f" strokecolor="#858585" strokeweight=".17197mm">
                  <v:path arrowok="t"/>
                </v:shape>
                <v:shape id="Graphic 158" o:spid="_x0000_s1115" style="position:absolute;left:2530;top:5571;width:25076;height:13;visibility:visible;mso-wrap-style:square;v-text-anchor:top" coordsize="2507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" path="m,l2507483,e" filled="f" strokecolor="#858585" strokeweight=".17175mm">
                  <v:path arrowok="t"/>
                </v:shape>
                <v:shape id="Graphic 159" o:spid="_x0000_s1116" style="position:absolute;left:2530;top:5284;width:25076;height:578;visibility:visible;mso-wrap-style:square;v-text-anchor:top" coordsize="250761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" path="m,l,57386em418575,r,57386em836158,r,57386em1253741,r,57386em1671324,r,57386em2089900,r,57386em2507483,r,57386e" filled="f" strokecolor="#858585" strokeweight=".17197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0" o:spid="_x0000_s1117" type="#_x0000_t75" style="position:absolute;left:4096;top:6698;width:1054;height:1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">
                  <v:imagedata r:id="rId13" o:title=""/>
                </v:shape>
                <v:shape id="Image 161" o:spid="_x0000_s1118" type="#_x0000_t75" style="position:absolute;left:8272;top:6391;width:1053;height:1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">
                  <v:imagedata r:id="rId13" o:title=""/>
                </v:shape>
                <v:shape id="Image 162" o:spid="_x0000_s1119" type="#_x0000_t75" style="position:absolute;left:12448;top:6589;width:1053;height:1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">
                  <v:imagedata r:id="rId13" o:title=""/>
                </v:shape>
                <v:shape id="Image 163" o:spid="_x0000_s1120" type="#_x0000_t75" style="position:absolute;left:16633;top:10586;width:1054;height:1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">
                  <v:imagedata r:id="rId14" o:title=""/>
                </v:shape>
                <v:shape id="Image 164" o:spid="_x0000_s1121" type="#_x0000_t75" style="position:absolute;left:20809;top:8845;width:1054;height:1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">
                  <v:imagedata r:id="rId13" o:title=""/>
                </v:shape>
                <v:shape id="Image 165" o:spid="_x0000_s1122" type="#_x0000_t75" style="position:absolute;left:24985;top:8073;width:1054;height:1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">
                  <v:imagedata r:id="rId13" o:title=""/>
                </v:shape>
                <v:shape id="Graphic 166" o:spid="_x0000_s1123" style="position:absolute;left:4618;top:2944;width:20904;height:1232;visibility:visible;mso-wrap-style:square;v-text-anchor:top" coordsize="2090420,123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" path="m,53429l418575,85091r417583,23747l1253742,2968,1671325,r418575,122690e" filled="f" strokecolor="#00af50" strokeweight=".51533mm">
                  <v:path arrowok="t"/>
                </v:shape>
                <v:shape id="Graphic 167" o:spid="_x0000_s1124" style="position:absolute;left:2153;top:14427;width:1588;height:495;visibility:visible;mso-wrap-style:square;v-text-anchor:top" coordsize="158750,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" path="m158709,49475l,49475,,,158709,r,49475xe" fillcolor="#2e9afa" stroked="f">
                  <v:path arrowok="t"/>
                </v:shape>
                <v:shape id="Graphic 168" o:spid="_x0000_s1125" style="position:absolute;left:2153;top:14427;width:1588;height:495;visibility:visible;mso-wrap-style:square;v-text-anchor:top" coordsize="158750,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" path="m,l158709,r,49475l,49475,,xe" filled="f" strokecolor="#034e92" strokeweight=".17181mm">
                  <v:path arrowok="t"/>
                </v:shape>
                <v:shape id="Graphic 169" o:spid="_x0000_s1126" style="position:absolute;left:14562;top:14427;width:1587;height:495;visibility:visible;mso-wrap-style:square;v-text-anchor:top" coordsize="158750,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" path="m158709,49475l,49475,,,158709,r,49475xe" fillcolor="#1a1d39" stroked="f">
                  <v:path arrowok="t"/>
                </v:shape>
                <v:shape id="Graphic 170" o:spid="_x0000_s1127" style="position:absolute;left:14562;top:14427;width:1587;height:495;visibility:visible;mso-wrap-style:square;v-text-anchor:top" coordsize="158750,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" path="m,l158709,r,49475l,49475,,xe" filled="f" strokecolor="#253852" strokeweight=".17181mm">
                  <v:path arrowok="t"/>
                </v:shape>
                <v:shape id="Graphic 171" o:spid="_x0000_s1128" style="position:absolute;left:2689;top:15456;width:501;height:495;visibility:visible;mso-wrap-style:square;v-text-anchor:top" coordsize="50165,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" path="m24798,49475l,24737,24798,,49596,24737,24798,49475xe" fillcolor="#ffd623" stroked="f">
                  <v:path arrowok="t"/>
                </v:shape>
                <v:shape id="Graphic 172" o:spid="_x0000_s1129" style="position:absolute;left:14557;top:15708;width:1587;height:13;visibility:visible;mso-wrap-style:square;v-text-anchor:top" coordsize="158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" path="m,l158709,e" filled="f" strokecolor="#00af50" strokeweight=".51536mm">
                  <v:path arrowok="t"/>
                </v:shape>
                <v:shape id="Graphic 173" o:spid="_x0000_s1130" style="position:absolute;left:30;top:30;width:29807;height:17425;visibility:visible;mso-wrap-style:square;v-text-anchor:top" coordsize="2980690,1742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" path="m,l2980616,r,1742397l,1742397,,xe" filled="f" strokecolor="#858585" strokeweight=".17186mm">
                  <v:path arrowok="t"/>
                </v:shape>
                <v:shape id="Textbox 174" o:spid="_x0000_s1131" type="#_x0000_t202" style="position:absolute;left:1229;top:1841;width:590;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58227187" w14:textId="77777777" w:rsidR="00E6279B" w:rsidRDefault="00E6279B" w:rsidP="00E6279B">
                        <w:pPr>
                          <w:spacing w:line="143" w:lineRule="exact"/>
                          <w:rPr>
                            <w:rFonts w:ascii="Calibri"/>
                            <w:sz w:val="14"/>
                          </w:rPr>
                        </w:pPr>
                        <w:r>
                          <w:rPr>
                            <w:rFonts w:ascii="Calibri"/>
                            <w:spacing w:val="-10"/>
                            <w:sz w:val="14"/>
                          </w:rPr>
                          <w:t>4</w:t>
                        </w:r>
                      </w:p>
                    </w:txbxContent>
                  </v:textbox>
                </v:shape>
                <v:shape id="Textbox 175" o:spid="_x0000_s1132" type="#_x0000_t202" style="position:absolute;left:2944;top:449;width:22257;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14:paraId="4FAE00BF" w14:textId="77777777" w:rsidR="00E6279B" w:rsidRDefault="00E6279B" w:rsidP="00E6279B">
                        <w:pPr>
                          <w:spacing w:line="187" w:lineRule="exact"/>
                          <w:ind w:left="527"/>
                          <w:rPr>
                            <w:b/>
                            <w:sz w:val="17"/>
                          </w:rPr>
                        </w:pPr>
                        <w:r>
                          <w:rPr>
                            <w:i/>
                            <w:sz w:val="17"/>
                          </w:rPr>
                          <w:t>Graph</w:t>
                        </w:r>
                        <w:r>
                          <w:rPr>
                            <w:i/>
                            <w:spacing w:val="-4"/>
                            <w:sz w:val="17"/>
                          </w:rPr>
                          <w:t xml:space="preserve"> </w:t>
                        </w:r>
                        <w:r>
                          <w:rPr>
                            <w:i/>
                            <w:sz w:val="17"/>
                          </w:rPr>
                          <w:t>1.3:</w:t>
                        </w:r>
                        <w:r>
                          <w:rPr>
                            <w:i/>
                            <w:spacing w:val="-4"/>
                            <w:sz w:val="17"/>
                          </w:rPr>
                          <w:t xml:space="preserve"> </w:t>
                        </w:r>
                        <w:r>
                          <w:rPr>
                            <w:b/>
                            <w:sz w:val="17"/>
                          </w:rPr>
                          <w:t>Albania</w:t>
                        </w:r>
                        <w:r>
                          <w:rPr>
                            <w:b/>
                            <w:spacing w:val="-3"/>
                            <w:sz w:val="17"/>
                          </w:rPr>
                          <w:t xml:space="preserve"> </w:t>
                        </w:r>
                        <w:r>
                          <w:rPr>
                            <w:b/>
                            <w:sz w:val="17"/>
                          </w:rPr>
                          <w:t>-</w:t>
                        </w:r>
                        <w:r>
                          <w:rPr>
                            <w:b/>
                            <w:spacing w:val="-6"/>
                            <w:sz w:val="17"/>
                          </w:rPr>
                          <w:t xml:space="preserve"> </w:t>
                        </w:r>
                        <w:r>
                          <w:rPr>
                            <w:b/>
                            <w:sz w:val="17"/>
                          </w:rPr>
                          <w:t>Fiscal</w:t>
                        </w:r>
                        <w:r>
                          <w:rPr>
                            <w:b/>
                            <w:spacing w:val="-3"/>
                            <w:sz w:val="17"/>
                          </w:rPr>
                          <w:t xml:space="preserve"> </w:t>
                        </w:r>
                        <w:r>
                          <w:rPr>
                            <w:b/>
                            <w:spacing w:val="-2"/>
                            <w:sz w:val="17"/>
                          </w:rPr>
                          <w:t>developments</w:t>
                        </w:r>
                      </w:p>
                      <w:p w14:paraId="615F7926" w14:textId="77777777" w:rsidR="00E6279B" w:rsidRDefault="00E6279B" w:rsidP="00E6279B">
                        <w:pPr>
                          <w:spacing w:before="58" w:line="169" w:lineRule="exact"/>
                          <w:rPr>
                            <w:rFonts w:ascii="Calibri"/>
                            <w:sz w:val="14"/>
                          </w:rPr>
                        </w:pPr>
                        <w:r>
                          <w:rPr>
                            <w:rFonts w:ascii="Calibri"/>
                            <w:sz w:val="14"/>
                          </w:rPr>
                          <w:t>%</w:t>
                        </w:r>
                        <w:r>
                          <w:rPr>
                            <w:rFonts w:ascii="Calibri"/>
                            <w:spacing w:val="1"/>
                            <w:sz w:val="14"/>
                          </w:rPr>
                          <w:t xml:space="preserve"> </w:t>
                        </w:r>
                        <w:r>
                          <w:rPr>
                            <w:rFonts w:ascii="Calibri"/>
                            <w:sz w:val="14"/>
                          </w:rPr>
                          <w:t>of</w:t>
                        </w:r>
                        <w:r>
                          <w:rPr>
                            <w:rFonts w:ascii="Calibri"/>
                            <w:spacing w:val="1"/>
                            <w:sz w:val="14"/>
                          </w:rPr>
                          <w:t xml:space="preserve"> </w:t>
                        </w:r>
                        <w:r>
                          <w:rPr>
                            <w:rFonts w:ascii="Calibri"/>
                            <w:spacing w:val="-5"/>
                            <w:sz w:val="14"/>
                          </w:rPr>
                          <w:t>GDP</w:t>
                        </w:r>
                      </w:p>
                    </w:txbxContent>
                  </v:textbox>
                </v:shape>
                <v:shape id="Textbox 176" o:spid="_x0000_s1133" type="#_x0000_t202" style="position:absolute;left:28370;top:1884;width:965;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" filled="f" stroked="f">
                  <v:textbox inset="0,0,0,0">
                    <w:txbxContent>
                      <w:p w14:paraId="6C4A2385" w14:textId="77777777" w:rsidR="00E6279B" w:rsidRDefault="00E6279B" w:rsidP="00E6279B">
                        <w:pPr>
                          <w:spacing w:line="132" w:lineRule="exact"/>
                          <w:rPr>
                            <w:rFonts w:ascii="Calibri"/>
                            <w:sz w:val="13"/>
                          </w:rPr>
                        </w:pPr>
                        <w:r>
                          <w:rPr>
                            <w:rFonts w:ascii="Calibri"/>
                            <w:spacing w:val="-5"/>
                            <w:sz w:val="13"/>
                          </w:rPr>
                          <w:t>80</w:t>
                        </w:r>
                      </w:p>
                      <w:p w14:paraId="73419987" w14:textId="77777777" w:rsidR="00E6279B" w:rsidRDefault="00E6279B" w:rsidP="00E6279B">
                        <w:pPr>
                          <w:spacing w:before="72"/>
                          <w:rPr>
                            <w:rFonts w:ascii="Calibri"/>
                            <w:sz w:val="13"/>
                          </w:rPr>
                        </w:pPr>
                      </w:p>
                      <w:p w14:paraId="36ABC5C2" w14:textId="77777777" w:rsidR="00E6279B" w:rsidRDefault="00E6279B" w:rsidP="00E6279B">
                        <w:pPr>
                          <w:spacing w:before="1" w:line="156" w:lineRule="exact"/>
                          <w:rPr>
                            <w:rFonts w:ascii="Calibri"/>
                            <w:sz w:val="13"/>
                          </w:rPr>
                        </w:pPr>
                        <w:r>
                          <w:rPr>
                            <w:rFonts w:ascii="Calibri"/>
                            <w:spacing w:val="-5"/>
                            <w:sz w:val="13"/>
                          </w:rPr>
                          <w:t>60</w:t>
                        </w:r>
                      </w:p>
                    </w:txbxContent>
                  </v:textbox>
                </v:shape>
                <v:shape id="Textbox 177" o:spid="_x0000_s1134" type="#_x0000_t202" style="position:absolute;left:1229;top:5145;width:590;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" filled="f" stroked="f">
                  <v:textbox inset="0,0,0,0">
                    <w:txbxContent>
                      <w:p w14:paraId="66FB8884" w14:textId="77777777" w:rsidR="00E6279B" w:rsidRDefault="00E6279B" w:rsidP="00E6279B">
                        <w:pPr>
                          <w:spacing w:line="143" w:lineRule="exact"/>
                          <w:rPr>
                            <w:rFonts w:ascii="Calibri"/>
                            <w:sz w:val="14"/>
                          </w:rPr>
                        </w:pPr>
                        <w:r>
                          <w:rPr>
                            <w:rFonts w:ascii="Calibri"/>
                            <w:spacing w:val="-10"/>
                            <w:sz w:val="14"/>
                          </w:rPr>
                          <w:t>0</w:t>
                        </w:r>
                      </w:p>
                    </w:txbxContent>
                  </v:textbox>
                </v:shape>
                <v:shape id="Textbox 178" o:spid="_x0000_s1135" type="#_x0000_t202" style="position:absolute;left:28370;top:6839;width:965;height: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" filled="f" stroked="f">
                  <v:textbox inset="0,0,0,0">
                    <w:txbxContent>
                      <w:p w14:paraId="561EF36A" w14:textId="77777777" w:rsidR="00E6279B" w:rsidRDefault="00E6279B" w:rsidP="00E6279B">
                        <w:pPr>
                          <w:spacing w:line="129" w:lineRule="exact"/>
                          <w:rPr>
                            <w:rFonts w:ascii="Calibri"/>
                            <w:sz w:val="13"/>
                          </w:rPr>
                        </w:pPr>
                        <w:r>
                          <w:rPr>
                            <w:rFonts w:ascii="Calibri"/>
                            <w:spacing w:val="-5"/>
                            <w:sz w:val="13"/>
                          </w:rPr>
                          <w:t>40</w:t>
                        </w:r>
                      </w:p>
                    </w:txbxContent>
                  </v:textbox>
                </v:shape>
                <v:shape id="Textbox 179" o:spid="_x0000_s1136" type="#_x0000_t202" style="position:absolute;left:950;top:8449;width:870;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filled="f" stroked="f">
                  <v:textbox inset="0,0,0,0">
                    <w:txbxContent>
                      <w:p w14:paraId="002E5C17" w14:textId="77777777" w:rsidR="00E6279B" w:rsidRDefault="00E6279B" w:rsidP="00E6279B">
                        <w:pPr>
                          <w:spacing w:line="143" w:lineRule="exact"/>
                          <w:rPr>
                            <w:rFonts w:ascii="Calibri"/>
                            <w:sz w:val="14"/>
                          </w:rPr>
                        </w:pPr>
                        <w:r>
                          <w:rPr>
                            <w:rFonts w:ascii="Calibri"/>
                            <w:spacing w:val="-2"/>
                            <w:sz w:val="14"/>
                          </w:rPr>
                          <w:t>-</w:t>
                        </w:r>
                        <w:r>
                          <w:rPr>
                            <w:rFonts w:ascii="Calibri"/>
                            <w:spacing w:val="-10"/>
                            <w:sz w:val="14"/>
                          </w:rPr>
                          <w:t>4</w:t>
                        </w:r>
                      </w:p>
                    </w:txbxContent>
                  </v:textbox>
                </v:shape>
                <v:shape id="Textbox 180" o:spid="_x0000_s1137" type="#_x0000_t202" style="position:absolute;left:28370;top:9317;width:965;height: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filled="f" stroked="f">
                  <v:textbox inset="0,0,0,0">
                    <w:txbxContent>
                      <w:p w14:paraId="57C36B16" w14:textId="77777777" w:rsidR="00E6279B" w:rsidRDefault="00E6279B" w:rsidP="00E6279B">
                        <w:pPr>
                          <w:spacing w:line="129" w:lineRule="exact"/>
                          <w:rPr>
                            <w:rFonts w:ascii="Calibri"/>
                            <w:sz w:val="13"/>
                          </w:rPr>
                        </w:pPr>
                        <w:r>
                          <w:rPr>
                            <w:rFonts w:ascii="Calibri"/>
                            <w:spacing w:val="-5"/>
                            <w:sz w:val="13"/>
                          </w:rPr>
                          <w:t>20</w:t>
                        </w:r>
                      </w:p>
                    </w:txbxContent>
                  </v:textbox>
                </v:shape>
                <v:shape id="Textbox 181" o:spid="_x0000_s1138" type="#_x0000_t202" style="position:absolute;left:950;top:11752;width:870;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" filled="f" stroked="f">
                  <v:textbox inset="0,0,0,0">
                    <w:txbxContent>
                      <w:p w14:paraId="5A3D2A5B" w14:textId="77777777" w:rsidR="00E6279B" w:rsidRDefault="00E6279B" w:rsidP="00E6279B">
                        <w:pPr>
                          <w:spacing w:line="143" w:lineRule="exact"/>
                          <w:rPr>
                            <w:rFonts w:ascii="Calibri"/>
                            <w:sz w:val="14"/>
                          </w:rPr>
                        </w:pPr>
                        <w:r>
                          <w:rPr>
                            <w:rFonts w:ascii="Calibri"/>
                            <w:spacing w:val="-2"/>
                            <w:sz w:val="14"/>
                          </w:rPr>
                          <w:t>-</w:t>
                        </w:r>
                        <w:r>
                          <w:rPr>
                            <w:rFonts w:ascii="Calibri"/>
                            <w:spacing w:val="-10"/>
                            <w:sz w:val="14"/>
                          </w:rPr>
                          <w:t>8</w:t>
                        </w:r>
                      </w:p>
                    </w:txbxContent>
                  </v:textbox>
                </v:shape>
                <v:shape id="Textbox 182" o:spid="_x0000_s1139" type="#_x0000_t202" style="position:absolute;left:28370;top:11795;width:546;height: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" filled="f" stroked="f">
                  <v:textbox inset="0,0,0,0">
                    <w:txbxContent>
                      <w:p w14:paraId="3EEFD92B" w14:textId="77777777" w:rsidR="00E6279B" w:rsidRDefault="00E6279B" w:rsidP="00E6279B">
                        <w:pPr>
                          <w:spacing w:line="129" w:lineRule="exact"/>
                          <w:rPr>
                            <w:rFonts w:ascii="Calibri"/>
                            <w:sz w:val="13"/>
                          </w:rPr>
                        </w:pPr>
                        <w:r>
                          <w:rPr>
                            <w:rFonts w:ascii="Calibri"/>
                            <w:spacing w:val="-10"/>
                            <w:sz w:val="13"/>
                          </w:rPr>
                          <w:t>0</w:t>
                        </w:r>
                      </w:p>
                    </w:txbxContent>
                  </v:textbox>
                </v:shape>
                <v:shape id="Textbox 183" o:spid="_x0000_s1140" type="#_x0000_t202" style="position:absolute;left:3701;top:12932;width:24860;height:4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8zCwwAAANwAAAAPAAAAZHJzL2Rvd25yZXYueG1sRE9Na8JA&#10;EL0X/A/LCN7qpgq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N/MwsMAAADcAAAADwAA&#10;AAAAAAAAAAAAAAAHAgAAZHJzL2Rvd25yZXYueG1sUEsFBgAAAAADAAMAtwAAAPcCAAAAAA==&#10;" filled="f" stroked="f">
                  <v:textbox inset="0,0,0,0">
                    <w:txbxContent>
                      <w:p w14:paraId="33479ADA" w14:textId="77777777" w:rsidR="00E6279B" w:rsidRDefault="00E6279B" w:rsidP="00E6279B">
                        <w:pPr>
                          <w:tabs>
                            <w:tab w:val="left" w:pos="657"/>
                            <w:tab w:val="left" w:pos="1315"/>
                            <w:tab w:val="left" w:pos="1973"/>
                            <w:tab w:val="left" w:pos="2631"/>
                            <w:tab w:val="left" w:pos="3289"/>
                          </w:tabs>
                          <w:spacing w:line="145" w:lineRule="exact"/>
                          <w:rPr>
                            <w:rFonts w:ascii="Calibri"/>
                            <w:b/>
                            <w:sz w:val="14"/>
                          </w:rPr>
                        </w:pPr>
                        <w:r>
                          <w:rPr>
                            <w:rFonts w:ascii="Calibri"/>
                            <w:b/>
                            <w:spacing w:val="-4"/>
                            <w:sz w:val="14"/>
                          </w:rPr>
                          <w:t>2017</w:t>
                        </w:r>
                        <w:r>
                          <w:rPr>
                            <w:rFonts w:ascii="Calibri"/>
                            <w:b/>
                            <w:sz w:val="14"/>
                          </w:rPr>
                          <w:tab/>
                        </w:r>
                        <w:r>
                          <w:rPr>
                            <w:rFonts w:ascii="Calibri"/>
                            <w:b/>
                            <w:spacing w:val="-4"/>
                            <w:sz w:val="14"/>
                          </w:rPr>
                          <w:t>2018</w:t>
                        </w:r>
                        <w:r>
                          <w:rPr>
                            <w:rFonts w:ascii="Calibri"/>
                            <w:b/>
                            <w:sz w:val="14"/>
                          </w:rPr>
                          <w:tab/>
                        </w:r>
                        <w:r>
                          <w:rPr>
                            <w:rFonts w:ascii="Calibri"/>
                            <w:b/>
                            <w:spacing w:val="-4"/>
                            <w:sz w:val="14"/>
                          </w:rPr>
                          <w:t>2019</w:t>
                        </w:r>
                        <w:r>
                          <w:rPr>
                            <w:rFonts w:ascii="Calibri"/>
                            <w:b/>
                            <w:sz w:val="14"/>
                          </w:rPr>
                          <w:tab/>
                        </w:r>
                        <w:r>
                          <w:rPr>
                            <w:rFonts w:ascii="Calibri"/>
                            <w:b/>
                            <w:spacing w:val="-4"/>
                            <w:sz w:val="14"/>
                          </w:rPr>
                          <w:t>2020</w:t>
                        </w:r>
                        <w:r>
                          <w:rPr>
                            <w:rFonts w:ascii="Calibri"/>
                            <w:b/>
                            <w:sz w:val="14"/>
                          </w:rPr>
                          <w:tab/>
                        </w:r>
                        <w:r>
                          <w:rPr>
                            <w:rFonts w:ascii="Calibri"/>
                            <w:b/>
                            <w:spacing w:val="-4"/>
                            <w:sz w:val="14"/>
                          </w:rPr>
                          <w:t>2021</w:t>
                        </w:r>
                        <w:r>
                          <w:rPr>
                            <w:rFonts w:ascii="Calibri"/>
                            <w:b/>
                            <w:sz w:val="14"/>
                          </w:rPr>
                          <w:tab/>
                        </w:r>
                        <w:r>
                          <w:rPr>
                            <w:rFonts w:ascii="Calibri"/>
                            <w:b/>
                            <w:spacing w:val="-4"/>
                            <w:sz w:val="14"/>
                          </w:rPr>
                          <w:t>2022</w:t>
                        </w:r>
                      </w:p>
                      <w:p w14:paraId="5D0C5AB6" w14:textId="77777777" w:rsidR="00E6279B" w:rsidRDefault="00E6279B" w:rsidP="00E6279B">
                        <w:pPr>
                          <w:tabs>
                            <w:tab w:val="left" w:pos="1986"/>
                          </w:tabs>
                          <w:spacing w:before="36" w:line="167" w:lineRule="exact"/>
                          <w:ind w:left="32"/>
                          <w:rPr>
                            <w:rFonts w:ascii="Calibri"/>
                            <w:sz w:val="14"/>
                          </w:rPr>
                        </w:pPr>
                        <w:r>
                          <w:rPr>
                            <w:rFonts w:ascii="Calibri"/>
                            <w:sz w:val="14"/>
                          </w:rPr>
                          <w:t>Primary</w:t>
                        </w:r>
                        <w:r>
                          <w:rPr>
                            <w:rFonts w:ascii="Calibri"/>
                            <w:spacing w:val="4"/>
                            <w:sz w:val="14"/>
                          </w:rPr>
                          <w:t xml:space="preserve"> </w:t>
                        </w:r>
                        <w:r>
                          <w:rPr>
                            <w:rFonts w:ascii="Calibri"/>
                            <w:sz w:val="14"/>
                          </w:rPr>
                          <w:t>balance</w:t>
                        </w:r>
                        <w:r>
                          <w:rPr>
                            <w:rFonts w:ascii="Calibri"/>
                            <w:spacing w:val="2"/>
                            <w:sz w:val="14"/>
                          </w:rPr>
                          <w:t xml:space="preserve"> </w:t>
                        </w:r>
                        <w:r>
                          <w:rPr>
                            <w:rFonts w:ascii="Calibri"/>
                            <w:spacing w:val="-2"/>
                            <w:sz w:val="14"/>
                          </w:rPr>
                          <w:t>(</w:t>
                        </w:r>
                        <w:proofErr w:type="spellStart"/>
                        <w:r>
                          <w:rPr>
                            <w:rFonts w:ascii="Calibri"/>
                            <w:spacing w:val="-2"/>
                            <w:sz w:val="14"/>
                          </w:rPr>
                          <w:t>lhs</w:t>
                        </w:r>
                        <w:proofErr w:type="spellEnd"/>
                        <w:r>
                          <w:rPr>
                            <w:rFonts w:ascii="Calibri"/>
                            <w:spacing w:val="-2"/>
                            <w:sz w:val="14"/>
                          </w:rPr>
                          <w:t>)</w:t>
                        </w:r>
                        <w:r>
                          <w:rPr>
                            <w:rFonts w:ascii="Calibri"/>
                            <w:sz w:val="14"/>
                          </w:rPr>
                          <w:tab/>
                          <w:t>Interest</w:t>
                        </w:r>
                        <w:r>
                          <w:rPr>
                            <w:rFonts w:ascii="Calibri"/>
                            <w:spacing w:val="2"/>
                            <w:sz w:val="14"/>
                          </w:rPr>
                          <w:t xml:space="preserve"> </w:t>
                        </w:r>
                        <w:r>
                          <w:rPr>
                            <w:rFonts w:ascii="Calibri"/>
                            <w:spacing w:val="-2"/>
                            <w:sz w:val="14"/>
                          </w:rPr>
                          <w:t>(</w:t>
                        </w:r>
                        <w:proofErr w:type="spellStart"/>
                        <w:r>
                          <w:rPr>
                            <w:rFonts w:ascii="Calibri"/>
                            <w:spacing w:val="-2"/>
                            <w:sz w:val="14"/>
                          </w:rPr>
                          <w:t>lhs</w:t>
                        </w:r>
                        <w:proofErr w:type="spellEnd"/>
                        <w:r>
                          <w:rPr>
                            <w:rFonts w:ascii="Calibri"/>
                            <w:spacing w:val="-2"/>
                            <w:sz w:val="14"/>
                          </w:rPr>
                          <w:t>)</w:t>
                        </w:r>
                      </w:p>
                      <w:p w14:paraId="3E00D6D4" w14:textId="77777777" w:rsidR="00E6279B" w:rsidRDefault="00E6279B" w:rsidP="00E6279B">
                        <w:pPr>
                          <w:tabs>
                            <w:tab w:val="left" w:pos="1986"/>
                          </w:tabs>
                          <w:spacing w:line="159" w:lineRule="exact"/>
                          <w:ind w:left="32"/>
                          <w:rPr>
                            <w:rFonts w:ascii="Calibri"/>
                            <w:sz w:val="14"/>
                          </w:rPr>
                        </w:pPr>
                        <w:r>
                          <w:rPr>
                            <w:rFonts w:ascii="Calibri"/>
                            <w:sz w:val="14"/>
                          </w:rPr>
                          <w:t>GG</w:t>
                        </w:r>
                        <w:r>
                          <w:rPr>
                            <w:rFonts w:ascii="Calibri"/>
                            <w:spacing w:val="3"/>
                            <w:sz w:val="14"/>
                          </w:rPr>
                          <w:t xml:space="preserve"> </w:t>
                        </w:r>
                        <w:r>
                          <w:rPr>
                            <w:rFonts w:ascii="Calibri"/>
                            <w:sz w:val="14"/>
                          </w:rPr>
                          <w:t>balance</w:t>
                        </w:r>
                        <w:r>
                          <w:rPr>
                            <w:rFonts w:ascii="Calibri"/>
                            <w:spacing w:val="5"/>
                            <w:sz w:val="14"/>
                          </w:rPr>
                          <w:t xml:space="preserve"> </w:t>
                        </w:r>
                        <w:r>
                          <w:rPr>
                            <w:rFonts w:ascii="Calibri"/>
                            <w:spacing w:val="-2"/>
                            <w:sz w:val="14"/>
                          </w:rPr>
                          <w:t>(</w:t>
                        </w:r>
                        <w:proofErr w:type="spellStart"/>
                        <w:r>
                          <w:rPr>
                            <w:rFonts w:ascii="Calibri"/>
                            <w:spacing w:val="-2"/>
                            <w:sz w:val="14"/>
                          </w:rPr>
                          <w:t>lhs</w:t>
                        </w:r>
                        <w:proofErr w:type="spellEnd"/>
                        <w:r>
                          <w:rPr>
                            <w:rFonts w:ascii="Calibri"/>
                            <w:spacing w:val="-2"/>
                            <w:sz w:val="14"/>
                          </w:rPr>
                          <w:t>)</w:t>
                        </w:r>
                        <w:r>
                          <w:rPr>
                            <w:rFonts w:ascii="Calibri"/>
                            <w:sz w:val="14"/>
                          </w:rPr>
                          <w:tab/>
                          <w:t>Public</w:t>
                        </w:r>
                        <w:r>
                          <w:rPr>
                            <w:rFonts w:ascii="Calibri"/>
                            <w:spacing w:val="2"/>
                            <w:sz w:val="14"/>
                          </w:rPr>
                          <w:t xml:space="preserve"> </w:t>
                        </w:r>
                        <w:r>
                          <w:rPr>
                            <w:rFonts w:ascii="Calibri"/>
                            <w:sz w:val="14"/>
                          </w:rPr>
                          <w:t>debt</w:t>
                        </w:r>
                        <w:r>
                          <w:rPr>
                            <w:rFonts w:ascii="Calibri"/>
                            <w:spacing w:val="5"/>
                            <w:sz w:val="14"/>
                          </w:rPr>
                          <w:t xml:space="preserve"> </w:t>
                        </w:r>
                        <w:r>
                          <w:rPr>
                            <w:rFonts w:ascii="Calibri"/>
                            <w:spacing w:val="-4"/>
                            <w:sz w:val="14"/>
                          </w:rPr>
                          <w:t>(</w:t>
                        </w:r>
                        <w:proofErr w:type="spellStart"/>
                        <w:r>
                          <w:rPr>
                            <w:rFonts w:ascii="Calibri"/>
                            <w:spacing w:val="-4"/>
                            <w:sz w:val="14"/>
                          </w:rPr>
                          <w:t>rhs</w:t>
                        </w:r>
                        <w:proofErr w:type="spellEnd"/>
                        <w:r>
                          <w:rPr>
                            <w:rFonts w:ascii="Calibri"/>
                            <w:spacing w:val="-4"/>
                            <w:sz w:val="14"/>
                          </w:rPr>
                          <w:t>)</w:t>
                        </w:r>
                      </w:p>
                      <w:p w14:paraId="413E4D45" w14:textId="77777777" w:rsidR="00E6279B" w:rsidRDefault="00E6279B" w:rsidP="00E6279B">
                        <w:pPr>
                          <w:spacing w:line="161" w:lineRule="exact"/>
                          <w:ind w:left="2465"/>
                          <w:rPr>
                            <w:rFonts w:ascii="Calibri"/>
                            <w:i/>
                            <w:sz w:val="14"/>
                          </w:rPr>
                        </w:pPr>
                        <w:r>
                          <w:rPr>
                            <w:rFonts w:ascii="Calibri"/>
                            <w:i/>
                            <w:sz w:val="14"/>
                          </w:rPr>
                          <w:t>Source:</w:t>
                        </w:r>
                        <w:r>
                          <w:rPr>
                            <w:rFonts w:ascii="Calibri"/>
                            <w:i/>
                            <w:spacing w:val="2"/>
                            <w:sz w:val="14"/>
                          </w:rPr>
                          <w:t xml:space="preserve"> </w:t>
                        </w:r>
                        <w:r>
                          <w:rPr>
                            <w:rFonts w:ascii="Calibri"/>
                            <w:i/>
                            <w:sz w:val="14"/>
                          </w:rPr>
                          <w:t>National</w:t>
                        </w:r>
                        <w:r>
                          <w:rPr>
                            <w:rFonts w:ascii="Calibri"/>
                            <w:i/>
                            <w:spacing w:val="5"/>
                            <w:sz w:val="14"/>
                          </w:rPr>
                          <w:t xml:space="preserve"> </w:t>
                        </w:r>
                        <w:r>
                          <w:rPr>
                            <w:rFonts w:ascii="Calibri"/>
                            <w:i/>
                            <w:spacing w:val="-2"/>
                            <w:sz w:val="14"/>
                          </w:rPr>
                          <w:t>sources</w:t>
                        </w:r>
                      </w:p>
                    </w:txbxContent>
                  </v:textbox>
                </v:shape>
                <w10:wrap anchorx="page"/>
              </v:group>
            </w:pict>
          </mc:Fallback>
        </mc:AlternateContent>
      </w:r>
      <w:r w:rsidRPr="0032048B">
        <w:rPr>
          <w:b/>
          <w:sz w:val="24"/>
          <w:lang w:val="sq-AL"/>
        </w:rPr>
        <w:t xml:space="preserve">Në vitin 2022, PBB-ja e lartë dhe rritja e të ardhurave ndihmuan në uljen e borxhit publik në nivelin e para pandemisë. </w:t>
      </w:r>
      <w:r w:rsidRPr="0032048B">
        <w:rPr>
          <w:bCs/>
          <w:sz w:val="24"/>
          <w:lang w:val="sq-AL"/>
        </w:rPr>
        <w:t xml:space="preserve">Deficiti fiskal ishte 2% e PBB-së në periudhën </w:t>
      </w:r>
      <w:r w:rsidRPr="0032048B">
        <w:rPr>
          <w:sz w:val="24"/>
          <w:lang w:val="sq-AL"/>
        </w:rPr>
        <w:t xml:space="preserve">2015-2019, por ai u rrit shpejt në 6,8% të PBB-së në vitin 2020, për shkak të ndikimit të pandemisë. Rritja e fuqishme ekonomike dhe rritja e inflacionit krijuan rritje të </w:t>
      </w:r>
      <w:proofErr w:type="spellStart"/>
      <w:r w:rsidRPr="0032048B">
        <w:rPr>
          <w:sz w:val="24"/>
          <w:lang w:val="sq-AL"/>
        </w:rPr>
        <w:t>të</w:t>
      </w:r>
      <w:proofErr w:type="spellEnd"/>
      <w:r w:rsidRPr="0032048B">
        <w:rPr>
          <w:sz w:val="24"/>
          <w:lang w:val="sq-AL"/>
        </w:rPr>
        <w:t xml:space="preserve"> ardhurave, duke kontribuar në uljen e deficitit publik në 3,7%</w:t>
      </w:r>
      <w:r w:rsidRPr="0032048B">
        <w:rPr>
          <w:spacing w:val="-4"/>
          <w:sz w:val="24"/>
          <w:lang w:val="sq-AL"/>
        </w:rPr>
        <w:t xml:space="preserve"> të PBB-së në vitin 2022, pavarësisht shpenzimeve të konsiderueshme lidhur me energjinë. Mbështetja e veçantë për ndërmarrjet shtetërore të energjisë elektrike dhe grupet e </w:t>
      </w:r>
      <w:proofErr w:type="spellStart"/>
      <w:r w:rsidRPr="0032048B">
        <w:rPr>
          <w:spacing w:val="-4"/>
          <w:sz w:val="24"/>
          <w:lang w:val="sq-AL"/>
        </w:rPr>
        <w:t>vulnerabël</w:t>
      </w:r>
      <w:proofErr w:type="spellEnd"/>
      <w:r w:rsidRPr="0032048B">
        <w:rPr>
          <w:spacing w:val="-4"/>
          <w:sz w:val="24"/>
          <w:lang w:val="sq-AL"/>
        </w:rPr>
        <w:t xml:space="preserve"> u kompensua pjesërisht nga kursit mbi interesin dhe shpenzimet personale, dhe nën ekzekutimin e investimeve të huaja. Për pasojë, shpenzimet e </w:t>
      </w:r>
    </w:p>
    <w:p w14:paraId="3A440170" w14:textId="77777777" w:rsidR="00E6279B" w:rsidRPr="0032048B" w:rsidRDefault="00E6279B" w:rsidP="00E6279B">
      <w:pPr>
        <w:ind w:left="980" w:right="976"/>
        <w:jc w:val="both"/>
        <w:rPr>
          <w:sz w:val="24"/>
          <w:szCs w:val="24"/>
          <w:highlight w:val="yellow"/>
          <w:lang w:val="sq-AL"/>
        </w:rPr>
      </w:pPr>
      <w:r w:rsidRPr="0032048B">
        <w:rPr>
          <w:sz w:val="24"/>
          <w:szCs w:val="24"/>
          <w:lang w:val="sq-AL"/>
        </w:rPr>
        <w:t>përgjithshme vjetore ishin mesatare në 2,1%. Emëruesi i përbashkët i lartë i PBB-së dhe një rritje e vogël nominale në borxhin publik solli një rënie 10 pikë përqindje të normës së borxhit publik nga maja prej 74,5</w:t>
      </w:r>
      <w:r w:rsidRPr="0032048B">
        <w:rPr>
          <w:spacing w:val="-2"/>
          <w:sz w:val="24"/>
          <w:szCs w:val="24"/>
          <w:lang w:val="sq-AL"/>
        </w:rPr>
        <w:t xml:space="preserve"> </w:t>
      </w:r>
      <w:r w:rsidRPr="0032048B">
        <w:rPr>
          <w:sz w:val="24"/>
          <w:szCs w:val="24"/>
          <w:lang w:val="sq-AL"/>
        </w:rPr>
        <w:t>%</w:t>
      </w:r>
      <w:r w:rsidRPr="0032048B">
        <w:rPr>
          <w:spacing w:val="-1"/>
          <w:sz w:val="24"/>
          <w:szCs w:val="24"/>
          <w:lang w:val="sq-AL"/>
        </w:rPr>
        <w:t xml:space="preserve"> në vitin 2021 në </w:t>
      </w:r>
      <w:r w:rsidRPr="0032048B">
        <w:rPr>
          <w:sz w:val="24"/>
          <w:szCs w:val="24"/>
          <w:lang w:val="sq-AL"/>
        </w:rPr>
        <w:t>64,6</w:t>
      </w:r>
      <w:r w:rsidRPr="0032048B">
        <w:rPr>
          <w:spacing w:val="-2"/>
          <w:sz w:val="24"/>
          <w:szCs w:val="24"/>
          <w:lang w:val="sq-AL"/>
        </w:rPr>
        <w:t xml:space="preserve"> </w:t>
      </w:r>
      <w:r w:rsidRPr="0032048B">
        <w:rPr>
          <w:sz w:val="24"/>
          <w:szCs w:val="24"/>
          <w:lang w:val="sq-AL"/>
        </w:rPr>
        <w:t xml:space="preserve">% në vitin 2022. Për vitin 2023, parashikohet të ketë një deficit fiskal prej 2,5% të PBB-së dhe një bilanc parësor pozitiv. Mbështetja e veçantë buxhetore për ndërmarrjet shtetërore të energjisë elektrike nuk ishte e nevojshme, dhe planifikohet që fondet të </w:t>
      </w:r>
      <w:proofErr w:type="spellStart"/>
      <w:r w:rsidRPr="0032048B">
        <w:rPr>
          <w:sz w:val="24"/>
          <w:szCs w:val="24"/>
          <w:lang w:val="sq-AL"/>
        </w:rPr>
        <w:t>rialokohen</w:t>
      </w:r>
      <w:proofErr w:type="spellEnd"/>
      <w:r w:rsidRPr="0032048B">
        <w:rPr>
          <w:sz w:val="24"/>
          <w:szCs w:val="24"/>
          <w:lang w:val="sq-AL"/>
        </w:rPr>
        <w:t xml:space="preserve">. </w:t>
      </w:r>
    </w:p>
    <w:p w14:paraId="5DF801D9" w14:textId="77777777" w:rsidR="00E6279B" w:rsidRPr="0032048B" w:rsidRDefault="00E6279B" w:rsidP="00E6279B">
      <w:pPr>
        <w:spacing w:before="120"/>
        <w:ind w:left="980" w:right="976"/>
        <w:jc w:val="both"/>
        <w:rPr>
          <w:sz w:val="24"/>
          <w:szCs w:val="24"/>
          <w:lang w:val="sq-AL" w:bidi="sq-AL"/>
        </w:rPr>
      </w:pPr>
      <w:r w:rsidRPr="0032048B">
        <w:rPr>
          <w:b/>
          <w:sz w:val="24"/>
          <w:szCs w:val="24"/>
          <w:lang w:val="sq-AL"/>
        </w:rPr>
        <w:t xml:space="preserve">Norma e të ardhurave tatimore mbetet e ulët, pavarësisht përmirësimeve në administrimin e taksave. </w:t>
      </w:r>
      <w:r w:rsidRPr="0032048B">
        <w:rPr>
          <w:bCs/>
          <w:sz w:val="24"/>
          <w:szCs w:val="24"/>
          <w:lang w:val="sq-AL"/>
        </w:rPr>
        <w:t xml:space="preserve">Rritja e kontributeve sociale dhe taksave lokale çuan në rritjen e normës së përgjithshme të </w:t>
      </w:r>
      <w:proofErr w:type="spellStart"/>
      <w:r w:rsidRPr="0032048B">
        <w:rPr>
          <w:bCs/>
          <w:sz w:val="24"/>
          <w:szCs w:val="24"/>
          <w:lang w:val="sq-AL"/>
        </w:rPr>
        <w:t>të</w:t>
      </w:r>
      <w:proofErr w:type="spellEnd"/>
      <w:r w:rsidRPr="0032048B">
        <w:rPr>
          <w:bCs/>
          <w:sz w:val="24"/>
          <w:szCs w:val="24"/>
          <w:lang w:val="sq-AL"/>
        </w:rPr>
        <w:t xml:space="preserve"> ardhurave tatimore në </w:t>
      </w:r>
      <w:r w:rsidRPr="0032048B">
        <w:rPr>
          <w:sz w:val="24"/>
          <w:szCs w:val="24"/>
          <w:lang w:val="sq-AL"/>
        </w:rPr>
        <w:t>25,7% të PBB-së në vitin 2017, por që nga atëherë ajo është ulur në 25,4% të PBB-së në vitin 2022, një vlerë kjo e ulët krahasuar me vende të ngjashme. Kjo vlerë është gjithashtu e ulët duke marrë parasysh investimet domethënëse në kapitalin fizik dhe njerëzor. Përmirësimet në administrimin e taksave dhe reformat thelbësore, si prezantimi i faturimi elektronik i automatizuar i TVSH-së (‘</w:t>
      </w:r>
      <w:proofErr w:type="spellStart"/>
      <w:r w:rsidRPr="0032048B">
        <w:rPr>
          <w:sz w:val="24"/>
          <w:szCs w:val="24"/>
          <w:lang w:val="sq-AL"/>
        </w:rPr>
        <w:t>fiskalizimi</w:t>
      </w:r>
      <w:proofErr w:type="spellEnd"/>
      <w:r w:rsidRPr="0032048B">
        <w:rPr>
          <w:sz w:val="24"/>
          <w:szCs w:val="24"/>
          <w:lang w:val="sq-AL"/>
        </w:rPr>
        <w:t xml:space="preserve">’), harmonizimi i akcizës dhe indeksimi dhe digjitalizimi u zbatuan me sukses gjatë tre viteve të fundit, por ato nuk kanë sjellë ende një rritje në normën e të ardhurave. Struktura e të ardhurave tatimore ka qenë e pandryshuar gjatë dekadës së fundit, e karakterizuar nga një varësi e fortë nga të ardhurat nga konsumi dhe të ardhurat e ulëta nga taksimi kapital dhe kontributet sociale (të ardhurat </w:t>
      </w:r>
      <w:r w:rsidRPr="0032048B">
        <w:rPr>
          <w:sz w:val="24"/>
          <w:szCs w:val="24"/>
          <w:lang w:val="sq-AL"/>
        </w:rPr>
        <w:lastRenderedPageBreak/>
        <w:t>mesatare nga kontributet sociale të 5,8% të PBB-së janë të dytat më të ulëta në rajon). Ligji i ndryshuar për tatimin mbi të ardhurat i vitit 2023, i cili hyn në fuqi në vitin 2024, do të rrisë bazën e tatimit duke sjellë kështu profesionistët e vetëpunësuar në sistemin e taksimit personal mbi të ardhurat. Pas një pezullimi në k</w:t>
      </w:r>
      <w:r w:rsidRPr="0032048B">
        <w:rPr>
          <w:sz w:val="24"/>
          <w:szCs w:val="24"/>
          <w:lang w:val="sq-AL" w:bidi="sq-AL"/>
        </w:rPr>
        <w:t>onsultimet publike për strategjinë afatmesme për të ardhurat (MTRS), në vitin 2022 autoritetet kanë rishikuar dhe përditësuar draftin e vitit 2020, i cili ka për qëllim një bazë tatimi më të gjerë dhe një mobilizim më të lartë të ardhurave në mënyrë më gjithëpërfshirëse dhe sistematike me blerjet publike.</w:t>
      </w:r>
    </w:p>
    <w:p w14:paraId="0E6BCBB6" w14:textId="736594C1" w:rsidR="00E6279B" w:rsidRPr="0032048B" w:rsidRDefault="00E6279B" w:rsidP="00E6279B">
      <w:pPr>
        <w:spacing w:before="119"/>
        <w:ind w:left="980" w:right="975"/>
        <w:jc w:val="both"/>
        <w:rPr>
          <w:sz w:val="24"/>
          <w:szCs w:val="24"/>
          <w:lang w:val="sq-AL"/>
        </w:rPr>
      </w:pPr>
      <w:r w:rsidRPr="0032048B">
        <w:rPr>
          <w:b/>
          <w:sz w:val="24"/>
          <w:szCs w:val="24"/>
          <w:lang w:val="sq-AL"/>
        </w:rPr>
        <w:t xml:space="preserve">Vazhdon të ketë dobësi lidhur me menaxhimin e investimeve publike, por janë prezantuar iniciativa të reja për t’i adresuar ato. </w:t>
      </w:r>
      <w:r w:rsidRPr="0032048B">
        <w:rPr>
          <w:bCs/>
          <w:sz w:val="24"/>
          <w:szCs w:val="24"/>
          <w:lang w:val="sq-AL"/>
        </w:rPr>
        <w:t xml:space="preserve">Edhe pse shpenzimet për investime publike janë rritur fuqishëm nga viti 2017, pjesërisht të nxitura nga rindërtimi pas tërmetit, ato vazhdojnë të </w:t>
      </w:r>
      <w:proofErr w:type="spellStart"/>
      <w:r w:rsidRPr="0032048B">
        <w:rPr>
          <w:bCs/>
          <w:sz w:val="24"/>
          <w:szCs w:val="24"/>
          <w:lang w:val="sq-AL"/>
        </w:rPr>
        <w:t>gjenerojnë</w:t>
      </w:r>
      <w:proofErr w:type="spellEnd"/>
      <w:r w:rsidRPr="0032048B">
        <w:rPr>
          <w:bCs/>
          <w:sz w:val="24"/>
          <w:szCs w:val="24"/>
          <w:lang w:val="sq-AL"/>
        </w:rPr>
        <w:t xml:space="preserve"> detyrime të prapambetura në rritje në tre-mujorin e fundit të vitit financiar. Në vitet 2021 dhe 2022, kjo çështje u zgjidh pjesërisht me ndryshimet e </w:t>
      </w:r>
      <w:proofErr w:type="spellStart"/>
      <w:r w:rsidRPr="0032048B">
        <w:rPr>
          <w:bCs/>
          <w:sz w:val="24"/>
          <w:szCs w:val="24"/>
          <w:lang w:val="sq-AL"/>
        </w:rPr>
        <w:t>fundvitit</w:t>
      </w:r>
      <w:proofErr w:type="spellEnd"/>
      <w:r w:rsidRPr="0032048B">
        <w:rPr>
          <w:bCs/>
          <w:sz w:val="24"/>
          <w:szCs w:val="24"/>
          <w:lang w:val="sq-AL"/>
        </w:rPr>
        <w:t xml:space="preserve"> në buxhet, duke përdorur rikthimin e tepricës së papritur të </w:t>
      </w:r>
      <w:proofErr w:type="spellStart"/>
      <w:r w:rsidRPr="0032048B">
        <w:rPr>
          <w:bCs/>
          <w:sz w:val="24"/>
          <w:szCs w:val="24"/>
          <w:lang w:val="sq-AL"/>
        </w:rPr>
        <w:t>të</w:t>
      </w:r>
      <w:proofErr w:type="spellEnd"/>
      <w:r w:rsidRPr="0032048B">
        <w:rPr>
          <w:bCs/>
          <w:sz w:val="24"/>
          <w:szCs w:val="24"/>
          <w:lang w:val="sq-AL"/>
        </w:rPr>
        <w:t xml:space="preserve"> ardhurave. Megjithatë, vazhdon ende të ketë mangësi strukturore në planifikimin dhe ekzekutimin e investimeve, pjesërisht për faktin se përzgjedhja dhe monitorimi i projekteve për investimet publike mbetet i fragmentuar për llojet e investimeve dhe agjencitë shtetërore që përdorin procedura të ndryshme.</w:t>
      </w:r>
      <w:r w:rsidR="004D53EC">
        <w:rPr>
          <w:bCs/>
          <w:sz w:val="24"/>
          <w:szCs w:val="24"/>
          <w:lang w:val="sq-AL"/>
        </w:rPr>
        <w:t xml:space="preserve"> </w:t>
      </w:r>
      <w:r w:rsidRPr="0032048B">
        <w:rPr>
          <w:bCs/>
          <w:sz w:val="24"/>
          <w:szCs w:val="24"/>
          <w:lang w:val="sq-AL"/>
        </w:rPr>
        <w:t xml:space="preserve">Për më tepër, legjislacioni vendas vazhdon ende të ndajë planifikimet për investime të partneriteteve publike-private (PPP-të) nga ato të projekteve konvencionale. Shpenzimet për rindërtimin pas tërmetit kishin mungesë transparence sepse ato nuk u integruan në procedurat e rregullta të financimit publik. Reformat e fundit të vitit 2022 kishin për qëllim të harmonizonin dhe përmirësonin procedurat e vlerësimit për lloje të ndryshme të projekteve për investime publike dhe rezultuan në krijimin e </w:t>
      </w:r>
      <w:r w:rsidR="00DB71E6">
        <w:rPr>
          <w:bCs/>
          <w:sz w:val="24"/>
          <w:szCs w:val="24"/>
          <w:lang w:val="sq-AL"/>
        </w:rPr>
        <w:t xml:space="preserve">planit të vetëm kombëtar të </w:t>
      </w:r>
      <w:r w:rsidR="00DB71E6" w:rsidRPr="00DB71E6">
        <w:rPr>
          <w:bCs/>
          <w:sz w:val="24"/>
          <w:szCs w:val="24"/>
          <w:lang w:val="sq-AL"/>
        </w:rPr>
        <w:t>projekteve</w:t>
      </w:r>
      <w:r w:rsidRPr="00DB71E6">
        <w:rPr>
          <w:sz w:val="24"/>
          <w:szCs w:val="24"/>
          <w:lang w:val="sq-AL"/>
        </w:rPr>
        <w:t xml:space="preserve">, gjë që gjithashtu forcon </w:t>
      </w:r>
      <w:proofErr w:type="spellStart"/>
      <w:r w:rsidRPr="00DB71E6">
        <w:rPr>
          <w:sz w:val="24"/>
          <w:szCs w:val="24"/>
          <w:lang w:val="sq-AL"/>
        </w:rPr>
        <w:t>prioritizimin</w:t>
      </w:r>
      <w:proofErr w:type="spellEnd"/>
      <w:r w:rsidRPr="00DB71E6">
        <w:rPr>
          <w:sz w:val="24"/>
          <w:szCs w:val="24"/>
          <w:lang w:val="sq-AL"/>
        </w:rPr>
        <w:t xml:space="preserve"> e projekteve në një linjë me hapësirën fiskale dhe mund të kontribuojë</w:t>
      </w:r>
      <w:r w:rsidRPr="0032048B">
        <w:rPr>
          <w:sz w:val="24"/>
          <w:szCs w:val="24"/>
          <w:lang w:val="sq-AL"/>
        </w:rPr>
        <w:t xml:space="preserve"> në uljen e detyrimeve të prapambetura. Nevojitet një ndryshim në legjislacionin për PPP-të në mënyrë që PPP-të të integrohen në procedurat e reja. </w:t>
      </w:r>
    </w:p>
    <w:p w14:paraId="5872AB7B" w14:textId="77777777" w:rsidR="00E6279B" w:rsidRPr="0032048B" w:rsidRDefault="00E6279B" w:rsidP="00E6279B">
      <w:pPr>
        <w:spacing w:before="120"/>
        <w:ind w:left="980" w:right="976"/>
        <w:jc w:val="both"/>
        <w:rPr>
          <w:sz w:val="24"/>
          <w:szCs w:val="24"/>
          <w:lang w:val="sq-AL"/>
        </w:rPr>
      </w:pPr>
      <w:r w:rsidRPr="0032048B">
        <w:rPr>
          <w:b/>
          <w:sz w:val="24"/>
          <w:szCs w:val="24"/>
          <w:lang w:val="sq-AL"/>
        </w:rPr>
        <w:t xml:space="preserve">Hapësira fiskale u përmirësua, dhe përzierja e përgjithshme e politikave makroekonomike ishte e përshtatshme përballë inflacionit të lartë. </w:t>
      </w:r>
      <w:proofErr w:type="spellStart"/>
      <w:r w:rsidRPr="0032048B">
        <w:rPr>
          <w:bCs/>
          <w:sz w:val="24"/>
          <w:szCs w:val="24"/>
          <w:lang w:val="sq-AL"/>
        </w:rPr>
        <w:t>Performanca</w:t>
      </w:r>
      <w:proofErr w:type="spellEnd"/>
      <w:r w:rsidRPr="0032048B">
        <w:rPr>
          <w:bCs/>
          <w:sz w:val="24"/>
          <w:szCs w:val="24"/>
          <w:lang w:val="sq-AL"/>
        </w:rPr>
        <w:t xml:space="preserve"> e mirë fiskale dhe një ulje raportin e borxhit ndaj PBB-s</w:t>
      </w:r>
      <w:r w:rsidRPr="0032048B">
        <w:rPr>
          <w:sz w:val="24"/>
          <w:szCs w:val="24"/>
          <w:lang w:val="sq-AL"/>
        </w:rPr>
        <w:t>ë</w:t>
      </w:r>
      <w:r w:rsidRPr="0032048B">
        <w:rPr>
          <w:bCs/>
          <w:sz w:val="24"/>
          <w:szCs w:val="24"/>
          <w:lang w:val="sq-AL"/>
        </w:rPr>
        <w:t xml:space="preserve"> </w:t>
      </w:r>
      <w:r w:rsidRPr="0032048B">
        <w:rPr>
          <w:sz w:val="24"/>
          <w:szCs w:val="24"/>
          <w:lang w:val="sq-AL"/>
        </w:rPr>
        <w:t xml:space="preserve">ka përmirësuar hapësirën fiskale, por ka ende mangësi domethënëse duke marrë parasysh ekspozimin ndaj goditjeve të jashtme dhe normën e lartë të vazhdueshme të borxhit (në krahasim me vendet e rajonit). Përgjigjja fiskale ndaj goditjes së energjisë elektrike konsistoi kryesisht në vazhdimin e subvencionimit të çmimit të rregulluar të energjisë elektrike për familjet dhe ndërmarrjet e vogla dhe të mesme, edhe pse mund të ishte trajtuar më mirë për të reduktuar kostot fiskale dhe për të përfshirë </w:t>
      </w:r>
      <w:proofErr w:type="spellStart"/>
      <w:r w:rsidRPr="0032048B">
        <w:rPr>
          <w:sz w:val="24"/>
          <w:szCs w:val="24"/>
          <w:lang w:val="sq-AL"/>
        </w:rPr>
        <w:t>incentiva</w:t>
      </w:r>
      <w:proofErr w:type="spellEnd"/>
      <w:r w:rsidRPr="0032048B">
        <w:rPr>
          <w:sz w:val="24"/>
          <w:szCs w:val="24"/>
          <w:lang w:val="sq-AL"/>
        </w:rPr>
        <w:t xml:space="preserve"> për investime në ruajtjen e energjisë. Megjithatë, kufizimi i përgjithshëm i shpenzimeve mbështeti politikën monetare të vitit 2022 dhe kontribuoi në zbutjen e presioneve të inflacionit. Përzierja e politikave </w:t>
      </w:r>
      <w:proofErr w:type="spellStart"/>
      <w:r w:rsidRPr="0032048B">
        <w:rPr>
          <w:sz w:val="24"/>
          <w:szCs w:val="24"/>
          <w:lang w:val="sq-AL"/>
        </w:rPr>
        <w:t>makrofiskale</w:t>
      </w:r>
      <w:proofErr w:type="spellEnd"/>
      <w:r w:rsidRPr="0032048B">
        <w:rPr>
          <w:sz w:val="24"/>
          <w:szCs w:val="24"/>
          <w:lang w:val="sq-AL"/>
        </w:rPr>
        <w:t xml:space="preserve"> ishte në përgjithësi e përshtatshme për adresimin e normës së lartë të inflacionit dhe për mbështetjen e qëndrueshmërisë dhe rimëkëmbjes ekonomike.</w:t>
      </w:r>
    </w:p>
    <w:p w14:paraId="42296786" w14:textId="77777777" w:rsidR="00E6279B" w:rsidRPr="0032048B" w:rsidRDefault="00E6279B" w:rsidP="00E6279B">
      <w:pPr>
        <w:spacing w:before="120"/>
        <w:ind w:left="980"/>
        <w:jc w:val="both"/>
        <w:rPr>
          <w:sz w:val="24"/>
          <w:szCs w:val="24"/>
          <w:lang w:val="sq-AL"/>
        </w:rPr>
      </w:pPr>
      <w:r w:rsidRPr="0032048B">
        <w:rPr>
          <w:spacing w:val="-2"/>
          <w:sz w:val="24"/>
          <w:szCs w:val="24"/>
          <w:u w:val="single"/>
          <w:lang w:val="sq-AL"/>
        </w:rPr>
        <w:t>Funksionimi i tregjeve të produkteve</w:t>
      </w:r>
    </w:p>
    <w:p w14:paraId="4975515A" w14:textId="77777777" w:rsidR="00E6279B" w:rsidRPr="0032048B" w:rsidRDefault="00E6279B" w:rsidP="00E6279B">
      <w:pPr>
        <w:spacing w:before="120"/>
        <w:ind w:left="980"/>
        <w:jc w:val="both"/>
        <w:rPr>
          <w:i/>
          <w:sz w:val="24"/>
          <w:lang w:val="sq-AL"/>
        </w:rPr>
      </w:pPr>
      <w:r w:rsidRPr="0032048B">
        <w:rPr>
          <w:i/>
          <w:spacing w:val="-2"/>
          <w:sz w:val="24"/>
          <w:lang w:val="sq-AL"/>
        </w:rPr>
        <w:t>Mjedisi i biznesit</w:t>
      </w:r>
    </w:p>
    <w:p w14:paraId="34BEC316" w14:textId="77777777" w:rsidR="00E6279B" w:rsidRPr="0032048B" w:rsidRDefault="00E6279B" w:rsidP="00E6279B">
      <w:pPr>
        <w:spacing w:before="120"/>
        <w:ind w:left="980" w:right="976"/>
        <w:jc w:val="both"/>
        <w:rPr>
          <w:bCs/>
          <w:sz w:val="24"/>
          <w:szCs w:val="24"/>
          <w:lang w:val="sq-AL"/>
        </w:rPr>
      </w:pPr>
      <w:r w:rsidRPr="0032048B">
        <w:rPr>
          <w:b/>
          <w:sz w:val="24"/>
          <w:szCs w:val="24"/>
          <w:lang w:val="sq-AL"/>
        </w:rPr>
        <w:t xml:space="preserve">Kënaqësia e biznesit me shërbimet publike është përmirësuar, por ka shqetësime në rritje për mungesën e fuqisë punëtore. </w:t>
      </w:r>
      <w:r w:rsidRPr="0032048B">
        <w:rPr>
          <w:bCs/>
          <w:sz w:val="24"/>
          <w:szCs w:val="24"/>
          <w:lang w:val="sq-AL"/>
        </w:rPr>
        <w:t xml:space="preserve">Barometri i biznesit për Ballkanin për vitin 2022, një sondazh vjetor i pavarur për bizneset në rajon, tregon se kënaqësia e bizneseve me shërbimet publike është përmirësuar në vitet 2021 dhe 2022, kjo falë një niveli më të lartë të digjitalizimit. Një numër më i madh shërbimesh publike janë tashmë </w:t>
      </w:r>
      <w:proofErr w:type="spellStart"/>
      <w:r w:rsidRPr="0032048B">
        <w:rPr>
          <w:bCs/>
          <w:sz w:val="24"/>
          <w:szCs w:val="24"/>
          <w:lang w:val="sq-AL"/>
        </w:rPr>
        <w:t>online</w:t>
      </w:r>
      <w:proofErr w:type="spellEnd"/>
      <w:r w:rsidRPr="0032048B">
        <w:rPr>
          <w:bCs/>
          <w:sz w:val="24"/>
          <w:szCs w:val="24"/>
          <w:lang w:val="sq-AL"/>
        </w:rPr>
        <w:t xml:space="preserve">, përfshi 31 shërbime tatimore, gjë që i lejon taksapaguesit të paguajnë taksat </w:t>
      </w:r>
      <w:proofErr w:type="spellStart"/>
      <w:r w:rsidRPr="0032048B">
        <w:rPr>
          <w:bCs/>
          <w:sz w:val="24"/>
          <w:szCs w:val="24"/>
          <w:lang w:val="sq-AL"/>
        </w:rPr>
        <w:t>online</w:t>
      </w:r>
      <w:proofErr w:type="spellEnd"/>
      <w:r w:rsidRPr="0032048B">
        <w:rPr>
          <w:bCs/>
          <w:sz w:val="24"/>
          <w:szCs w:val="24"/>
          <w:lang w:val="sq-AL"/>
        </w:rPr>
        <w:t xml:space="preserve"> në një masë të caktuar. Për më tepër, aplikimet për të gjitha licencat e bizneseve mund të kryhen </w:t>
      </w:r>
      <w:proofErr w:type="spellStart"/>
      <w:r w:rsidRPr="0032048B">
        <w:rPr>
          <w:bCs/>
          <w:sz w:val="24"/>
          <w:szCs w:val="24"/>
          <w:lang w:val="sq-AL"/>
        </w:rPr>
        <w:t>online</w:t>
      </w:r>
      <w:proofErr w:type="spellEnd"/>
      <w:r w:rsidRPr="0032048B">
        <w:rPr>
          <w:bCs/>
          <w:sz w:val="24"/>
          <w:szCs w:val="24"/>
          <w:lang w:val="sq-AL"/>
        </w:rPr>
        <w:t xml:space="preserve">. Përpjekjet për të krijuar një kadastër të plotë dhe të digjitalizuar në dy vitet e ardhshme po bëjnë progres, por ka ende vonesa dhe mospërputhje lidhur me informacionin për aktet e pronësisë. Përmirësimi i </w:t>
      </w:r>
      <w:r w:rsidRPr="0032048B">
        <w:rPr>
          <w:bCs/>
          <w:sz w:val="24"/>
          <w:szCs w:val="24"/>
          <w:lang w:val="sq-AL"/>
        </w:rPr>
        <w:lastRenderedPageBreak/>
        <w:t xml:space="preserve">shërbimeve publike digjitale ndihmon në uljen e nivelit të korrupsionit, por parregullsitë në procedurat e prokurimit publik perceptohen ende si një pengesë për bizneset, edhe pse zbatimi i këtyre procedurave po përmirësohet, dhe numri i propozimeve të </w:t>
      </w:r>
      <w:proofErr w:type="spellStart"/>
      <w:r w:rsidRPr="0032048B">
        <w:rPr>
          <w:bCs/>
          <w:sz w:val="24"/>
          <w:szCs w:val="24"/>
          <w:lang w:val="sq-AL"/>
        </w:rPr>
        <w:t>pakërkuara</w:t>
      </w:r>
      <w:proofErr w:type="spellEnd"/>
      <w:r w:rsidRPr="0032048B">
        <w:rPr>
          <w:bCs/>
          <w:sz w:val="24"/>
          <w:szCs w:val="24"/>
          <w:lang w:val="sq-AL"/>
        </w:rPr>
        <w:t xml:space="preserve"> dhe PPP-ve të reja është ulur. Prezantimi i limitit të parave në dorë (</w:t>
      </w:r>
      <w:proofErr w:type="spellStart"/>
      <w:r w:rsidRPr="0032048B">
        <w:rPr>
          <w:bCs/>
          <w:sz w:val="24"/>
          <w:szCs w:val="24"/>
          <w:lang w:val="sq-AL"/>
        </w:rPr>
        <w:t>cash</w:t>
      </w:r>
      <w:proofErr w:type="spellEnd"/>
      <w:r w:rsidRPr="0032048B">
        <w:rPr>
          <w:bCs/>
          <w:sz w:val="24"/>
          <w:szCs w:val="24"/>
          <w:lang w:val="sq-AL"/>
        </w:rPr>
        <w:t xml:space="preserve">) në transaksionet biznes-biznes është një masë që ka për synim të trajtojë nivelin e konsiderueshëm të aktiviteteve ekonomike </w:t>
      </w:r>
      <w:proofErr w:type="spellStart"/>
      <w:r w:rsidRPr="0032048B">
        <w:rPr>
          <w:bCs/>
          <w:sz w:val="24"/>
          <w:szCs w:val="24"/>
          <w:lang w:val="sq-AL"/>
        </w:rPr>
        <w:t>informale</w:t>
      </w:r>
      <w:proofErr w:type="spellEnd"/>
      <w:r w:rsidRPr="0032048B">
        <w:rPr>
          <w:bCs/>
          <w:sz w:val="24"/>
          <w:szCs w:val="24"/>
          <w:lang w:val="sq-AL"/>
        </w:rPr>
        <w:t xml:space="preserve">, gjë që ndikon në konkurrencën e padrejtë. Ka një perceptim në rritje se vështirësitë në rekrutimin e forcës punëtore të aftë po bëhen një pengesë për biznesin, dhe sipërmarrësit po kërkojnë vazhdimisht marrjen e masave qeveritare për t’i ndihmuar të mbajnë punëtorët e tyre dhe për të ofruar </w:t>
      </w:r>
      <w:proofErr w:type="spellStart"/>
      <w:r w:rsidRPr="0032048B">
        <w:rPr>
          <w:bCs/>
          <w:sz w:val="24"/>
          <w:szCs w:val="24"/>
          <w:lang w:val="sq-AL"/>
        </w:rPr>
        <w:t>incentiva</w:t>
      </w:r>
      <w:proofErr w:type="spellEnd"/>
      <w:r w:rsidRPr="0032048B">
        <w:rPr>
          <w:bCs/>
          <w:sz w:val="24"/>
          <w:szCs w:val="24"/>
          <w:lang w:val="sq-AL"/>
        </w:rPr>
        <w:t xml:space="preserve"> për rikthimin e diasporës.</w:t>
      </w:r>
    </w:p>
    <w:p w14:paraId="1088BD19" w14:textId="77777777" w:rsidR="00E6279B" w:rsidRPr="0032048B" w:rsidRDefault="00E6279B" w:rsidP="00117B81">
      <w:pPr>
        <w:spacing w:before="119"/>
        <w:ind w:left="990" w:right="976"/>
        <w:jc w:val="both"/>
        <w:rPr>
          <w:bCs/>
          <w:sz w:val="24"/>
          <w:szCs w:val="24"/>
          <w:lang w:val="sq-AL"/>
        </w:rPr>
      </w:pPr>
      <w:r w:rsidRPr="0032048B">
        <w:rPr>
          <w:b/>
          <w:sz w:val="24"/>
          <w:szCs w:val="24"/>
          <w:lang w:val="sq-AL"/>
        </w:rPr>
        <w:t xml:space="preserve">Progresi në përmirësimin e sigurisë juridike për bizneset dhe bërjen më efektive të konsultimeve publike ka qenë i përzier. </w:t>
      </w:r>
      <w:r w:rsidRPr="0032048B">
        <w:rPr>
          <w:bCs/>
          <w:sz w:val="24"/>
          <w:szCs w:val="24"/>
          <w:lang w:val="sq-AL"/>
        </w:rPr>
        <w:t xml:space="preserve">Miratimi i "Ligjit të Unifikuar për Investimet" i planifikuar fillimisht për vitin 2020, është shtyrë për fundin e vitit 2023, duke vonuar përmirësimin e pritshëm të sigurisë juridike për investitorët. Botimi i detyrueshëm i projekt dokumenteve të qeverisë në platformën qeveritare </w:t>
      </w:r>
      <w:proofErr w:type="spellStart"/>
      <w:r w:rsidRPr="0032048B">
        <w:rPr>
          <w:bCs/>
          <w:sz w:val="24"/>
          <w:szCs w:val="24"/>
          <w:lang w:val="sq-AL"/>
        </w:rPr>
        <w:t>online</w:t>
      </w:r>
      <w:proofErr w:type="spellEnd"/>
      <w:r w:rsidRPr="0032048B">
        <w:rPr>
          <w:bCs/>
          <w:sz w:val="24"/>
          <w:szCs w:val="24"/>
          <w:lang w:val="sq-AL"/>
        </w:rPr>
        <w:t xml:space="preserve"> ka rritur transparencën, edhe pse përdorimi i saj për konsultime publike ka qenë shumë i kufizuar, dhe konsultimet duhet ende të mbështeten tek përpjekjet </w:t>
      </w:r>
      <w:proofErr w:type="spellStart"/>
      <w:r w:rsidRPr="0032048B">
        <w:rPr>
          <w:bCs/>
          <w:i/>
          <w:iCs/>
          <w:sz w:val="24"/>
          <w:szCs w:val="24"/>
          <w:lang w:val="sq-AL"/>
        </w:rPr>
        <w:t>ad</w:t>
      </w:r>
      <w:proofErr w:type="spellEnd"/>
      <w:r w:rsidRPr="0032048B">
        <w:rPr>
          <w:bCs/>
          <w:i/>
          <w:iCs/>
          <w:sz w:val="24"/>
          <w:szCs w:val="24"/>
          <w:lang w:val="sq-AL"/>
        </w:rPr>
        <w:t xml:space="preserve"> </w:t>
      </w:r>
      <w:proofErr w:type="spellStart"/>
      <w:r w:rsidRPr="0032048B">
        <w:rPr>
          <w:bCs/>
          <w:i/>
          <w:iCs/>
          <w:sz w:val="24"/>
          <w:szCs w:val="24"/>
          <w:lang w:val="sq-AL"/>
        </w:rPr>
        <w:t>hoc</w:t>
      </w:r>
      <w:proofErr w:type="spellEnd"/>
      <w:r w:rsidRPr="0032048B">
        <w:rPr>
          <w:bCs/>
          <w:i/>
          <w:iCs/>
          <w:sz w:val="24"/>
          <w:szCs w:val="24"/>
          <w:lang w:val="sq-AL"/>
        </w:rPr>
        <w:t xml:space="preserve"> </w:t>
      </w:r>
      <w:r w:rsidRPr="0032048B">
        <w:rPr>
          <w:bCs/>
          <w:sz w:val="24"/>
          <w:szCs w:val="24"/>
          <w:lang w:val="sq-AL"/>
        </w:rPr>
        <w:t xml:space="preserve">të institucioneve qeveritare. Në këtë kontekst, Shqipëria ka bërë progres në identifikimin e aktorëve të ministrisë së linjës në fund të viti 2022 për t’i njoftuar ata rreth konsultimeve publike në fushën e tyre të interesit. Është krijuar një “këshill i sipërmarrjeve” i ri, i përbërë nga përfaqësues të sektorit publik dhe privat, që ka për qëllim të përmirësojë konsultimin me SME-të. Në shkurt të vitit 2023, </w:t>
      </w:r>
      <w:proofErr w:type="spellStart"/>
      <w:r w:rsidRPr="0032048B">
        <w:rPr>
          <w:bCs/>
          <w:sz w:val="24"/>
          <w:szCs w:val="24"/>
          <w:lang w:val="sq-AL"/>
        </w:rPr>
        <w:t>Task</w:t>
      </w:r>
      <w:proofErr w:type="spellEnd"/>
      <w:r w:rsidRPr="0032048B">
        <w:rPr>
          <w:bCs/>
          <w:sz w:val="24"/>
          <w:szCs w:val="24"/>
          <w:lang w:val="sq-AL"/>
        </w:rPr>
        <w:t xml:space="preserve"> Forca e Veprimit Financiar (FATF) raportoi se Shqipëria ka zbatuar më së shumti planin e veprimit të </w:t>
      </w:r>
      <w:proofErr w:type="spellStart"/>
      <w:r w:rsidRPr="0032048B">
        <w:rPr>
          <w:bCs/>
          <w:sz w:val="24"/>
          <w:szCs w:val="24"/>
          <w:lang w:val="sq-AL"/>
        </w:rPr>
        <w:t>dakordësuar</w:t>
      </w:r>
      <w:proofErr w:type="spellEnd"/>
      <w:r w:rsidRPr="0032048B">
        <w:rPr>
          <w:bCs/>
          <w:sz w:val="24"/>
          <w:szCs w:val="24"/>
          <w:lang w:val="sq-AL"/>
        </w:rPr>
        <w:t xml:space="preserve"> për luftën kundër pastrimit të parave dhe reformave në luftën kundër financimit të terrorizmit. Në qershor të vitit 2023, FATF-ja propozoi organizimin e një vizite në terren, e cila u krye në gusht, dhe bëri që Shqipëria të hiqej nga lista në muajin tetor. </w:t>
      </w:r>
      <w:r w:rsidRPr="0032048B">
        <w:rPr>
          <w:sz w:val="24"/>
          <w:szCs w:val="24"/>
          <w:lang w:val="sq-AL"/>
        </w:rPr>
        <w:t xml:space="preserve">Megjithatë, Shqipëria duhet të garantojë se çdo ligj i ardhshëm për pajtueshmërinë vullnetare të taksave (përshi këtu amnisti penale të mundshme) të jetë në përputhje me </w:t>
      </w:r>
      <w:proofErr w:type="spellStart"/>
      <w:r w:rsidRPr="0032048B">
        <w:rPr>
          <w:sz w:val="24"/>
          <w:szCs w:val="24"/>
          <w:lang w:val="sq-AL"/>
        </w:rPr>
        <w:t>acquis</w:t>
      </w:r>
      <w:proofErr w:type="spellEnd"/>
      <w:r w:rsidRPr="0032048B">
        <w:rPr>
          <w:sz w:val="24"/>
          <w:szCs w:val="24"/>
          <w:lang w:val="sq-AL"/>
        </w:rPr>
        <w:t>-në e BE-së dhe standardet ndërkombëtare.</w:t>
      </w:r>
    </w:p>
    <w:p w14:paraId="68CB340F" w14:textId="77777777" w:rsidR="00E6279B" w:rsidRPr="0032048B" w:rsidRDefault="00E6279B" w:rsidP="00E6279B">
      <w:pPr>
        <w:spacing w:before="120"/>
        <w:ind w:left="980"/>
        <w:jc w:val="both"/>
        <w:rPr>
          <w:i/>
          <w:sz w:val="24"/>
          <w:lang w:val="sq-AL"/>
        </w:rPr>
      </w:pPr>
      <w:r w:rsidRPr="0032048B">
        <w:rPr>
          <w:i/>
          <w:spacing w:val="-2"/>
          <w:sz w:val="24"/>
          <w:lang w:val="sq-AL"/>
        </w:rPr>
        <w:t>Ndikimi shtetëror mbi tregjet e produkteve</w:t>
      </w:r>
    </w:p>
    <w:p w14:paraId="56990455" w14:textId="77777777" w:rsidR="00E6279B" w:rsidRPr="0032048B" w:rsidRDefault="00E6279B" w:rsidP="00E6279B">
      <w:pPr>
        <w:spacing w:before="120"/>
        <w:ind w:left="979" w:right="976"/>
        <w:jc w:val="both"/>
        <w:rPr>
          <w:sz w:val="24"/>
          <w:szCs w:val="24"/>
          <w:highlight w:val="yellow"/>
          <w:lang w:val="sq-AL"/>
        </w:rPr>
      </w:pPr>
      <w:r w:rsidRPr="0032048B">
        <w:rPr>
          <w:b/>
          <w:color w:val="000000" w:themeColor="text1"/>
          <w:sz w:val="24"/>
          <w:szCs w:val="24"/>
          <w:lang w:val="sq-AL" w:bidi="sq-AL"/>
        </w:rPr>
        <w:t xml:space="preserve">Çmimet e larta të ushqimit dhe energjisë kanë sjellë mbështetjen e shtuar qeveritare, por ndërhyrja në mekanizmin e përcaktimit u konsiderua </w:t>
      </w:r>
      <w:proofErr w:type="spellStart"/>
      <w:r w:rsidRPr="0032048B">
        <w:rPr>
          <w:b/>
          <w:color w:val="000000" w:themeColor="text1"/>
          <w:sz w:val="24"/>
          <w:szCs w:val="24"/>
          <w:lang w:val="sq-AL" w:bidi="sq-AL"/>
        </w:rPr>
        <w:t>jokushtetuese</w:t>
      </w:r>
      <w:proofErr w:type="spellEnd"/>
      <w:r w:rsidRPr="0032048B">
        <w:rPr>
          <w:b/>
          <w:color w:val="000000" w:themeColor="text1"/>
          <w:sz w:val="24"/>
          <w:szCs w:val="24"/>
          <w:lang w:val="sq-AL" w:bidi="sq-AL"/>
        </w:rPr>
        <w:t xml:space="preserve">. </w:t>
      </w:r>
      <w:r w:rsidRPr="0032048B">
        <w:rPr>
          <w:bCs/>
          <w:color w:val="000000" w:themeColor="text1"/>
          <w:sz w:val="24"/>
          <w:szCs w:val="24"/>
          <w:lang w:val="sq-AL" w:bidi="sq-AL"/>
        </w:rPr>
        <w:t xml:space="preserve">Rritja e </w:t>
      </w:r>
      <w:proofErr w:type="spellStart"/>
      <w:r w:rsidRPr="0032048B">
        <w:rPr>
          <w:bCs/>
          <w:color w:val="000000" w:themeColor="text1"/>
          <w:sz w:val="24"/>
          <w:szCs w:val="24"/>
          <w:lang w:val="sq-AL" w:bidi="sq-AL"/>
        </w:rPr>
        <w:t>cmimit</w:t>
      </w:r>
      <w:proofErr w:type="spellEnd"/>
      <w:r w:rsidRPr="0032048B">
        <w:rPr>
          <w:bCs/>
          <w:color w:val="000000" w:themeColor="text1"/>
          <w:sz w:val="24"/>
          <w:szCs w:val="24"/>
          <w:lang w:val="sq-AL" w:bidi="sq-AL"/>
        </w:rPr>
        <w:t xml:space="preserve"> të ushqimit dhe energjisë bënë që Shqipëria të miratonte një paketë për mbështetje fiskale (‘paketa e qëndrueshmërisë sociale’) në mars të vitit 2022, për të mbështetur sektorin e transportit, fermerët dhe familjet </w:t>
      </w:r>
      <w:proofErr w:type="spellStart"/>
      <w:r w:rsidRPr="0032048B">
        <w:rPr>
          <w:bCs/>
          <w:color w:val="000000" w:themeColor="text1"/>
          <w:sz w:val="24"/>
          <w:szCs w:val="24"/>
          <w:lang w:val="sq-AL" w:bidi="sq-AL"/>
        </w:rPr>
        <w:t>vulnerabël</w:t>
      </w:r>
      <w:proofErr w:type="spellEnd"/>
      <w:r w:rsidRPr="0032048B">
        <w:rPr>
          <w:bCs/>
          <w:color w:val="000000" w:themeColor="text1"/>
          <w:sz w:val="24"/>
          <w:szCs w:val="24"/>
          <w:lang w:val="sq-AL" w:bidi="sq-AL"/>
        </w:rPr>
        <w:t>, si dhe të rriste buxhetin për subvencionimin e çmimit të energjisë elektrike</w:t>
      </w:r>
      <w:hyperlink w:anchor="_bookmark18" w:history="1">
        <w:r w:rsidRPr="0032048B">
          <w:rPr>
            <w:sz w:val="24"/>
            <w:szCs w:val="24"/>
            <w:vertAlign w:val="superscript"/>
            <w:lang w:val="sq-AL"/>
          </w:rPr>
          <w:t>5</w:t>
        </w:r>
      </w:hyperlink>
      <w:r w:rsidRPr="0032048B">
        <w:rPr>
          <w:sz w:val="24"/>
          <w:szCs w:val="24"/>
          <w:lang w:val="sq-AL"/>
        </w:rPr>
        <w:t>. U miratua gjithashtu një skemë garancie sovrane për bizneset e ekspozuara ndaj rritjes së çmimeve të ushqimit. Në prill të vitit 2022, qeveria krijoi dy borde të përkohshme (‘Borde të Transparencës’) me përfaqësues të qeverisë dhe sektorit privat, të cilët vendosën tavane të rregulluar për çmimet me shumicë dhe pakicë për ushqime dhe karburante të caktuara. Megjithatë, në vitin 2023, Gjykata Kushtetuese vendosi se këto borde nuk janë në përputhje me kushtetutën, ndaj duhet të shkrihen. Në vitin 2023, qeveria prezantoi një taksë të papritur për një herë të vetme mbi përfitimet e jashtëzakonshme në vitin 2022 të kompanive që ofrojnë energjinë elektrike në tregun e liberalizuar. Qeveria shpalli masa lehtësuese për bizneset e eksportit që preken nga fuqizimi i lekut, një kompensim financiar të përkohshëm për bizneset në sektorin e bujqësisë dhe peshkimit, të cilët po hasin vështirësi me rritjen me 25% të pagës minimale që hyri në fuqi në prill, si dhe planet për një garanci sovrane për të mbështetur nevojat për likuiditet të kompanive të mëdha, të cilat përballen me nivelin e lartë të inflacionit, rritjen e pagave dhe vlerësimin e monedhave.</w:t>
      </w:r>
    </w:p>
    <w:p w14:paraId="47480566" w14:textId="77777777" w:rsidR="00E6279B" w:rsidRPr="0032048B" w:rsidRDefault="00E6279B" w:rsidP="00E6279B">
      <w:pPr>
        <w:spacing w:before="120"/>
        <w:ind w:left="980"/>
        <w:jc w:val="both"/>
        <w:rPr>
          <w:i/>
          <w:sz w:val="24"/>
          <w:lang w:val="sq-AL"/>
        </w:rPr>
      </w:pPr>
      <w:r w:rsidRPr="0032048B">
        <w:rPr>
          <w:i/>
          <w:spacing w:val="-2"/>
          <w:sz w:val="24"/>
          <w:lang w:val="sq-AL"/>
        </w:rPr>
        <w:t>Privatizimi dhe ristrukturimi</w:t>
      </w:r>
    </w:p>
    <w:p w14:paraId="3103EFB3" w14:textId="7ADB63BE" w:rsidR="00E6279B" w:rsidRPr="0032048B" w:rsidRDefault="00E6279B" w:rsidP="00E6279B">
      <w:pPr>
        <w:spacing w:before="120"/>
        <w:ind w:left="980" w:right="976"/>
        <w:jc w:val="both"/>
        <w:rPr>
          <w:sz w:val="24"/>
          <w:szCs w:val="24"/>
          <w:lang w:val="sq-AL"/>
        </w:rPr>
      </w:pPr>
      <w:r w:rsidRPr="0032048B">
        <w:rPr>
          <w:b/>
          <w:color w:val="000000" w:themeColor="text1"/>
          <w:sz w:val="24"/>
          <w:szCs w:val="24"/>
          <w:lang w:val="sq-AL" w:bidi="sq-AL"/>
        </w:rPr>
        <w:t xml:space="preserve">Prania e shtetit në ekonomi pësoi një rritje të lehtë, por ka mbetur në përgjithësi e </w:t>
      </w:r>
      <w:r w:rsidR="004D53EC" w:rsidRPr="0032048B">
        <w:rPr>
          <w:b/>
          <w:color w:val="000000" w:themeColor="text1"/>
          <w:sz w:val="24"/>
          <w:szCs w:val="24"/>
          <w:lang w:val="sq-AL" w:bidi="sq-AL"/>
        </w:rPr>
        <w:t>kufizuar</w:t>
      </w:r>
      <w:r w:rsidRPr="0032048B">
        <w:rPr>
          <w:b/>
          <w:color w:val="000000" w:themeColor="text1"/>
          <w:sz w:val="24"/>
          <w:szCs w:val="24"/>
          <w:lang w:val="sq-AL" w:bidi="sq-AL"/>
        </w:rPr>
        <w:t xml:space="preserve">. </w:t>
      </w:r>
      <w:r w:rsidRPr="0032048B">
        <w:rPr>
          <w:bCs/>
          <w:color w:val="000000" w:themeColor="text1"/>
          <w:sz w:val="24"/>
          <w:szCs w:val="24"/>
          <w:lang w:val="sq-AL" w:bidi="sq-AL"/>
        </w:rPr>
        <w:t xml:space="preserve">Në vitin 2022, Shqipëria raportoi ndihmë shtetërore prej 0,3% të PBB-së, kryesisht </w:t>
      </w:r>
      <w:r w:rsidRPr="0032048B">
        <w:rPr>
          <w:bCs/>
          <w:color w:val="000000" w:themeColor="text1"/>
          <w:sz w:val="24"/>
          <w:szCs w:val="24"/>
          <w:lang w:val="sq-AL" w:bidi="sq-AL"/>
        </w:rPr>
        <w:lastRenderedPageBreak/>
        <w:t xml:space="preserve">në formën e përjashtimeve nga taksat dhe </w:t>
      </w:r>
      <w:proofErr w:type="spellStart"/>
      <w:r w:rsidRPr="0032048B">
        <w:rPr>
          <w:bCs/>
          <w:color w:val="000000" w:themeColor="text1"/>
          <w:sz w:val="24"/>
          <w:szCs w:val="24"/>
          <w:lang w:val="sq-AL" w:bidi="sq-AL"/>
        </w:rPr>
        <w:t>granteve</w:t>
      </w:r>
      <w:proofErr w:type="spellEnd"/>
      <w:r w:rsidRPr="0032048B">
        <w:rPr>
          <w:bCs/>
          <w:color w:val="000000" w:themeColor="text1"/>
          <w:sz w:val="24"/>
          <w:szCs w:val="24"/>
          <w:lang w:val="sq-AL" w:bidi="sq-AL"/>
        </w:rPr>
        <w:t xml:space="preserve">, duke përjashtuar këtu mbështetjen për bujqësinë. </w:t>
      </w:r>
      <w:r w:rsidRPr="0032048B">
        <w:rPr>
          <w:color w:val="000000" w:themeColor="text1"/>
          <w:sz w:val="24"/>
          <w:szCs w:val="24"/>
          <w:lang w:val="sq-AL" w:bidi="sq-AL"/>
        </w:rPr>
        <w:t>Sipas llogarive të kohëve të fundit në sektor, pjesa e sektorit publik në vlerën bruto të shtuar në ekonomi, ishte rreth 10,6% në periudhën 2015-2019, dhe u rrit pak në vlerën 11,1% në vitin 2020. Pjesa e punësimit në sektorin publik</w:t>
      </w:r>
      <w:hyperlink w:anchor="_bookmark19" w:history="1">
        <w:r w:rsidRPr="0032048B">
          <w:rPr>
            <w:sz w:val="24"/>
            <w:szCs w:val="24"/>
            <w:vertAlign w:val="superscript"/>
            <w:lang w:val="sq-AL"/>
          </w:rPr>
          <w:t>6</w:t>
        </w:r>
      </w:hyperlink>
      <w:r w:rsidRPr="0032048B">
        <w:rPr>
          <w:sz w:val="24"/>
          <w:szCs w:val="24"/>
          <w:lang w:val="sq-AL"/>
        </w:rPr>
        <w:t xml:space="preserve"> ka rënë nga 16,3% e punësimit në përgjithësi në vitin 2014 në 14,3% në vitin 2017, </w:t>
      </w:r>
      <w:r w:rsidRPr="0032048B">
        <w:rPr>
          <w:color w:val="000000" w:themeColor="text1"/>
          <w:sz w:val="24"/>
          <w:szCs w:val="24"/>
          <w:lang w:val="sq-AL" w:bidi="sq-AL"/>
        </w:rPr>
        <w:t xml:space="preserve">përpara se të rritej në 15,3% në dhjetor të vitit 2021. </w:t>
      </w:r>
      <w:r w:rsidRPr="0032048B">
        <w:rPr>
          <w:sz w:val="24"/>
          <w:szCs w:val="24"/>
          <w:lang w:val="sq-AL"/>
        </w:rPr>
        <w:t xml:space="preserve">Sipas një liste të institucioneve të sektorit publik, qeveria qendrore e Shqipërisë është pronar i plotë apo i shumicës së 76 ndërmarrjeve shtetërore, kryesisht në infrastrukturën e transportit dhe energjisë, si edhe i ndërmarrjeve të furnizimit me ujë dhe ndërmarrjeve të kanalizimeve në qeverinë lokale ose në pronësi të bashkisë. Ristrukturimi dhe likuidimi i ndërmarrjeve shtetërore vazhdon, dhe në vitin 2022, Këshilli i Ministrave miratoi një kuadër nominimi të ri për bordet ndërmarrjeve shtetërore. Në vitin 2021, Korporata e Investimeve Shqiptare (KISH) që është në pronësi të shtetit dhe bën menaxhimin e </w:t>
      </w:r>
      <w:proofErr w:type="spellStart"/>
      <w:r w:rsidRPr="0032048B">
        <w:rPr>
          <w:sz w:val="24"/>
          <w:szCs w:val="24"/>
          <w:lang w:val="sq-AL"/>
        </w:rPr>
        <w:t>aseteve</w:t>
      </w:r>
      <w:proofErr w:type="spellEnd"/>
      <w:r w:rsidRPr="0032048B">
        <w:rPr>
          <w:sz w:val="24"/>
          <w:szCs w:val="24"/>
          <w:lang w:val="sq-AL"/>
        </w:rPr>
        <w:t xml:space="preserve"> duke mobilizuar kapitalin privat, filloi të rishikonte </w:t>
      </w:r>
      <w:proofErr w:type="spellStart"/>
      <w:r w:rsidRPr="0032048B">
        <w:rPr>
          <w:sz w:val="24"/>
          <w:szCs w:val="24"/>
          <w:lang w:val="sq-AL"/>
        </w:rPr>
        <w:t>asetet</w:t>
      </w:r>
      <w:proofErr w:type="spellEnd"/>
      <w:r w:rsidRPr="0032048B">
        <w:rPr>
          <w:sz w:val="24"/>
          <w:szCs w:val="24"/>
          <w:lang w:val="sq-AL"/>
        </w:rPr>
        <w:t xml:space="preserve"> shtetërore dhe të </w:t>
      </w:r>
      <w:proofErr w:type="spellStart"/>
      <w:r w:rsidRPr="0032048B">
        <w:rPr>
          <w:sz w:val="24"/>
          <w:szCs w:val="24"/>
          <w:lang w:val="sq-AL"/>
        </w:rPr>
        <w:t>formalizonte</w:t>
      </w:r>
      <w:proofErr w:type="spellEnd"/>
      <w:r w:rsidRPr="0032048B">
        <w:rPr>
          <w:sz w:val="24"/>
          <w:szCs w:val="24"/>
          <w:lang w:val="sq-AL"/>
        </w:rPr>
        <w:t xml:space="preserve"> partneritete me institucionet qeveritare, dhe tashmë ka përgatitur 7 protokolle. </w:t>
      </w:r>
    </w:p>
    <w:p w14:paraId="7F0F711A" w14:textId="76389648" w:rsidR="00E6279B" w:rsidRPr="0032048B" w:rsidRDefault="00E6279B" w:rsidP="00E6279B">
      <w:pPr>
        <w:spacing w:before="62"/>
        <w:ind w:left="980" w:right="976"/>
        <w:jc w:val="both"/>
        <w:rPr>
          <w:sz w:val="24"/>
          <w:szCs w:val="24"/>
          <w:lang w:val="sq-AL"/>
        </w:rPr>
      </w:pPr>
      <w:r w:rsidRPr="0032048B">
        <w:rPr>
          <w:b/>
          <w:sz w:val="24"/>
          <w:szCs w:val="24"/>
          <w:lang w:val="sq-AL"/>
        </w:rPr>
        <w:t xml:space="preserve">Vazhdojnë përpjekjet për të përmirësuar monitorimin e korporatave të sektorit publik dhe </w:t>
      </w:r>
      <w:proofErr w:type="spellStart"/>
      <w:r w:rsidRPr="0032048B">
        <w:rPr>
          <w:b/>
          <w:sz w:val="24"/>
          <w:szCs w:val="24"/>
          <w:lang w:val="sq-AL"/>
        </w:rPr>
        <w:t>risqet</w:t>
      </w:r>
      <w:proofErr w:type="spellEnd"/>
      <w:r w:rsidRPr="0032048B">
        <w:rPr>
          <w:b/>
          <w:sz w:val="24"/>
          <w:szCs w:val="24"/>
          <w:lang w:val="sq-AL"/>
        </w:rPr>
        <w:t xml:space="preserve"> e tyre fiskale. </w:t>
      </w:r>
      <w:r w:rsidRPr="0032048B">
        <w:rPr>
          <w:bCs/>
          <w:sz w:val="24"/>
          <w:szCs w:val="24"/>
          <w:lang w:val="sq-AL"/>
        </w:rPr>
        <w:t xml:space="preserve">Varësia e ndërmarrjeve shtetërore të energjisë elektrike nga garancitë e vazhdueshme publike dhe </w:t>
      </w:r>
      <w:proofErr w:type="spellStart"/>
      <w:r w:rsidRPr="0032048B">
        <w:rPr>
          <w:bCs/>
          <w:sz w:val="24"/>
          <w:szCs w:val="24"/>
          <w:lang w:val="sq-AL"/>
        </w:rPr>
        <w:t>huatë</w:t>
      </w:r>
      <w:proofErr w:type="spellEnd"/>
      <w:r w:rsidRPr="0032048B">
        <w:rPr>
          <w:bCs/>
          <w:sz w:val="24"/>
          <w:szCs w:val="24"/>
          <w:lang w:val="sq-AL"/>
        </w:rPr>
        <w:t xml:space="preserve"> vazhdon të mbetet burim për risk fiskal. Kjo përkeqësohet nga </w:t>
      </w:r>
      <w:proofErr w:type="spellStart"/>
      <w:r w:rsidRPr="0032048B">
        <w:rPr>
          <w:bCs/>
          <w:sz w:val="24"/>
          <w:szCs w:val="24"/>
          <w:lang w:val="sq-AL"/>
        </w:rPr>
        <w:t>cenueshmëria</w:t>
      </w:r>
      <w:proofErr w:type="spellEnd"/>
      <w:r w:rsidRPr="0032048B">
        <w:rPr>
          <w:bCs/>
          <w:sz w:val="24"/>
          <w:szCs w:val="24"/>
          <w:lang w:val="sq-AL"/>
        </w:rPr>
        <w:t xml:space="preserve"> e sektorit hidroenergjetik nga luhatjet në prurjet e shiut dhe </w:t>
      </w:r>
      <w:proofErr w:type="spellStart"/>
      <w:r w:rsidRPr="0032048B">
        <w:rPr>
          <w:bCs/>
          <w:sz w:val="24"/>
          <w:szCs w:val="24"/>
          <w:lang w:val="sq-AL"/>
        </w:rPr>
        <w:t>risqet</w:t>
      </w:r>
      <w:proofErr w:type="spellEnd"/>
      <w:r w:rsidRPr="0032048B">
        <w:rPr>
          <w:bCs/>
          <w:sz w:val="24"/>
          <w:szCs w:val="24"/>
          <w:lang w:val="sq-AL"/>
        </w:rPr>
        <w:t xml:space="preserve"> e ndryshimeve klimatike, masat zbutëse për të cilat janë ende të pazhvilluara. Deklaratat e riskut fiskal shoqërojnë rregullisht buxhetin dhe që nga viti 2021 ato përfshijnë edhe </w:t>
      </w:r>
      <w:proofErr w:type="spellStart"/>
      <w:r w:rsidRPr="0032048B">
        <w:rPr>
          <w:bCs/>
          <w:sz w:val="24"/>
          <w:szCs w:val="24"/>
          <w:lang w:val="sq-AL"/>
        </w:rPr>
        <w:t>risqet</w:t>
      </w:r>
      <w:proofErr w:type="spellEnd"/>
      <w:r w:rsidRPr="0032048B">
        <w:rPr>
          <w:bCs/>
          <w:sz w:val="24"/>
          <w:szCs w:val="24"/>
          <w:lang w:val="sq-AL"/>
        </w:rPr>
        <w:t xml:space="preserve"> e katastrofave natyrore dhe një vlerësim financiar </w:t>
      </w:r>
      <w:r w:rsidRPr="0032048B">
        <w:rPr>
          <w:sz w:val="24"/>
          <w:szCs w:val="24"/>
          <w:lang w:val="sq-AL"/>
        </w:rPr>
        <w:t>të gamës së gjerë të sipërmarrjeve dhe ndërmarrjeve shtetërore. Kjo ka rezultuar të jetë e dobishme për parashikimin e nevojave financiare për sektorin publik të energjisë elektrike në vitin 2022</w:t>
      </w:r>
      <w:hyperlink w:anchor="_bookmark20" w:history="1">
        <w:r w:rsidRPr="0032048B">
          <w:rPr>
            <w:sz w:val="24"/>
            <w:szCs w:val="24"/>
            <w:vertAlign w:val="superscript"/>
            <w:lang w:val="sq-AL"/>
          </w:rPr>
          <w:t>7</w:t>
        </w:r>
      </w:hyperlink>
      <w:r w:rsidRPr="0032048B">
        <w:rPr>
          <w:sz w:val="24"/>
          <w:szCs w:val="24"/>
          <w:lang w:val="sq-AL"/>
        </w:rPr>
        <w:t xml:space="preserve">, kur moti i pafavorshëm shkaktoi një rënie të nivelit të prodhimit të energjisë elektrike në vend, dhe rritja e çmimeve ndërkombëtare çoi në rritjen e kostove të importit të energjisë elektrike. Një udhëzim i nxjerrë në dhjetor të vitit 2022 prezantoi kërkesat shtesë të raportimit për të gjitha organet publike mbi </w:t>
      </w:r>
      <w:proofErr w:type="spellStart"/>
      <w:r w:rsidRPr="0032048B">
        <w:rPr>
          <w:sz w:val="24"/>
          <w:szCs w:val="24"/>
          <w:lang w:val="sq-AL"/>
        </w:rPr>
        <w:t>risqet</w:t>
      </w:r>
      <w:proofErr w:type="spellEnd"/>
      <w:r w:rsidRPr="0032048B">
        <w:rPr>
          <w:sz w:val="24"/>
          <w:szCs w:val="24"/>
          <w:lang w:val="sq-AL"/>
        </w:rPr>
        <w:t xml:space="preserve"> e mundshme fiskale, përfshi ato që lidhen me PPP-të, por kapacitetet dhe mandati i njësisë së riskut fiskal duhet të përditësohet për të qenë në gjendje ta përdorin plotësisht këtë informacion.</w:t>
      </w:r>
    </w:p>
    <w:p w14:paraId="11015DC0" w14:textId="25C0C02C" w:rsidR="00E6279B" w:rsidRPr="0032048B" w:rsidRDefault="00E6279B" w:rsidP="00117B81">
      <w:pPr>
        <w:spacing w:before="120"/>
        <w:ind w:left="990"/>
        <w:jc w:val="both"/>
        <w:rPr>
          <w:sz w:val="24"/>
          <w:szCs w:val="24"/>
          <w:lang w:val="sq-AL"/>
        </w:rPr>
      </w:pPr>
      <w:r w:rsidRPr="0032048B">
        <w:rPr>
          <w:spacing w:val="-2"/>
          <w:sz w:val="24"/>
          <w:szCs w:val="24"/>
          <w:u w:val="single"/>
          <w:lang w:val="sq-AL"/>
        </w:rPr>
        <w:t>Funksionimi i tregut financiar</w:t>
      </w:r>
    </w:p>
    <w:p w14:paraId="7C7648E4" w14:textId="3B4FFF00" w:rsidR="00E6279B" w:rsidRPr="0032048B" w:rsidRDefault="00117B81" w:rsidP="00E6279B">
      <w:pPr>
        <w:spacing w:before="120"/>
        <w:ind w:left="980" w:right="976"/>
        <w:jc w:val="both"/>
        <w:rPr>
          <w:sz w:val="24"/>
          <w:szCs w:val="24"/>
          <w:lang w:val="sq-AL"/>
        </w:rPr>
      </w:pPr>
      <w:r w:rsidRPr="0032048B">
        <w:rPr>
          <w:sz w:val="24"/>
          <w:szCs w:val="24"/>
          <w:highlight w:val="yellow"/>
          <w:lang w:val="sq-AL"/>
        </w:rPr>
        <mc:AlternateContent>
          <mc:Choice Requires="wps">
            <w:drawing>
              <wp:anchor distT="0" distB="0" distL="0" distR="0" simplePos="0" relativeHeight="251669504" behindDoc="1" locked="0" layoutInCell="1" allowOverlap="1" wp14:anchorId="122B93A3" wp14:editId="629C65C7">
                <wp:simplePos x="0" y="0"/>
                <wp:positionH relativeFrom="page">
                  <wp:posOffset>913472</wp:posOffset>
                </wp:positionH>
                <wp:positionV relativeFrom="paragraph">
                  <wp:posOffset>3433521</wp:posOffset>
                </wp:positionV>
                <wp:extent cx="1828800" cy="9525"/>
                <wp:effectExtent l="0" t="0" r="0" b="0"/>
                <wp:wrapTopAndBottom/>
                <wp:docPr id="184" name="Graphic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A9E7DF" id="Graphic 184" o:spid="_x0000_s1026" style="position:absolute;margin-left:71.95pt;margin-top:270.35pt;width:2in;height:.75pt;z-index:-25164697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" path="m1828800,l,,,9144r1828800,l1828800,xe" fillcolor="black" stroked="f">
                <v:path arrowok="t"/>
                <w10:wrap type="topAndBottom" anchorx="page"/>
              </v:shape>
            </w:pict>
          </mc:Fallback>
        </mc:AlternateContent>
      </w:r>
      <w:r w:rsidR="00E6279B" w:rsidRPr="0032048B">
        <w:rPr>
          <w:b/>
          <w:color w:val="000000" w:themeColor="text1"/>
          <w:sz w:val="24"/>
          <w:szCs w:val="24"/>
          <w:lang w:val="sq-AL" w:bidi="sq-AL"/>
        </w:rPr>
        <w:t xml:space="preserve">Sektori financiar vijoi të ishte i qëndrueshëm, por </w:t>
      </w:r>
      <w:proofErr w:type="spellStart"/>
      <w:r w:rsidR="00E6279B" w:rsidRPr="0032048B">
        <w:rPr>
          <w:b/>
          <w:color w:val="000000" w:themeColor="text1"/>
          <w:sz w:val="24"/>
          <w:szCs w:val="24"/>
          <w:lang w:val="sq-AL" w:bidi="sq-AL"/>
        </w:rPr>
        <w:t>risqet</w:t>
      </w:r>
      <w:proofErr w:type="spellEnd"/>
      <w:r w:rsidR="00E6279B" w:rsidRPr="0032048B">
        <w:rPr>
          <w:b/>
          <w:color w:val="000000" w:themeColor="text1"/>
          <w:sz w:val="24"/>
          <w:szCs w:val="24"/>
          <w:lang w:val="sq-AL" w:bidi="sq-AL"/>
        </w:rPr>
        <w:t xml:space="preserve"> për shkak të përdorimit të gjerë të monedhave të huaja dhe kreditë me interes të ndryshueshëm vazhdojnë të jenë të pranishme. </w:t>
      </w:r>
      <w:r w:rsidR="00E6279B" w:rsidRPr="0032048B">
        <w:rPr>
          <w:bCs/>
          <w:color w:val="000000" w:themeColor="text1"/>
          <w:sz w:val="24"/>
          <w:szCs w:val="24"/>
          <w:lang w:val="sq-AL" w:bidi="sq-AL"/>
        </w:rPr>
        <w:t xml:space="preserve">Rentabiliteti bankar (kthimi nga kapitali) vazhdon të rritet nga </w:t>
      </w:r>
      <w:r w:rsidR="00E6279B" w:rsidRPr="0032048B">
        <w:rPr>
          <w:sz w:val="24"/>
          <w:szCs w:val="24"/>
          <w:lang w:val="sq-AL"/>
        </w:rPr>
        <w:t xml:space="preserve">12,9% në vitin 2021 në mesatarisht 15,5% në gjysmën e parë të vitit 2023, pas një rënieje mesatarisht prej 8,5% në vitin 2022. Kapitali i përgjithshëm i sektorit bankar lidhur me </w:t>
      </w:r>
      <w:proofErr w:type="spellStart"/>
      <w:r w:rsidR="00E6279B" w:rsidRPr="0032048B">
        <w:rPr>
          <w:sz w:val="24"/>
          <w:szCs w:val="24"/>
          <w:lang w:val="sq-AL"/>
        </w:rPr>
        <w:t>asetet</w:t>
      </w:r>
      <w:proofErr w:type="spellEnd"/>
      <w:r w:rsidR="00E6279B" w:rsidRPr="0032048B">
        <w:rPr>
          <w:sz w:val="24"/>
          <w:szCs w:val="24"/>
          <w:lang w:val="sq-AL"/>
        </w:rPr>
        <w:t xml:space="preserve"> e konsideruara me risk ka qëndruar i pandryshuar mes 18-19%, vlerë kjo mbi minimumin rregullator, por një numër i vogël i bankave nuk i përmbushin siç duhet kërkesat </w:t>
      </w:r>
      <w:proofErr w:type="spellStart"/>
      <w:r w:rsidR="00E6279B" w:rsidRPr="0032048B">
        <w:rPr>
          <w:sz w:val="24"/>
          <w:szCs w:val="24"/>
          <w:lang w:val="sq-AL"/>
        </w:rPr>
        <w:t>markoprudenciale</w:t>
      </w:r>
      <w:proofErr w:type="spellEnd"/>
      <w:r w:rsidR="00E6279B" w:rsidRPr="0032048B">
        <w:rPr>
          <w:sz w:val="24"/>
          <w:szCs w:val="24"/>
          <w:lang w:val="sq-AL"/>
        </w:rPr>
        <w:t xml:space="preserve">. Niveli i likuiditetit ra në vitin 2022, por vazhdonte të ishte mbi limitin rregullator të përcaktuar nga Banka e Shqipërisë, dhe u rrit pak në vitin 2023. Raporti i huave të këqija ndaj huave u zvogëlua me 3 pikë përqindje nga mesi i vitit 2020 në mesin e vitit 2022, dhe që atëherë mbetet rreth vlerës 5,2%. Megjithatë, ka shqetësime se risku i normës së interesit mund të shndërrohet në risk kredie duke qenë se </w:t>
      </w:r>
      <w:proofErr w:type="spellStart"/>
      <w:r w:rsidR="00E6279B" w:rsidRPr="0032048B">
        <w:rPr>
          <w:sz w:val="24"/>
          <w:szCs w:val="24"/>
          <w:lang w:val="sq-AL"/>
        </w:rPr>
        <w:t>huatë</w:t>
      </w:r>
      <w:proofErr w:type="spellEnd"/>
      <w:r w:rsidR="00E6279B" w:rsidRPr="0032048B">
        <w:rPr>
          <w:sz w:val="24"/>
          <w:szCs w:val="24"/>
          <w:lang w:val="sq-AL"/>
        </w:rPr>
        <w:t xml:space="preserve"> bankare, 75% e te cilave kanë norma interesi të ndryshueshme, po rivlerësohen. Në vitin 2022, janë miratuar disa përditësime të legjislacionit bankar dhe rregulloreve, të cilat forcojnë kërkesat </w:t>
      </w:r>
      <w:proofErr w:type="spellStart"/>
      <w:r w:rsidR="00E6279B" w:rsidRPr="0032048B">
        <w:rPr>
          <w:sz w:val="24"/>
          <w:szCs w:val="24"/>
          <w:lang w:val="sq-AL"/>
        </w:rPr>
        <w:t>makroprudenciale</w:t>
      </w:r>
      <w:proofErr w:type="spellEnd"/>
      <w:r w:rsidR="00E6279B" w:rsidRPr="0032048B">
        <w:rPr>
          <w:sz w:val="24"/>
          <w:szCs w:val="24"/>
          <w:lang w:val="sq-AL"/>
        </w:rPr>
        <w:t xml:space="preserve"> (rezervat e likuiditetit, raporti i financimit neto, </w:t>
      </w:r>
      <w:proofErr w:type="spellStart"/>
      <w:r w:rsidR="00E6279B" w:rsidRPr="0032048B">
        <w:rPr>
          <w:sz w:val="24"/>
          <w:szCs w:val="24"/>
          <w:lang w:val="sq-AL"/>
        </w:rPr>
        <w:t>mjaftueshmëria</w:t>
      </w:r>
      <w:proofErr w:type="spellEnd"/>
      <w:r w:rsidR="00E6279B" w:rsidRPr="0032048B">
        <w:rPr>
          <w:sz w:val="24"/>
          <w:szCs w:val="24"/>
          <w:lang w:val="sq-AL"/>
        </w:rPr>
        <w:t xml:space="preserve"> e kapitalit) dhe menaxhimin e riskut. Rezoluta e fundit lidhur me mosmarrëveshjen mbi tarifat e shërbimit privat të përmbarimit, e cila lehtëson ekzekutimin e </w:t>
      </w:r>
      <w:proofErr w:type="spellStart"/>
      <w:r w:rsidR="00E6279B" w:rsidRPr="0032048B">
        <w:rPr>
          <w:sz w:val="24"/>
          <w:szCs w:val="24"/>
          <w:lang w:val="sq-AL"/>
        </w:rPr>
        <w:t>kolateralit</w:t>
      </w:r>
      <w:proofErr w:type="spellEnd"/>
      <w:r w:rsidR="00E6279B" w:rsidRPr="0032048B">
        <w:rPr>
          <w:sz w:val="24"/>
          <w:szCs w:val="24"/>
          <w:lang w:val="sq-AL"/>
        </w:rPr>
        <w:t xml:space="preserve">, është në kohë. Bankat kanë ekspozim të konsiderueshëm ndaj riskut sovran, duke marrë parasysh se 25% </w:t>
      </w:r>
      <w:r w:rsidR="000857D8">
        <w:rPr>
          <w:sz w:val="24"/>
          <w:szCs w:val="24"/>
          <w:lang w:val="sq-AL"/>
        </w:rPr>
        <w:t>të</w:t>
      </w:r>
      <w:r w:rsidR="00E6279B" w:rsidRPr="0032048B">
        <w:rPr>
          <w:sz w:val="24"/>
          <w:szCs w:val="24"/>
          <w:lang w:val="sq-AL"/>
        </w:rPr>
        <w:t xml:space="preserve"> </w:t>
      </w:r>
      <w:proofErr w:type="spellStart"/>
      <w:r w:rsidR="00E6279B" w:rsidRPr="0032048B">
        <w:rPr>
          <w:sz w:val="24"/>
          <w:szCs w:val="24"/>
          <w:lang w:val="sq-AL"/>
        </w:rPr>
        <w:t>siguracioneve</w:t>
      </w:r>
      <w:proofErr w:type="spellEnd"/>
      <w:r w:rsidR="00E6279B" w:rsidRPr="0032048B">
        <w:rPr>
          <w:sz w:val="24"/>
          <w:szCs w:val="24"/>
          <w:lang w:val="sq-AL"/>
        </w:rPr>
        <w:t xml:space="preserve"> shtetërore janë pjesë e </w:t>
      </w:r>
      <w:proofErr w:type="spellStart"/>
      <w:r w:rsidR="00E6279B" w:rsidRPr="0032048B">
        <w:rPr>
          <w:sz w:val="24"/>
          <w:szCs w:val="24"/>
          <w:lang w:val="sq-AL"/>
        </w:rPr>
        <w:t>aseteve</w:t>
      </w:r>
      <w:proofErr w:type="spellEnd"/>
      <w:r w:rsidR="00E6279B" w:rsidRPr="0032048B">
        <w:rPr>
          <w:sz w:val="24"/>
          <w:szCs w:val="24"/>
          <w:lang w:val="sq-AL"/>
        </w:rPr>
        <w:t xml:space="preserve"> të tyre. Përdorimi i euros ishte në nivel të lartë dhe është rritur përsëri pak. Depozitat në monedhë të huaj janë mbi </w:t>
      </w:r>
      <w:r w:rsidR="00E6279B" w:rsidRPr="0032048B">
        <w:rPr>
          <w:sz w:val="24"/>
          <w:szCs w:val="24"/>
          <w:lang w:val="sq-AL"/>
        </w:rPr>
        <w:lastRenderedPageBreak/>
        <w:t xml:space="preserve">50% dhe </w:t>
      </w:r>
      <w:proofErr w:type="spellStart"/>
      <w:r w:rsidR="00E6279B" w:rsidRPr="0032048B">
        <w:rPr>
          <w:sz w:val="24"/>
          <w:szCs w:val="24"/>
          <w:lang w:val="sq-AL"/>
        </w:rPr>
        <w:t>huatë</w:t>
      </w:r>
      <w:proofErr w:type="spellEnd"/>
      <w:r w:rsidR="00E6279B" w:rsidRPr="0032048B">
        <w:rPr>
          <w:sz w:val="24"/>
          <w:szCs w:val="24"/>
          <w:lang w:val="sq-AL"/>
        </w:rPr>
        <w:t xml:space="preserve"> në monedhë të huaj janë mbi 49% të huave totale, edhe pse pesha e kredive që nuk janë të mbrojtura ndaj rreziqeve të kursit të këmbimit është ulur. Konsolidimi i sektorit bankar ka vazhduar, me shkrirjen e bankës “</w:t>
      </w:r>
      <w:proofErr w:type="spellStart"/>
      <w:r w:rsidR="00E6279B" w:rsidRPr="0032048B">
        <w:rPr>
          <w:sz w:val="24"/>
          <w:szCs w:val="24"/>
          <w:lang w:val="sq-AL"/>
        </w:rPr>
        <w:t>Alpha</w:t>
      </w:r>
      <w:proofErr w:type="spellEnd"/>
      <w:r w:rsidR="00E6279B" w:rsidRPr="0032048B">
        <w:rPr>
          <w:sz w:val="24"/>
          <w:szCs w:val="24"/>
          <w:lang w:val="sq-AL"/>
        </w:rPr>
        <w:t>” në OTP. Kjo e zvogëlon numrin e bankave në Shqipëri në 11. Sektori financiar jo bankar, i vogël por në rritje, është zgjeruar në 38 institucione</w:t>
      </w:r>
      <w:hyperlink w:anchor="_bookmark21" w:history="1">
        <w:r w:rsidR="00E6279B" w:rsidRPr="0032048B">
          <w:rPr>
            <w:sz w:val="24"/>
            <w:szCs w:val="24"/>
            <w:vertAlign w:val="superscript"/>
            <w:lang w:val="sq-AL"/>
          </w:rPr>
          <w:t>8</w:t>
        </w:r>
      </w:hyperlink>
      <w:r w:rsidR="00E6279B" w:rsidRPr="0032048B">
        <w:rPr>
          <w:sz w:val="24"/>
          <w:szCs w:val="24"/>
          <w:lang w:val="sq-AL"/>
        </w:rPr>
        <w:t xml:space="preserve"> por pjesa e tij e PBB-së nuk ka ndryshuar në 12%. Këtu përfshihet tregu i sigurimeve, i cili vlerësohet në rreth 2,3% të PBB-së, i dominuar nga sigurimet jo jetësore. Legjislacioni i ri ofron një kuadër për rritjen e përdorimit të instrumenteve të reja si faktorizimi dhe dhënia me qira, si dhe forcimin e kërkesave të menaxhimit të riskut në sektorin financiar jo bankar. </w:t>
      </w:r>
    </w:p>
    <w:p w14:paraId="60D7513B" w14:textId="77777777" w:rsidR="00E6279B" w:rsidRPr="0032048B" w:rsidRDefault="00E6279B" w:rsidP="00E6279B">
      <w:pPr>
        <w:spacing w:before="119"/>
        <w:ind w:left="980"/>
        <w:jc w:val="both"/>
        <w:rPr>
          <w:i/>
          <w:sz w:val="24"/>
          <w:lang w:val="sq-AL"/>
        </w:rPr>
      </w:pPr>
      <w:r w:rsidRPr="0032048B">
        <w:rPr>
          <w:i/>
          <w:sz w:val="24"/>
          <w:lang w:val="sq-AL"/>
        </w:rPr>
        <w:t>Qasje në financim</w:t>
      </w:r>
    </w:p>
    <w:p w14:paraId="3F542EC2" w14:textId="77777777" w:rsidR="00E6279B" w:rsidRPr="0032048B" w:rsidRDefault="00E6279B" w:rsidP="00E6279B">
      <w:pPr>
        <w:spacing w:before="120"/>
        <w:ind w:left="980" w:right="976"/>
        <w:jc w:val="both"/>
        <w:rPr>
          <w:sz w:val="24"/>
          <w:szCs w:val="24"/>
          <w:lang w:val="sq-AL"/>
        </w:rPr>
      </w:pPr>
      <w:r w:rsidRPr="0032048B">
        <w:rPr>
          <w:b/>
          <w:color w:val="000000" w:themeColor="text1"/>
          <w:sz w:val="24"/>
          <w:szCs w:val="24"/>
          <w:lang w:val="sq-AL" w:bidi="sq-AL"/>
        </w:rPr>
        <w:t>Modernizimi i sistemeve të pagesave përmirësoi qasjen në financim, por zhvillimi i tregut të kapitalit është në fillimet e tij.</w:t>
      </w:r>
      <w:r w:rsidRPr="0032048B">
        <w:rPr>
          <w:bCs/>
          <w:color w:val="000000" w:themeColor="text1"/>
          <w:sz w:val="24"/>
          <w:szCs w:val="24"/>
          <w:lang w:val="sq-AL" w:bidi="sq-AL"/>
        </w:rPr>
        <w:t xml:space="preserve"> </w:t>
      </w:r>
      <w:r w:rsidRPr="0032048B">
        <w:rPr>
          <w:color w:val="000000" w:themeColor="text1"/>
          <w:sz w:val="24"/>
          <w:szCs w:val="24"/>
          <w:lang w:val="sq-AL" w:bidi="sq-AL"/>
        </w:rPr>
        <w:t>Rritja e përgjithshme e huadhënies u rrit nga vlera mesatare prej 6,9% në vitin 2021 në 11,2% në vitin 2022. Huadhënia për sektorin privat</w:t>
      </w:r>
      <w:hyperlink w:anchor="_bookmark22" w:history="1">
        <w:r w:rsidRPr="0032048B">
          <w:rPr>
            <w:sz w:val="24"/>
            <w:szCs w:val="24"/>
            <w:vertAlign w:val="superscript"/>
            <w:lang w:val="sq-AL"/>
          </w:rPr>
          <w:t>9</w:t>
        </w:r>
      </w:hyperlink>
      <w:r w:rsidRPr="0032048B">
        <w:rPr>
          <w:sz w:val="24"/>
          <w:szCs w:val="24"/>
          <w:lang w:val="sq-AL"/>
        </w:rPr>
        <w:t xml:space="preserve"> u rrit gjithashtu nga 6,9% në vitin 2021 në mesatarisht 12,3% në vitin 2022, por u ul në vlerën 7,3% në korrik të vitit 2023 për shkak të rritjes së vazhdueshme të normave të interesit. Niveli i ndërmjetësimit financiar mbetet i ulët, ku </w:t>
      </w:r>
      <w:proofErr w:type="spellStart"/>
      <w:r w:rsidRPr="0032048B">
        <w:rPr>
          <w:sz w:val="24"/>
          <w:szCs w:val="24"/>
          <w:lang w:val="sq-AL"/>
        </w:rPr>
        <w:t>huatë</w:t>
      </w:r>
      <w:proofErr w:type="spellEnd"/>
      <w:r w:rsidRPr="0032048B">
        <w:rPr>
          <w:sz w:val="24"/>
          <w:szCs w:val="24"/>
          <w:lang w:val="sq-AL"/>
        </w:rPr>
        <w:t xml:space="preserve"> për sektorin privat jo financiar përbëjnë 32,7% të PBB-së, rreth 15 pikë përqindje nën nivelin rajonal. Në vitin 2022, u përfundua kuadri rregullator për modernizimin e sistemit të pagave. Kjo ka çuar në shtimin e numrit të personave që kanë një llogari bankare dhe në rritjen e numrit të pajisjeve të pagesave elektronike </w:t>
      </w:r>
    </w:p>
    <w:p w14:paraId="1B9298A7" w14:textId="77777777" w:rsidR="00E6279B" w:rsidRPr="0032048B" w:rsidRDefault="00E6279B" w:rsidP="00E6279B">
      <w:pPr>
        <w:spacing w:before="128"/>
        <w:rPr>
          <w:sz w:val="20"/>
          <w:szCs w:val="24"/>
          <w:highlight w:val="yellow"/>
          <w:lang w:val="sq-AL"/>
        </w:rPr>
      </w:pPr>
      <w:r w:rsidRPr="0032048B">
        <w:rPr>
          <w:sz w:val="24"/>
          <w:szCs w:val="24"/>
          <w:highlight w:val="yellow"/>
          <w:lang w:val="sq-AL"/>
        </w:rPr>
        <mc:AlternateContent>
          <mc:Choice Requires="wps">
            <w:drawing>
              <wp:anchor distT="0" distB="0" distL="0" distR="0" simplePos="0" relativeHeight="251670528" behindDoc="1" locked="0" layoutInCell="1" allowOverlap="1" wp14:anchorId="19186C58" wp14:editId="590126B6">
                <wp:simplePos x="0" y="0"/>
                <wp:positionH relativeFrom="page">
                  <wp:posOffset>914400</wp:posOffset>
                </wp:positionH>
                <wp:positionV relativeFrom="paragraph">
                  <wp:posOffset>242560</wp:posOffset>
                </wp:positionV>
                <wp:extent cx="1828800" cy="9525"/>
                <wp:effectExtent l="0" t="0" r="0" b="0"/>
                <wp:wrapTopAndBottom/>
                <wp:docPr id="185" name="Graphic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690792" id="Graphic 185" o:spid="_x0000_s1026" style="position:absolute;margin-left:1in;margin-top:19.1pt;width:2in;height:.75pt;z-index:-25164595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" path="m1828800,l,,,9143r1828800,l1828800,xe" fillcolor="black" stroked="f">
                <v:path arrowok="t"/>
                <w10:wrap type="topAndBottom" anchorx="page"/>
              </v:shape>
            </w:pict>
          </mc:Fallback>
        </mc:AlternateContent>
      </w:r>
    </w:p>
    <w:p w14:paraId="61F6FFC7" w14:textId="77777777" w:rsidR="00E6279B" w:rsidRPr="0032048B" w:rsidRDefault="00E6279B" w:rsidP="00E6279B">
      <w:pPr>
        <w:tabs>
          <w:tab w:val="left" w:pos="1264"/>
        </w:tabs>
        <w:spacing w:before="118" w:line="247" w:lineRule="auto"/>
        <w:ind w:left="1264" w:right="1002" w:hanging="285"/>
        <w:rPr>
          <w:rFonts w:ascii="Calibri"/>
          <w:sz w:val="18"/>
          <w:lang w:val="sq-AL"/>
        </w:rPr>
      </w:pPr>
      <w:bookmarkStart w:id="34" w:name="_bookmark20"/>
      <w:bookmarkEnd w:id="34"/>
      <w:r w:rsidRPr="0032048B">
        <w:rPr>
          <w:rFonts w:ascii="Calibri"/>
          <w:spacing w:val="-10"/>
          <w:sz w:val="18"/>
          <w:vertAlign w:val="superscript"/>
          <w:lang w:val="sq-AL"/>
        </w:rPr>
        <w:t>7</w:t>
      </w:r>
      <w:r w:rsidRPr="0032048B">
        <w:rPr>
          <w:rFonts w:ascii="Calibri"/>
          <w:sz w:val="18"/>
          <w:lang w:val="sq-AL"/>
        </w:rPr>
        <w:tab/>
        <w:t>Qeveria ofroi huadh</w:t>
      </w:r>
      <w:r w:rsidRPr="0032048B">
        <w:rPr>
          <w:rFonts w:ascii="Calibri"/>
          <w:sz w:val="18"/>
          <w:lang w:val="sq-AL"/>
        </w:rPr>
        <w:t>ë</w:t>
      </w:r>
      <w:r w:rsidRPr="0032048B">
        <w:rPr>
          <w:rFonts w:ascii="Calibri"/>
          <w:sz w:val="18"/>
          <w:lang w:val="sq-AL"/>
        </w:rPr>
        <w:t xml:space="preserve">nie </w:t>
      </w:r>
      <w:proofErr w:type="spellStart"/>
      <w:r w:rsidRPr="0032048B">
        <w:rPr>
          <w:rFonts w:ascii="Calibri"/>
          <w:sz w:val="18"/>
          <w:lang w:val="sq-AL"/>
        </w:rPr>
        <w:t>direkte</w:t>
      </w:r>
      <w:proofErr w:type="spellEnd"/>
      <w:r w:rsidRPr="0032048B">
        <w:rPr>
          <w:rFonts w:ascii="Calibri"/>
          <w:sz w:val="18"/>
          <w:lang w:val="sq-AL"/>
        </w:rPr>
        <w:t xml:space="preserve"> prej 0,4% t</w:t>
      </w:r>
      <w:r w:rsidRPr="0032048B">
        <w:rPr>
          <w:rFonts w:ascii="Calibri"/>
          <w:sz w:val="18"/>
          <w:lang w:val="sq-AL"/>
        </w:rPr>
        <w:t>ë</w:t>
      </w:r>
      <w:r w:rsidRPr="0032048B">
        <w:rPr>
          <w:rFonts w:ascii="Calibri"/>
          <w:sz w:val="18"/>
          <w:lang w:val="sq-AL"/>
        </w:rPr>
        <w:t xml:space="preserve"> PBB-s</w:t>
      </w:r>
      <w:r w:rsidRPr="0032048B">
        <w:rPr>
          <w:rFonts w:ascii="Calibri"/>
          <w:sz w:val="18"/>
          <w:lang w:val="sq-AL"/>
        </w:rPr>
        <w:t>ë</w:t>
      </w:r>
      <w:r w:rsidRPr="0032048B">
        <w:rPr>
          <w:rFonts w:ascii="Calibri"/>
          <w:sz w:val="18"/>
          <w:lang w:val="sq-AL"/>
        </w:rPr>
        <w:t xml:space="preserve"> dhe mb</w:t>
      </w:r>
      <w:r w:rsidRPr="0032048B">
        <w:rPr>
          <w:rFonts w:ascii="Calibri"/>
          <w:sz w:val="18"/>
          <w:lang w:val="sq-AL"/>
        </w:rPr>
        <w:t>ë</w:t>
      </w:r>
      <w:r w:rsidRPr="0032048B">
        <w:rPr>
          <w:rFonts w:ascii="Calibri"/>
          <w:sz w:val="18"/>
          <w:lang w:val="sq-AL"/>
        </w:rPr>
        <w:t>shtetje buxhetore prej 1% t</w:t>
      </w:r>
      <w:r w:rsidRPr="0032048B">
        <w:rPr>
          <w:rFonts w:ascii="Calibri"/>
          <w:sz w:val="18"/>
          <w:lang w:val="sq-AL"/>
        </w:rPr>
        <w:t>ë</w:t>
      </w:r>
      <w:r w:rsidRPr="0032048B">
        <w:rPr>
          <w:rFonts w:ascii="Calibri"/>
          <w:sz w:val="18"/>
          <w:lang w:val="sq-AL"/>
        </w:rPr>
        <w:t xml:space="preserve"> PBB-s</w:t>
      </w:r>
      <w:r w:rsidRPr="0032048B">
        <w:rPr>
          <w:rFonts w:ascii="Calibri"/>
          <w:sz w:val="18"/>
          <w:lang w:val="sq-AL"/>
        </w:rPr>
        <w:t>ë</w:t>
      </w:r>
      <w:r w:rsidRPr="0032048B">
        <w:rPr>
          <w:rFonts w:ascii="Calibri"/>
          <w:sz w:val="18"/>
          <w:lang w:val="sq-AL"/>
        </w:rPr>
        <w:t xml:space="preserve"> p</w:t>
      </w:r>
      <w:r w:rsidRPr="0032048B">
        <w:rPr>
          <w:rFonts w:ascii="Calibri"/>
          <w:sz w:val="18"/>
          <w:lang w:val="sq-AL"/>
        </w:rPr>
        <w:t>ë</w:t>
      </w:r>
      <w:r w:rsidRPr="0032048B">
        <w:rPr>
          <w:rFonts w:ascii="Calibri"/>
          <w:sz w:val="18"/>
          <w:lang w:val="sq-AL"/>
        </w:rPr>
        <w:t>r sektorin p</w:t>
      </w:r>
      <w:r w:rsidRPr="0032048B">
        <w:rPr>
          <w:rFonts w:ascii="Calibri"/>
          <w:sz w:val="18"/>
          <w:lang w:val="sq-AL"/>
        </w:rPr>
        <w:t>ë</w:t>
      </w:r>
      <w:r w:rsidRPr="0032048B">
        <w:rPr>
          <w:rFonts w:ascii="Calibri"/>
          <w:sz w:val="18"/>
          <w:lang w:val="sq-AL"/>
        </w:rPr>
        <w:t>r t</w:t>
      </w:r>
      <w:r w:rsidRPr="0032048B">
        <w:rPr>
          <w:rFonts w:ascii="Calibri"/>
          <w:sz w:val="18"/>
          <w:lang w:val="sq-AL"/>
        </w:rPr>
        <w:t>ë</w:t>
      </w:r>
      <w:r w:rsidRPr="0032048B">
        <w:rPr>
          <w:rFonts w:ascii="Calibri"/>
          <w:sz w:val="18"/>
          <w:lang w:val="sq-AL"/>
        </w:rPr>
        <w:t xml:space="preserve"> mbuluar rritjen e </w:t>
      </w:r>
      <w:r w:rsidRPr="0032048B">
        <w:rPr>
          <w:rFonts w:ascii="Calibri"/>
          <w:sz w:val="18"/>
          <w:lang w:val="sq-AL"/>
        </w:rPr>
        <w:t>ç</w:t>
      </w:r>
      <w:r w:rsidRPr="0032048B">
        <w:rPr>
          <w:rFonts w:ascii="Calibri"/>
          <w:sz w:val="18"/>
          <w:lang w:val="sq-AL"/>
        </w:rPr>
        <w:t>mimeve.</w:t>
      </w:r>
    </w:p>
    <w:p w14:paraId="5BBF6F93" w14:textId="77777777" w:rsidR="00E6279B" w:rsidRPr="0032048B" w:rsidRDefault="00E6279B" w:rsidP="00E6279B">
      <w:pPr>
        <w:tabs>
          <w:tab w:val="left" w:pos="1264"/>
        </w:tabs>
        <w:spacing w:before="53"/>
        <w:ind w:left="1264" w:right="1271" w:hanging="285"/>
        <w:rPr>
          <w:rFonts w:ascii="Calibri"/>
          <w:sz w:val="18"/>
          <w:lang w:val="sq-AL"/>
        </w:rPr>
      </w:pPr>
      <w:bookmarkStart w:id="35" w:name="_bookmark21"/>
      <w:bookmarkEnd w:id="35"/>
      <w:r w:rsidRPr="0032048B">
        <w:rPr>
          <w:rFonts w:ascii="Calibri"/>
          <w:spacing w:val="-10"/>
          <w:sz w:val="18"/>
          <w:vertAlign w:val="superscript"/>
          <w:lang w:val="sq-AL"/>
        </w:rPr>
        <w:t>8</w:t>
      </w:r>
      <w:r w:rsidRPr="0032048B">
        <w:rPr>
          <w:rFonts w:ascii="Calibri"/>
          <w:sz w:val="18"/>
          <w:lang w:val="sq-AL"/>
        </w:rPr>
        <w:tab/>
      </w:r>
      <w:r w:rsidRPr="0032048B">
        <w:rPr>
          <w:rFonts w:asciiTheme="minorHAnsi" w:hAnsiTheme="minorHAnsi" w:cstheme="minorHAnsi"/>
          <w:sz w:val="18"/>
          <w:szCs w:val="18"/>
          <w:lang w:val="sq-AL" w:bidi="sq-AL"/>
        </w:rPr>
        <w:t xml:space="preserve">Përfshirë 12 shoqëri sigurimesh, 8 fonde investimesh dhe një sërë institucionesh që sigurojnë </w:t>
      </w:r>
      <w:proofErr w:type="spellStart"/>
      <w:r w:rsidRPr="0032048B">
        <w:rPr>
          <w:rFonts w:asciiTheme="minorHAnsi" w:hAnsiTheme="minorHAnsi" w:cstheme="minorHAnsi"/>
          <w:sz w:val="18"/>
          <w:szCs w:val="18"/>
          <w:lang w:val="sq-AL" w:bidi="sq-AL"/>
        </w:rPr>
        <w:t>mikrohua</w:t>
      </w:r>
      <w:proofErr w:type="spellEnd"/>
      <w:r w:rsidRPr="0032048B">
        <w:rPr>
          <w:rFonts w:asciiTheme="minorHAnsi" w:hAnsiTheme="minorHAnsi" w:cstheme="minorHAnsi"/>
          <w:sz w:val="18"/>
          <w:szCs w:val="18"/>
          <w:lang w:val="sq-AL" w:bidi="sq-AL"/>
        </w:rPr>
        <w:t xml:space="preserve">, </w:t>
      </w:r>
      <w:proofErr w:type="spellStart"/>
      <w:r w:rsidRPr="0032048B">
        <w:rPr>
          <w:rFonts w:asciiTheme="minorHAnsi" w:hAnsiTheme="minorHAnsi" w:cstheme="minorHAnsi"/>
          <w:sz w:val="18"/>
          <w:szCs w:val="18"/>
          <w:lang w:val="sq-AL" w:bidi="sq-AL"/>
        </w:rPr>
        <w:t>leasing</w:t>
      </w:r>
      <w:proofErr w:type="spellEnd"/>
      <w:r w:rsidRPr="0032048B">
        <w:rPr>
          <w:rFonts w:asciiTheme="minorHAnsi" w:hAnsiTheme="minorHAnsi" w:cstheme="minorHAnsi"/>
          <w:sz w:val="18"/>
          <w:szCs w:val="18"/>
          <w:lang w:val="sq-AL" w:bidi="sq-AL"/>
        </w:rPr>
        <w:t xml:space="preserve"> financiar, </w:t>
      </w:r>
      <w:proofErr w:type="spellStart"/>
      <w:r w:rsidRPr="0032048B">
        <w:rPr>
          <w:rFonts w:asciiTheme="minorHAnsi" w:hAnsiTheme="minorHAnsi" w:cstheme="minorHAnsi"/>
          <w:sz w:val="18"/>
          <w:szCs w:val="18"/>
          <w:lang w:val="sq-AL" w:bidi="sq-AL"/>
        </w:rPr>
        <w:t>faktorim</w:t>
      </w:r>
      <w:proofErr w:type="spellEnd"/>
      <w:r w:rsidRPr="0032048B">
        <w:rPr>
          <w:rFonts w:asciiTheme="minorHAnsi" w:hAnsiTheme="minorHAnsi" w:cstheme="minorHAnsi"/>
          <w:sz w:val="18"/>
          <w:szCs w:val="18"/>
          <w:lang w:val="sq-AL" w:bidi="sq-AL"/>
        </w:rPr>
        <w:t xml:space="preserve">, </w:t>
      </w:r>
      <w:proofErr w:type="spellStart"/>
      <w:r w:rsidRPr="0032048B">
        <w:rPr>
          <w:rFonts w:asciiTheme="minorHAnsi" w:hAnsiTheme="minorHAnsi" w:cstheme="minorHAnsi"/>
          <w:sz w:val="18"/>
          <w:szCs w:val="18"/>
          <w:lang w:val="sq-AL" w:bidi="sq-AL"/>
        </w:rPr>
        <w:t>transferta</w:t>
      </w:r>
      <w:proofErr w:type="spellEnd"/>
      <w:r w:rsidRPr="0032048B">
        <w:rPr>
          <w:rFonts w:asciiTheme="minorHAnsi" w:hAnsiTheme="minorHAnsi" w:cstheme="minorHAnsi"/>
          <w:sz w:val="18"/>
          <w:szCs w:val="18"/>
          <w:lang w:val="sq-AL" w:bidi="sq-AL"/>
        </w:rPr>
        <w:t xml:space="preserve"> parash dhe shërbime të pagesave elektronike.</w:t>
      </w:r>
    </w:p>
    <w:p w14:paraId="5A284506" w14:textId="77777777" w:rsidR="00E6279B" w:rsidRPr="0032048B" w:rsidRDefault="00E6279B" w:rsidP="00E6279B">
      <w:pPr>
        <w:tabs>
          <w:tab w:val="left" w:pos="1264"/>
        </w:tabs>
        <w:spacing w:before="60"/>
        <w:ind w:left="980"/>
        <w:rPr>
          <w:rFonts w:ascii="Calibri"/>
          <w:sz w:val="18"/>
          <w:lang w:val="sq-AL"/>
        </w:rPr>
      </w:pPr>
      <w:bookmarkStart w:id="36" w:name="_bookmark22"/>
      <w:bookmarkEnd w:id="36"/>
      <w:r w:rsidRPr="0032048B">
        <w:rPr>
          <w:rFonts w:ascii="Calibri"/>
          <w:spacing w:val="-10"/>
          <w:sz w:val="18"/>
          <w:vertAlign w:val="superscript"/>
          <w:lang w:val="sq-AL"/>
        </w:rPr>
        <w:t>9</w:t>
      </w:r>
      <w:r w:rsidRPr="0032048B">
        <w:rPr>
          <w:rFonts w:ascii="Calibri"/>
          <w:sz w:val="18"/>
          <w:lang w:val="sq-AL"/>
        </w:rPr>
        <w:tab/>
      </w:r>
      <w:r w:rsidRPr="0032048B">
        <w:rPr>
          <w:rFonts w:ascii="Calibri"/>
          <w:spacing w:val="-2"/>
          <w:sz w:val="18"/>
          <w:lang w:val="sq-AL"/>
        </w:rPr>
        <w:t>Rritja mesatare vjetore u p</w:t>
      </w:r>
      <w:r w:rsidRPr="0032048B">
        <w:rPr>
          <w:rFonts w:ascii="Calibri"/>
          <w:spacing w:val="-2"/>
          <w:sz w:val="18"/>
          <w:lang w:val="sq-AL"/>
        </w:rPr>
        <w:t>ë</w:t>
      </w:r>
      <w:r w:rsidRPr="0032048B">
        <w:rPr>
          <w:rFonts w:ascii="Calibri"/>
          <w:spacing w:val="-2"/>
          <w:sz w:val="18"/>
          <w:lang w:val="sq-AL"/>
        </w:rPr>
        <w:t>rshtat p</w:t>
      </w:r>
      <w:r w:rsidRPr="0032048B">
        <w:rPr>
          <w:rFonts w:ascii="Calibri"/>
          <w:spacing w:val="-2"/>
          <w:sz w:val="18"/>
          <w:lang w:val="sq-AL"/>
        </w:rPr>
        <w:t>ë</w:t>
      </w:r>
      <w:r w:rsidRPr="0032048B">
        <w:rPr>
          <w:rFonts w:ascii="Calibri"/>
          <w:spacing w:val="-2"/>
          <w:sz w:val="18"/>
          <w:lang w:val="sq-AL"/>
        </w:rPr>
        <w:t xml:space="preserve">r </w:t>
      </w:r>
      <w:proofErr w:type="spellStart"/>
      <w:r w:rsidRPr="0032048B">
        <w:rPr>
          <w:rFonts w:ascii="Calibri"/>
          <w:spacing w:val="-2"/>
          <w:sz w:val="18"/>
          <w:lang w:val="sq-AL"/>
        </w:rPr>
        <w:t>huat</w:t>
      </w:r>
      <w:r w:rsidRPr="0032048B">
        <w:rPr>
          <w:rFonts w:ascii="Calibri"/>
          <w:spacing w:val="-2"/>
          <w:sz w:val="18"/>
          <w:lang w:val="sq-AL"/>
        </w:rPr>
        <w:t>ë</w:t>
      </w:r>
      <w:proofErr w:type="spellEnd"/>
      <w:r w:rsidRPr="0032048B">
        <w:rPr>
          <w:rFonts w:ascii="Calibri"/>
          <w:spacing w:val="-2"/>
          <w:sz w:val="18"/>
          <w:lang w:val="sq-AL"/>
        </w:rPr>
        <w:t xml:space="preserve"> e shlyera dhe ndikimin e norm</w:t>
      </w:r>
      <w:r w:rsidRPr="0032048B">
        <w:rPr>
          <w:rFonts w:ascii="Calibri"/>
          <w:spacing w:val="-2"/>
          <w:sz w:val="18"/>
          <w:lang w:val="sq-AL"/>
        </w:rPr>
        <w:t>ë</w:t>
      </w:r>
      <w:r w:rsidRPr="0032048B">
        <w:rPr>
          <w:rFonts w:ascii="Calibri"/>
          <w:spacing w:val="-2"/>
          <w:sz w:val="18"/>
          <w:lang w:val="sq-AL"/>
        </w:rPr>
        <w:t>s s</w:t>
      </w:r>
      <w:r w:rsidRPr="0032048B">
        <w:rPr>
          <w:rFonts w:ascii="Calibri"/>
          <w:spacing w:val="-2"/>
          <w:sz w:val="18"/>
          <w:lang w:val="sq-AL"/>
        </w:rPr>
        <w:t>ë</w:t>
      </w:r>
      <w:r w:rsidRPr="0032048B">
        <w:rPr>
          <w:rFonts w:ascii="Calibri"/>
          <w:spacing w:val="-2"/>
          <w:sz w:val="18"/>
          <w:lang w:val="sq-AL"/>
        </w:rPr>
        <w:t xml:space="preserve"> k</w:t>
      </w:r>
      <w:r w:rsidRPr="0032048B">
        <w:rPr>
          <w:rFonts w:ascii="Calibri"/>
          <w:spacing w:val="-2"/>
          <w:sz w:val="18"/>
          <w:lang w:val="sq-AL"/>
        </w:rPr>
        <w:t>ë</w:t>
      </w:r>
      <w:r w:rsidRPr="0032048B">
        <w:rPr>
          <w:rFonts w:ascii="Calibri"/>
          <w:spacing w:val="-2"/>
          <w:sz w:val="18"/>
          <w:lang w:val="sq-AL"/>
        </w:rPr>
        <w:t>mbimit.</w:t>
      </w:r>
    </w:p>
    <w:p w14:paraId="7BD5FF0F" w14:textId="77777777" w:rsidR="00E6279B" w:rsidRPr="0032048B" w:rsidRDefault="00E6279B" w:rsidP="00E6279B">
      <w:pPr>
        <w:spacing w:before="62"/>
        <w:ind w:left="979" w:right="976"/>
        <w:jc w:val="both"/>
        <w:rPr>
          <w:sz w:val="24"/>
          <w:szCs w:val="24"/>
          <w:highlight w:val="yellow"/>
          <w:lang w:val="sq-AL"/>
        </w:rPr>
      </w:pPr>
      <w:r w:rsidRPr="0032048B">
        <w:rPr>
          <w:sz w:val="24"/>
          <w:szCs w:val="24"/>
          <w:lang w:val="sq-AL"/>
        </w:rPr>
        <w:t xml:space="preserve">në të gjithë vendin. Pagesat me kartë u shtuan me 18%. Financimi bankar është endje instrumenti dominues i financimit të jashtëm të biznesit. Në prill të vitit 2023, qeveria promovoi pjesëmarrjen aktive në tregut e kapitalit, përfshi këtu sipërmarrjet shtetërore, bashkitë dhe investitorët e huaj. Kjo politikë ka për qëllim të promovojë vendosjen e obligacioneve në kuadër të rritjes së kërkesës, p.sh. nga fondet e pensionit privat, dhe të thellojë tregun dytësor për obligacionet qeveritare. Gjithashtu, institucionet e sektorit bankar dhe financiar shqiptar kanë filluar të zbatojnë Strategjinë Kombëtare për Edukimin Financiar 2022-2027, e cila ka për synim të adresojë nivelin relativisht të ulët të njohurive financiare në popullsinë shqiptare. </w:t>
      </w:r>
    </w:p>
    <w:p w14:paraId="5BA6DE3B" w14:textId="77777777" w:rsidR="00E6279B" w:rsidRPr="0032048B" w:rsidRDefault="00E6279B" w:rsidP="00E6279B">
      <w:pPr>
        <w:spacing w:before="120"/>
        <w:ind w:left="980"/>
        <w:jc w:val="both"/>
        <w:rPr>
          <w:sz w:val="24"/>
          <w:szCs w:val="24"/>
          <w:lang w:val="sq-AL"/>
        </w:rPr>
      </w:pPr>
      <w:r w:rsidRPr="0032048B">
        <w:rPr>
          <w:spacing w:val="-2"/>
          <w:sz w:val="24"/>
          <w:szCs w:val="24"/>
          <w:u w:val="single"/>
          <w:lang w:val="sq-AL"/>
        </w:rPr>
        <w:t>Funksionimi i tregut të punës</w:t>
      </w:r>
    </w:p>
    <w:p w14:paraId="2BA859F9" w14:textId="77777777" w:rsidR="00E6279B" w:rsidRPr="0032048B" w:rsidRDefault="00E6279B" w:rsidP="00E6279B">
      <w:pPr>
        <w:ind w:left="979" w:right="977"/>
        <w:jc w:val="both"/>
        <w:rPr>
          <w:sz w:val="24"/>
          <w:szCs w:val="24"/>
          <w:lang w:val="sq-AL"/>
        </w:rPr>
      </w:pPr>
      <w:r w:rsidRPr="0032048B">
        <w:rPr>
          <w:sz w:val="24"/>
          <w:szCs w:val="24"/>
          <w:lang w:val="sq-AL"/>
        </w:rPr>
        <w:drawing>
          <wp:anchor distT="0" distB="0" distL="0" distR="0" simplePos="0" relativeHeight="251663360" behindDoc="0" locked="0" layoutInCell="1" allowOverlap="1" wp14:anchorId="1C36FD8B" wp14:editId="04A986C8">
            <wp:simplePos x="0" y="0"/>
            <wp:positionH relativeFrom="page">
              <wp:posOffset>3625215</wp:posOffset>
            </wp:positionH>
            <wp:positionV relativeFrom="paragraph">
              <wp:posOffset>485654</wp:posOffset>
            </wp:positionV>
            <wp:extent cx="2994175" cy="1741804"/>
            <wp:effectExtent l="0" t="0" r="0" b="0"/>
            <wp:wrapNone/>
            <wp:docPr id="186" name="Image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 name="Image 186"/>
                    <pic:cNvPicPr/>
                  </pic:nvPicPr>
                  <pic:blipFill>
                    <a:blip r:embed="rId15" cstate="print"/>
                    <a:stretch>
                      <a:fillRect/>
                    </a:stretch>
                  </pic:blipFill>
                  <pic:spPr>
                    <a:xfrm>
                      <a:off x="0" y="0"/>
                      <a:ext cx="2994175" cy="1741804"/>
                    </a:xfrm>
                    <a:prstGeom prst="rect">
                      <a:avLst/>
                    </a:prstGeom>
                  </pic:spPr>
                </pic:pic>
              </a:graphicData>
            </a:graphic>
          </wp:anchor>
        </w:drawing>
      </w:r>
      <w:r w:rsidRPr="0032048B">
        <w:rPr>
          <w:b/>
          <w:sz w:val="24"/>
          <w:szCs w:val="24"/>
          <w:lang w:val="sq-AL"/>
        </w:rPr>
        <w:t xml:space="preserve">Tregu i punës vazhdon të ketë përmirësim. </w:t>
      </w:r>
      <w:r w:rsidRPr="0032048B">
        <w:rPr>
          <w:bCs/>
          <w:sz w:val="24"/>
          <w:szCs w:val="24"/>
          <w:lang w:val="sq-AL"/>
        </w:rPr>
        <w:t xml:space="preserve">Rritja </w:t>
      </w:r>
      <w:r w:rsidRPr="0032048B">
        <w:rPr>
          <w:sz w:val="24"/>
          <w:szCs w:val="24"/>
          <w:lang w:val="sq-AL"/>
        </w:rPr>
        <w:t>e qëndrueshme e nivelit të punësimit, me një vlerë mesatare prej 3,7% në vit në periudhën 2015-2019, ndihmoi në uljen e normës së papunësisë (në grup</w:t>
      </w:r>
    </w:p>
    <w:p w14:paraId="74906571" w14:textId="77777777" w:rsidR="00E6279B" w:rsidRPr="0032048B" w:rsidRDefault="00E6279B" w:rsidP="00E6279B">
      <w:pPr>
        <w:ind w:left="979" w:right="977"/>
        <w:jc w:val="both"/>
        <w:rPr>
          <w:spacing w:val="80"/>
          <w:sz w:val="24"/>
          <w:szCs w:val="24"/>
          <w:lang w:val="sq-AL"/>
        </w:rPr>
      </w:pPr>
      <w:r w:rsidRPr="0032048B">
        <w:rPr>
          <w:bCs/>
          <w:sz w:val="24"/>
          <w:szCs w:val="24"/>
          <w:lang w:val="sq-AL"/>
        </w:rPr>
        <w:t xml:space="preserve">moshën 15-64 vjeç) nga </w:t>
      </w:r>
      <w:r w:rsidRPr="0032048B">
        <w:rPr>
          <w:sz w:val="24"/>
          <w:szCs w:val="24"/>
          <w:lang w:val="sq-AL"/>
        </w:rPr>
        <w:t>17,5% në 12%.</w:t>
      </w:r>
      <w:r w:rsidRPr="0032048B">
        <w:rPr>
          <w:spacing w:val="80"/>
          <w:sz w:val="24"/>
          <w:szCs w:val="24"/>
          <w:lang w:val="sq-AL"/>
        </w:rPr>
        <w:t xml:space="preserve"> </w:t>
      </w:r>
    </w:p>
    <w:p w14:paraId="6290A4E6" w14:textId="77777777" w:rsidR="00E6279B" w:rsidRPr="0032048B" w:rsidRDefault="00E6279B" w:rsidP="00E6279B">
      <w:pPr>
        <w:ind w:left="979" w:right="977"/>
        <w:jc w:val="both"/>
        <w:rPr>
          <w:sz w:val="24"/>
          <w:szCs w:val="24"/>
          <w:lang w:val="sq-AL"/>
        </w:rPr>
      </w:pPr>
      <w:r w:rsidRPr="0032048B">
        <w:rPr>
          <w:sz w:val="24"/>
          <w:szCs w:val="24"/>
          <w:lang w:val="sq-AL"/>
        </w:rPr>
        <w:t xml:space="preserve">Tregu i punës rikuperoi shumicën </w:t>
      </w:r>
    </w:p>
    <w:p w14:paraId="6212E757" w14:textId="77777777" w:rsidR="00E6279B" w:rsidRPr="0032048B" w:rsidRDefault="00E6279B" w:rsidP="00E6279B">
      <w:pPr>
        <w:ind w:left="979" w:right="977"/>
        <w:jc w:val="both"/>
        <w:rPr>
          <w:sz w:val="24"/>
          <w:szCs w:val="24"/>
          <w:lang w:val="sq-AL"/>
        </w:rPr>
      </w:pPr>
      <w:r w:rsidRPr="0032048B">
        <w:rPr>
          <w:sz w:val="24"/>
          <w:szCs w:val="24"/>
          <w:lang w:val="sq-AL"/>
        </w:rPr>
        <w:t>e humbjeve gjatë pandemisë në vitin 2021</w:t>
      </w:r>
    </w:p>
    <w:p w14:paraId="0A41E201" w14:textId="77777777" w:rsidR="00E6279B" w:rsidRPr="0032048B" w:rsidRDefault="00E6279B" w:rsidP="00E6279B">
      <w:pPr>
        <w:ind w:left="979" w:right="977"/>
        <w:jc w:val="both"/>
        <w:rPr>
          <w:sz w:val="24"/>
          <w:szCs w:val="24"/>
          <w:lang w:val="sq-AL"/>
        </w:rPr>
      </w:pPr>
      <w:r w:rsidRPr="0032048B">
        <w:rPr>
          <w:sz w:val="24"/>
          <w:szCs w:val="24"/>
          <w:lang w:val="sq-AL"/>
        </w:rPr>
        <w:t xml:space="preserve">dhe u forcua konsiderueshëm në vitin </w:t>
      </w:r>
    </w:p>
    <w:p w14:paraId="1C87FB56" w14:textId="77777777" w:rsidR="00E6279B" w:rsidRPr="0032048B" w:rsidRDefault="00E6279B" w:rsidP="00E6279B">
      <w:pPr>
        <w:ind w:left="979" w:right="977"/>
        <w:jc w:val="both"/>
        <w:rPr>
          <w:sz w:val="24"/>
          <w:szCs w:val="24"/>
          <w:lang w:val="sq-AL"/>
        </w:rPr>
      </w:pPr>
      <w:r w:rsidRPr="0032048B">
        <w:rPr>
          <w:sz w:val="24"/>
          <w:szCs w:val="24"/>
          <w:lang w:val="sq-AL"/>
        </w:rPr>
        <w:t>2022, kur norma e punësimit arriti vlerën</w:t>
      </w:r>
    </w:p>
    <w:p w14:paraId="27C1C3D9" w14:textId="77777777" w:rsidR="00E6279B" w:rsidRPr="0032048B" w:rsidRDefault="00E6279B" w:rsidP="00E6279B">
      <w:pPr>
        <w:ind w:left="979" w:right="977"/>
        <w:jc w:val="both"/>
        <w:rPr>
          <w:sz w:val="24"/>
          <w:szCs w:val="24"/>
          <w:lang w:val="sq-AL"/>
        </w:rPr>
      </w:pPr>
      <w:r w:rsidRPr="0032048B">
        <w:rPr>
          <w:sz w:val="24"/>
          <w:szCs w:val="24"/>
          <w:lang w:val="sq-AL"/>
        </w:rPr>
        <w:t xml:space="preserve">Mesatare 5%. Norma e papunësisë ra në </w:t>
      </w:r>
    </w:p>
    <w:p w14:paraId="4F8318C0" w14:textId="77777777" w:rsidR="00E6279B" w:rsidRPr="0032048B" w:rsidRDefault="00E6279B" w:rsidP="00E6279B">
      <w:pPr>
        <w:ind w:left="979" w:right="5914"/>
        <w:jc w:val="both"/>
        <w:rPr>
          <w:sz w:val="24"/>
          <w:szCs w:val="24"/>
          <w:lang w:val="sq-AL"/>
        </w:rPr>
      </w:pPr>
      <w:r w:rsidRPr="0032048B">
        <w:rPr>
          <w:sz w:val="24"/>
          <w:szCs w:val="24"/>
          <w:lang w:val="sq-AL"/>
        </w:rPr>
        <w:t xml:space="preserve">11% në tre-mujorin e fundit të vitit 2022 dhe niveli i popullsisë jo aktive u ul me 14,3%. Norma e pjesëmarrjes së forcës punëtore arriti në 74,8% në fund të vitit 2022 dhe në 75,8% në mesin e vitit </w:t>
      </w:r>
    </w:p>
    <w:p w14:paraId="73594B13" w14:textId="6EFC59A0" w:rsidR="00E6279B" w:rsidRPr="0032048B" w:rsidRDefault="00E6279B" w:rsidP="00E6279B">
      <w:pPr>
        <w:ind w:left="980" w:right="976"/>
        <w:jc w:val="both"/>
        <w:rPr>
          <w:sz w:val="24"/>
          <w:szCs w:val="24"/>
          <w:highlight w:val="yellow"/>
          <w:lang w:val="sq-AL"/>
        </w:rPr>
      </w:pPr>
      <w:r w:rsidRPr="0032048B">
        <w:rPr>
          <w:sz w:val="24"/>
          <w:szCs w:val="24"/>
          <w:lang w:val="sq-AL"/>
        </w:rPr>
        <w:lastRenderedPageBreak/>
        <w:t>2023, duke iu afruar kështu vlerës mesatare të BE-së, siç ndodhi edhe me zvogëlimin e hendekut mes pjesëmarrjes së forcës punëtore mes meshkujve dhe femrave, e cila u ul me</w:t>
      </w:r>
      <w:r w:rsidR="004D53EC">
        <w:rPr>
          <w:sz w:val="24"/>
          <w:szCs w:val="24"/>
          <w:lang w:val="sq-AL"/>
        </w:rPr>
        <w:t xml:space="preserve"> </w:t>
      </w:r>
      <w:r w:rsidRPr="0032048B">
        <w:rPr>
          <w:sz w:val="24"/>
          <w:szCs w:val="24"/>
          <w:lang w:val="sq-AL"/>
        </w:rPr>
        <w:t xml:space="preserve">3 pikë përqindje në 11,5 pikë përqindje (në mesin e vitit 2023). Megjithatë, rritja e fundit e nivelit të punësimit nuk përputhet me një rritje ekuivalente në kontributet e sigurimeve shoqërore, gjë që tregon një rritje të punësimit joformal. Norma e papunësisë mes moshës 15-29 vjeçare ka qëndruar vazhdimisht mbi vlerën 20%, duke fshehur kështu nga një anë rritjen në normën e pjesëmarrjes së tyre me 3 pikë përqindje, dhe nga ana tjetër rritjen e numrit të papunësisë tek njerëzit e moshës 25-29 vjeçare. Edhe pse rritja e nivelit të punësimit vazhdoi në gjysmën e parë vitit 2023 me një vlerë mesatare prej 3,5%, ajo nuk e uli normën e përgjithshme të papunësisë, kryesisht për shkak të një numri në rritje të </w:t>
      </w:r>
      <w:proofErr w:type="spellStart"/>
      <w:r w:rsidRPr="0032048B">
        <w:rPr>
          <w:sz w:val="24"/>
          <w:szCs w:val="24"/>
          <w:lang w:val="sq-AL"/>
        </w:rPr>
        <w:t>të</w:t>
      </w:r>
      <w:proofErr w:type="spellEnd"/>
      <w:r w:rsidRPr="0032048B">
        <w:rPr>
          <w:sz w:val="24"/>
          <w:szCs w:val="24"/>
          <w:lang w:val="sq-AL"/>
        </w:rPr>
        <w:t xml:space="preserve"> rinjve të papunësuar (15-29 vjeç). Pavarësisht se situata e tregut të punës u përmirësua, emigracioni u rrit me 10,5% krahasuar me vitin 2021, gjë që çoi në uljen e popullsisë me 1,1% në vitin 2022. Kjo gjithashtu kontribuon në plakjen e popullsisë dhe minon sistemin e pensionit, tek i cili Shqipëria ka tashmë një nivel të ulët </w:t>
      </w:r>
      <w:proofErr w:type="spellStart"/>
      <w:r w:rsidRPr="0032048B">
        <w:rPr>
          <w:sz w:val="24"/>
          <w:szCs w:val="24"/>
          <w:lang w:val="sq-AL"/>
        </w:rPr>
        <w:t>kontributorësh</w:t>
      </w:r>
      <w:proofErr w:type="spellEnd"/>
      <w:r w:rsidRPr="0032048B">
        <w:rPr>
          <w:sz w:val="24"/>
          <w:szCs w:val="24"/>
          <w:lang w:val="sq-AL"/>
        </w:rPr>
        <w:t xml:space="preserve"> për përfituesit. </w:t>
      </w:r>
    </w:p>
    <w:p w14:paraId="43A20320" w14:textId="77777777" w:rsidR="00E6279B" w:rsidRPr="0032048B" w:rsidRDefault="00E6279B" w:rsidP="00E6279B">
      <w:pPr>
        <w:spacing w:before="119"/>
        <w:ind w:left="980" w:right="976"/>
        <w:jc w:val="both"/>
        <w:rPr>
          <w:sz w:val="24"/>
          <w:szCs w:val="24"/>
          <w:lang w:val="sq-AL"/>
        </w:rPr>
      </w:pPr>
      <w:r w:rsidRPr="0032048B">
        <w:rPr>
          <w:b/>
          <w:sz w:val="24"/>
          <w:szCs w:val="24"/>
          <w:lang w:val="sq-AL"/>
        </w:rPr>
        <w:t xml:space="preserve">Rritja reale e pagave të sektorit privat nuk u përputh me rritjen e pagave të sektorit publik, gjë që nxiti plane për një reformë gjithëpërfshirëse në rritjen e pagave të sektorit publik. </w:t>
      </w:r>
      <w:r w:rsidRPr="0032048B">
        <w:rPr>
          <w:bCs/>
          <w:sz w:val="24"/>
          <w:szCs w:val="24"/>
          <w:lang w:val="sq-AL"/>
        </w:rPr>
        <w:t xml:space="preserve">Në vitin 2021, rritja e pagave të sektorit publik dhe privat ishte e balancuar (të dyja 6,6%), por në vitin 2022, pagat nominale të sektorit privat u rritën me </w:t>
      </w:r>
      <w:r w:rsidRPr="0032048B">
        <w:rPr>
          <w:sz w:val="24"/>
          <w:szCs w:val="24"/>
          <w:lang w:val="sq-AL"/>
        </w:rPr>
        <w:t xml:space="preserve">12,3% (5,5% në terma reale) mesatarisht, ndërkohë që pagat e sektorit publik u rritën vetëm me 2,3% në terma nominalë, gjë që solli një rënie në pagën reale. Në prill të vitit 2023, qeveria ndërmori një rishikim të pagave të sektorit publik, i cili kishte për qëllim të përditësonte nivelin e pagave dhe të përafronte pagat publike me ato të nivelit rajonal. Një kuadër rregullator i rishikuar u prezantua për të konsoliduar parimet dhe mandatet për përcaktimin e planin e pagave publike për rreth 130 000 punonjës të sektorit publik. Objektivi është rritja e pagës mesatare mujore publike në disa faza në nivelin ekuivalent rreth afro 900 euro deri në vitin 2025 dhe mbajtja dhe tërheqja e stafit në pozicione të rëndësishme për publikun, përfshi këtu punonjësit e sistemit të shëndetësisë, mësuesit dhe policët. Në fazën e parë pagat e sektorit publik u rritën në tre-mujorin e dytë të vitit 2023 me 20,5% vit pas viti, duke e çuar rritjet e përgjithshme të pagës mesatare në 14,9% në gjysmën e parë të vitit 2023, krahasuar me të njëjtën periudhë në vitin 2022. Kostoja totale e vlerësuar prej 39 miliardë lek nënkupton një rritje me 50% në faturën aktuale të pagave të sektorit publik dhe mundësisht një devijim nga trajektorja fiskale e planifikuar, përveç efekteve të mundshme shtesë në pagat e sektorit privat. Në janar të vitit 2023, paga minimale në Shqipëri ishte ndër më të ulëtat si në terma nominalë ashtu dhe standardin e fuqisë blerëse mes vendeve në rajon që kanë të dhëna të </w:t>
      </w:r>
      <w:proofErr w:type="spellStart"/>
      <w:r w:rsidRPr="0032048B">
        <w:rPr>
          <w:sz w:val="24"/>
          <w:szCs w:val="24"/>
          <w:lang w:val="sq-AL"/>
        </w:rPr>
        <w:t>disponueshme</w:t>
      </w:r>
      <w:proofErr w:type="spellEnd"/>
      <w:r w:rsidRPr="0032048B">
        <w:rPr>
          <w:sz w:val="24"/>
          <w:szCs w:val="24"/>
          <w:lang w:val="sq-AL"/>
        </w:rPr>
        <w:t xml:space="preserve">. Në prill të vitit 2023, qeveria e ngriti pagën minimale me 25% vit pas viti në 40 000 lek dhe ka deklaruar një rritje të mëtejshme në 45 000 lek (rreth 400 euro). Që në fillim të vitit 2022, paga minimale tejkaloi 50%-shin e pagës minimale mesatare dhe </w:t>
      </w:r>
      <w:proofErr w:type="spellStart"/>
      <w:r w:rsidRPr="0032048B">
        <w:rPr>
          <w:sz w:val="24"/>
          <w:szCs w:val="24"/>
          <w:lang w:val="sq-AL"/>
        </w:rPr>
        <w:t>gjeneroi</w:t>
      </w:r>
      <w:proofErr w:type="spellEnd"/>
      <w:r w:rsidRPr="0032048B">
        <w:rPr>
          <w:sz w:val="24"/>
          <w:szCs w:val="24"/>
          <w:lang w:val="sq-AL"/>
        </w:rPr>
        <w:t xml:space="preserve"> rritje të madhe të pagës në sektorët me të ardhura të ulëta si bujqësia.</w:t>
      </w:r>
    </w:p>
    <w:p w14:paraId="395EB9C4" w14:textId="77777777" w:rsidR="00E6279B" w:rsidRPr="0032048B" w:rsidRDefault="00E6279B" w:rsidP="004D53EC">
      <w:pPr>
        <w:spacing w:before="119"/>
        <w:ind w:right="976"/>
        <w:jc w:val="both"/>
        <w:rPr>
          <w:sz w:val="24"/>
          <w:szCs w:val="24"/>
          <w:lang w:val="sq-AL"/>
        </w:rPr>
      </w:pPr>
    </w:p>
    <w:p w14:paraId="02097790" w14:textId="77777777" w:rsidR="00E6279B" w:rsidRPr="0032048B" w:rsidRDefault="00E6279B" w:rsidP="00E6279B">
      <w:pPr>
        <w:numPr>
          <w:ilvl w:val="2"/>
          <w:numId w:val="2"/>
        </w:numPr>
        <w:tabs>
          <w:tab w:val="left" w:pos="1685"/>
        </w:tabs>
        <w:spacing w:before="120"/>
        <w:ind w:left="1040" w:right="977" w:firstLine="0"/>
        <w:jc w:val="both"/>
        <w:outlineLvl w:val="0"/>
        <w:rPr>
          <w:b/>
          <w:bCs/>
          <w:sz w:val="24"/>
          <w:szCs w:val="24"/>
          <w:lang w:val="sq-AL"/>
        </w:rPr>
      </w:pPr>
      <w:bookmarkStart w:id="37" w:name="2.3.2._The_capacity_to_cope_with_competi"/>
      <w:bookmarkStart w:id="38" w:name="_bookmark23"/>
      <w:bookmarkEnd w:id="37"/>
      <w:bookmarkEnd w:id="38"/>
      <w:r w:rsidRPr="0032048B">
        <w:rPr>
          <w:b/>
          <w:bCs/>
          <w:spacing w:val="-2"/>
          <w:sz w:val="24"/>
          <w:szCs w:val="24"/>
          <w:lang w:val="sq-AL"/>
        </w:rPr>
        <w:t>Kapaciteti për të përballuar presionin e konkurrencës dhe forcat e tregut të Bashkimit</w:t>
      </w:r>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21"/>
      </w:tblGrid>
      <w:tr w:rsidR="00E6279B" w:rsidRPr="0032048B" w14:paraId="6C6D494D" w14:textId="77777777" w:rsidTr="00456F1B">
        <w:trPr>
          <w:trHeight w:val="5955"/>
        </w:trPr>
        <w:tc>
          <w:tcPr>
            <w:tcW w:w="9221" w:type="dxa"/>
            <w:shd w:val="clear" w:color="auto" w:fill="D9D9D9"/>
          </w:tcPr>
          <w:p w14:paraId="6B9D9AA0" w14:textId="77777777" w:rsidR="00E6279B" w:rsidRPr="0032048B" w:rsidRDefault="00E6279B" w:rsidP="00E6279B">
            <w:pPr>
              <w:spacing w:before="60"/>
              <w:ind w:left="107" w:right="95"/>
              <w:jc w:val="both"/>
              <w:rPr>
                <w:sz w:val="24"/>
                <w:szCs w:val="24"/>
                <w:lang w:val="sq-AL" w:bidi="sq-AL"/>
              </w:rPr>
            </w:pPr>
            <w:r w:rsidRPr="0032048B">
              <w:rPr>
                <w:sz w:val="24"/>
                <w:lang w:val="sq-AL"/>
              </w:rPr>
              <w:lastRenderedPageBreak/>
              <w:t xml:space="preserve">Shqipëria ka </w:t>
            </w:r>
            <w:r w:rsidRPr="0032048B">
              <w:rPr>
                <w:b/>
                <w:bCs/>
                <w:sz w:val="24"/>
                <w:lang w:val="sq-AL"/>
              </w:rPr>
              <w:t>përgatitje të mjaftueshme</w:t>
            </w:r>
            <w:r w:rsidRPr="0032048B">
              <w:rPr>
                <w:sz w:val="24"/>
                <w:lang w:val="sq-AL"/>
              </w:rPr>
              <w:t xml:space="preserve"> për tu përballur me presionin e konkurrencës dhe forcat e tregut brenda BE-së, dhe ajo ka bërë </w:t>
            </w:r>
            <w:r w:rsidRPr="0032048B">
              <w:rPr>
                <w:b/>
                <w:bCs/>
                <w:sz w:val="24"/>
                <w:lang w:val="sq-AL"/>
              </w:rPr>
              <w:t xml:space="preserve">progres të mirë </w:t>
            </w:r>
            <w:r w:rsidRPr="0032048B">
              <w:rPr>
                <w:sz w:val="24"/>
                <w:lang w:val="sq-AL"/>
              </w:rPr>
              <w:t xml:space="preserve">në forcimin e konkurrencës. Reformat strukturore në tregun energjetik kanë bërë progres, dhe infrastruktura e transportit, digjitalizimi i ekonomisë dhe rezultatet arsimore kanë vazhduar të përmirësohen, por vazhdon ende të ketë hendekë të konsiderueshëm me nivelet rajonale dhe Evropiane. </w:t>
            </w:r>
            <w:proofErr w:type="spellStart"/>
            <w:r w:rsidRPr="0032048B">
              <w:rPr>
                <w:sz w:val="24"/>
                <w:szCs w:val="24"/>
                <w:lang w:val="sq-AL" w:bidi="sq-AL"/>
              </w:rPr>
              <w:t>Konkurrueshmëria</w:t>
            </w:r>
            <w:proofErr w:type="spellEnd"/>
            <w:r w:rsidRPr="0032048B">
              <w:rPr>
                <w:sz w:val="24"/>
                <w:szCs w:val="24"/>
                <w:lang w:val="sq-AL" w:bidi="sq-AL"/>
              </w:rPr>
              <w:t xml:space="preserve"> e Shqipërisë është e penguar nga mungesa e dijeve në sipërmarrje dhe atyre teknologjike, nevojat e </w:t>
            </w:r>
            <w:proofErr w:type="spellStart"/>
            <w:r w:rsidRPr="0032048B">
              <w:rPr>
                <w:sz w:val="24"/>
                <w:szCs w:val="24"/>
                <w:lang w:val="sq-AL" w:bidi="sq-AL"/>
              </w:rPr>
              <w:t>papërmbushura</w:t>
            </w:r>
            <w:proofErr w:type="spellEnd"/>
            <w:r w:rsidRPr="0032048B">
              <w:rPr>
                <w:sz w:val="24"/>
                <w:szCs w:val="24"/>
                <w:lang w:val="sq-AL" w:bidi="sq-AL"/>
              </w:rPr>
              <w:t xml:space="preserve"> për investime në kapital njerëzor dhe fizik, shpenzimet vazhdimisht të ulëta për kërkim dhe zhvillim, dhe gjithnjë e më shumë nga mungesa e fuqisë punëtore të kualifikuar. Hapja tregtare u shtua falë rritjes së eksportit të shërbimeve (turizmi), por mbetet e ulët në përgjithësi, duke qenë se eksporti i mallrave mbetet u ulët lidhur me potencialin që ofron.</w:t>
            </w:r>
          </w:p>
          <w:p w14:paraId="1841DA92" w14:textId="77777777" w:rsidR="00E6279B" w:rsidRPr="0032048B" w:rsidRDefault="00E6279B" w:rsidP="00E6279B">
            <w:pPr>
              <w:spacing w:before="120"/>
              <w:ind w:left="107" w:right="95"/>
              <w:jc w:val="both"/>
              <w:rPr>
                <w:sz w:val="24"/>
                <w:lang w:val="sq-AL"/>
              </w:rPr>
            </w:pPr>
            <w:r w:rsidRPr="0032048B">
              <w:rPr>
                <w:sz w:val="24"/>
                <w:lang w:val="sq-AL"/>
              </w:rPr>
              <w:t xml:space="preserve">Duke qenë se disa nga rekomandimet e Komisionit për vitin 2022 nuk janë zbatuar plotësisht, rekomandimet e vitit të kaluar mbeten pjesërisht të vlefshme, ndaj në vitin e ardhshëm Shqipëria duhet në veçanti të: </w:t>
            </w:r>
          </w:p>
          <w:p w14:paraId="316AE2FD" w14:textId="77777777" w:rsidR="00E6279B" w:rsidRPr="0032048B" w:rsidRDefault="00E6279B" w:rsidP="00E6279B">
            <w:pPr>
              <w:spacing w:before="120"/>
              <w:ind w:left="467" w:right="95" w:hanging="360"/>
              <w:jc w:val="both"/>
              <w:rPr>
                <w:sz w:val="24"/>
                <w:lang w:val="sq-AL"/>
              </w:rPr>
            </w:pPr>
            <w:r w:rsidRPr="0032048B">
              <w:rPr>
                <w:rFonts w:ascii="Symbol" w:hAnsi="Symbol"/>
                <w:sz w:val="24"/>
                <w:lang w:val="sq-AL"/>
              </w:rPr>
              <w:t></w:t>
            </w:r>
            <w:r w:rsidRPr="0032048B">
              <w:rPr>
                <w:sz w:val="24"/>
                <w:lang w:val="sq-AL"/>
              </w:rPr>
              <w:t xml:space="preserve"> përmirësojë rëndësinë e tregut të punës dhe cilësinë e arsimit dhe trajnimit profesional në mënyrë që të rrisë regjistrimet, dhe të investojë në aftësitë digjitale të </w:t>
            </w:r>
            <w:proofErr w:type="spellStart"/>
            <w:r w:rsidRPr="0032048B">
              <w:rPr>
                <w:sz w:val="24"/>
                <w:lang w:val="sq-AL"/>
              </w:rPr>
              <w:t>të</w:t>
            </w:r>
            <w:proofErr w:type="spellEnd"/>
            <w:r w:rsidRPr="0032048B">
              <w:rPr>
                <w:sz w:val="24"/>
                <w:lang w:val="sq-AL"/>
              </w:rPr>
              <w:t xml:space="preserve"> rinjve dhe të rriturve; </w:t>
            </w:r>
          </w:p>
          <w:p w14:paraId="6C92D67B" w14:textId="77777777" w:rsidR="00E6279B" w:rsidRPr="0032048B" w:rsidRDefault="00E6279B" w:rsidP="00E6279B">
            <w:pPr>
              <w:spacing w:before="118"/>
              <w:ind w:left="467" w:right="96" w:hanging="360"/>
              <w:jc w:val="both"/>
              <w:rPr>
                <w:sz w:val="24"/>
                <w:lang w:val="sq-AL"/>
              </w:rPr>
            </w:pPr>
            <w:r w:rsidRPr="0032048B">
              <w:rPr>
                <w:rFonts w:ascii="Symbol" w:hAnsi="Symbol"/>
                <w:sz w:val="24"/>
                <w:lang w:val="sq-AL"/>
              </w:rPr>
              <w:t></w:t>
            </w:r>
            <w:r w:rsidRPr="0032048B">
              <w:rPr>
                <w:sz w:val="24"/>
                <w:lang w:val="sq-AL"/>
              </w:rPr>
              <w:t xml:space="preserve"> rrisë shpenzimet për arsimin, mbrojtjen sociale dhe shëndetin si përqindje të shpenzimeve totale dhe të nxjerrë udhëzime për mbledhjen e të dhënave mbi shpenzimet publike për kërkim dhe zhvillim; </w:t>
            </w:r>
          </w:p>
          <w:p w14:paraId="583B0CF7" w14:textId="77777777" w:rsidR="00E6279B" w:rsidRPr="0032048B" w:rsidRDefault="00E6279B" w:rsidP="00E6279B">
            <w:pPr>
              <w:spacing w:before="120"/>
              <w:ind w:left="467" w:right="95" w:hanging="360"/>
              <w:jc w:val="both"/>
              <w:rPr>
                <w:sz w:val="24"/>
                <w:highlight w:val="yellow"/>
                <w:lang w:val="sq-AL"/>
              </w:rPr>
            </w:pPr>
            <w:r w:rsidRPr="0032048B">
              <w:rPr>
                <w:rFonts w:ascii="Symbol" w:hAnsi="Symbol"/>
                <w:sz w:val="24"/>
                <w:lang w:val="sq-AL"/>
              </w:rPr>
              <w:t></w:t>
            </w:r>
            <w:r w:rsidRPr="0032048B">
              <w:rPr>
                <w:sz w:val="24"/>
                <w:lang w:val="sq-AL"/>
              </w:rPr>
              <w:t xml:space="preserve"> përshpejtojë </w:t>
            </w:r>
            <w:proofErr w:type="spellStart"/>
            <w:r w:rsidRPr="0032048B">
              <w:rPr>
                <w:sz w:val="24"/>
                <w:lang w:val="sq-AL"/>
              </w:rPr>
              <w:t>diversifikimin</w:t>
            </w:r>
            <w:proofErr w:type="spellEnd"/>
            <w:r w:rsidRPr="0032048B">
              <w:rPr>
                <w:sz w:val="24"/>
                <w:lang w:val="sq-AL"/>
              </w:rPr>
              <w:t xml:space="preserve"> e burimeve të energjisë së </w:t>
            </w:r>
            <w:proofErr w:type="spellStart"/>
            <w:r w:rsidRPr="0032048B">
              <w:rPr>
                <w:sz w:val="24"/>
                <w:lang w:val="sq-AL"/>
              </w:rPr>
              <w:t>rinovueshme</w:t>
            </w:r>
            <w:proofErr w:type="spellEnd"/>
            <w:r w:rsidRPr="0032048B">
              <w:rPr>
                <w:sz w:val="24"/>
                <w:lang w:val="sq-AL"/>
              </w:rPr>
              <w:t xml:space="preserve">, të zhvillojë shërbime mbështetëse për biznesin për kalimin e gjelbër të SME-ve, digjitalizimin dhe </w:t>
            </w:r>
            <w:r w:rsidRPr="0032048B">
              <w:rPr>
                <w:i/>
                <w:iCs/>
                <w:sz w:val="24"/>
                <w:lang w:val="sq-AL"/>
              </w:rPr>
              <w:t>e-</w:t>
            </w:r>
            <w:proofErr w:type="spellStart"/>
            <w:r w:rsidRPr="0032048B">
              <w:rPr>
                <w:i/>
                <w:iCs/>
                <w:sz w:val="24"/>
                <w:lang w:val="sq-AL"/>
              </w:rPr>
              <w:t>commerce</w:t>
            </w:r>
            <w:proofErr w:type="spellEnd"/>
            <w:r w:rsidRPr="0032048B">
              <w:rPr>
                <w:sz w:val="24"/>
                <w:lang w:val="sq-AL"/>
              </w:rPr>
              <w:t>, dhe të mbështesë bashkëpunimin mes biznesit dhe akademisë për inovacionin.</w:t>
            </w:r>
          </w:p>
        </w:tc>
      </w:tr>
    </w:tbl>
    <w:p w14:paraId="37A20C8E" w14:textId="77777777" w:rsidR="00E6279B" w:rsidRPr="0032048B" w:rsidRDefault="00E6279B" w:rsidP="00E6279B">
      <w:pPr>
        <w:spacing w:before="60"/>
        <w:ind w:left="980"/>
        <w:jc w:val="both"/>
        <w:rPr>
          <w:sz w:val="24"/>
          <w:szCs w:val="24"/>
          <w:lang w:val="sq-AL"/>
        </w:rPr>
      </w:pPr>
      <w:r w:rsidRPr="0032048B">
        <w:rPr>
          <w:spacing w:val="-2"/>
          <w:sz w:val="24"/>
          <w:szCs w:val="24"/>
          <w:u w:val="single"/>
          <w:lang w:val="sq-AL"/>
        </w:rPr>
        <w:t>Arsimi dhe inovacioni</w:t>
      </w:r>
    </w:p>
    <w:p w14:paraId="5EC8678B" w14:textId="77777777" w:rsidR="00E6279B" w:rsidRPr="0032048B" w:rsidRDefault="00E6279B" w:rsidP="00E6279B">
      <w:pPr>
        <w:spacing w:before="62"/>
        <w:ind w:left="980" w:right="976"/>
        <w:jc w:val="both"/>
        <w:rPr>
          <w:sz w:val="24"/>
          <w:szCs w:val="24"/>
          <w:lang w:val="sq-AL"/>
        </w:rPr>
      </w:pPr>
      <w:r w:rsidRPr="0032048B">
        <w:rPr>
          <w:b/>
          <w:sz w:val="24"/>
          <w:szCs w:val="24"/>
          <w:lang w:val="sq-AL"/>
        </w:rPr>
        <w:t xml:space="preserve">Reformat në arsim po bëjnë progres, por kalimin në tregun e punës për të rinjtë mbetet i vështirë. </w:t>
      </w:r>
      <w:r w:rsidRPr="0032048B">
        <w:rPr>
          <w:bCs/>
          <w:sz w:val="24"/>
          <w:szCs w:val="24"/>
          <w:lang w:val="sq-AL"/>
        </w:rPr>
        <w:t xml:space="preserve">Shqipëria ka regjistruar rezultate të përmirësuara në testet e fundit PISA (15-vjeçarë në vitin 2015 dhe 2018) dhe rezultate relativisht të mira në vlerësimin më të fundit ndërkombëtar të nxënësve të klasës së katërt mbi të kuptuarit matematikor dhe shkencor </w:t>
      </w:r>
      <w:r w:rsidRPr="0032048B">
        <w:rPr>
          <w:sz w:val="24"/>
          <w:szCs w:val="24"/>
          <w:lang w:val="sq-AL"/>
        </w:rPr>
        <w:t>(TIMSS 2019) dhe të kuptuarit në lexim (PIRLS 2021)</w:t>
      </w:r>
      <w:hyperlink w:anchor="_bookmark24" w:history="1">
        <w:r w:rsidRPr="0032048B">
          <w:rPr>
            <w:sz w:val="24"/>
            <w:szCs w:val="24"/>
            <w:vertAlign w:val="superscript"/>
            <w:lang w:val="sq-AL"/>
          </w:rPr>
          <w:t>10</w:t>
        </w:r>
      </w:hyperlink>
      <w:r w:rsidRPr="0032048B">
        <w:rPr>
          <w:sz w:val="24"/>
          <w:szCs w:val="24"/>
          <w:lang w:val="sq-AL"/>
        </w:rPr>
        <w:t>. Ky mund të jetë një tregues se reformat e fundit në sistemin arsimor po sjellin njëfarë efekti, pavarësisht shpenzimeve relativisht të ulëta në sistemin arsimor me një vlerë prej rreth 3% të PBB-së mesatarisht në periudhën 2017-2022. Megjithatë, hendeku në nivelin arsimor krahasuar me vlerën mesatare të BE-së mbetet i madh, dhe shpenzimet më të mëdha për arsimin janë të nevojshme për të përshpejtuar konvergjencën. Gjithashtu, sondazhet rajonale</w:t>
      </w:r>
      <w:hyperlink w:anchor="_bookmark25" w:history="1">
        <w:r w:rsidRPr="0032048B">
          <w:rPr>
            <w:sz w:val="24"/>
            <w:szCs w:val="24"/>
            <w:vertAlign w:val="superscript"/>
            <w:lang w:val="sq-AL"/>
          </w:rPr>
          <w:t>11</w:t>
        </w:r>
      </w:hyperlink>
      <w:r w:rsidRPr="0032048B">
        <w:rPr>
          <w:sz w:val="24"/>
          <w:szCs w:val="24"/>
          <w:lang w:val="sq-AL"/>
        </w:rPr>
        <w:t xml:space="preserve"> tregojnë se çereku i të rinjve që plotësojnë këto sondazhe mendojnë se aftësitë e mësuara në sistemin arsimor nuk përputhen me nevojat e punës së tyre, dhe 45% e kompanive të pyetura identifikojnë mungesën e aftësive tek </w:t>
      </w:r>
      <w:proofErr w:type="spellStart"/>
      <w:r w:rsidRPr="0032048B">
        <w:rPr>
          <w:sz w:val="24"/>
          <w:szCs w:val="24"/>
          <w:lang w:val="sq-AL"/>
        </w:rPr>
        <w:t>aplikantët</w:t>
      </w:r>
      <w:proofErr w:type="spellEnd"/>
      <w:r w:rsidRPr="0032048B">
        <w:rPr>
          <w:sz w:val="24"/>
          <w:szCs w:val="24"/>
          <w:lang w:val="sq-AL"/>
        </w:rPr>
        <w:t xml:space="preserve"> si arsye për mosplotësimin e vendeve vakante (2022). Pjesëmarrja në trajnime të arsimit profesional mbetet veçanërisht e ulët (17,7%</w:t>
      </w:r>
      <w:r w:rsidRPr="0032048B">
        <w:rPr>
          <w:spacing w:val="-3"/>
          <w:sz w:val="24"/>
          <w:szCs w:val="24"/>
          <w:lang w:val="sq-AL"/>
        </w:rPr>
        <w:t xml:space="preserve"> studentët e arsimit dytësor</w:t>
      </w:r>
      <w:r w:rsidRPr="0032048B">
        <w:rPr>
          <w:sz w:val="24"/>
          <w:szCs w:val="24"/>
          <w:lang w:val="sq-AL"/>
        </w:rPr>
        <w:t xml:space="preserve">, krahasuar me vlerën mesatare rajonale prej 58%) dhe numri i pjesëmarrjes u zvogëlua në vitin 2022. Ky fenomen kontribuon në normën vazhdimisht të lartë (26,1%) të </w:t>
      </w:r>
      <w:proofErr w:type="spellStart"/>
      <w:r w:rsidRPr="0032048B">
        <w:rPr>
          <w:sz w:val="24"/>
          <w:szCs w:val="24"/>
          <w:lang w:val="sq-AL"/>
        </w:rPr>
        <w:t>të</w:t>
      </w:r>
      <w:proofErr w:type="spellEnd"/>
      <w:r w:rsidRPr="0032048B">
        <w:rPr>
          <w:sz w:val="24"/>
          <w:szCs w:val="24"/>
          <w:lang w:val="sq-AL"/>
        </w:rPr>
        <w:t xml:space="preserve"> rinjve (të moshës 15-29 vjeç) që nuk kishin arsim, punësim apo trajnim në fund të vitit 2022, dhe nivelin e lartë të emigracionit tek njerëzit që kanë një nivel të ulët të arsimit</w:t>
      </w:r>
      <w:hyperlink w:anchor="_bookmark26" w:history="1">
        <w:r w:rsidRPr="0032048B">
          <w:rPr>
            <w:sz w:val="24"/>
            <w:szCs w:val="24"/>
            <w:vertAlign w:val="superscript"/>
            <w:lang w:val="sq-AL"/>
          </w:rPr>
          <w:t>12</w:t>
        </w:r>
      </w:hyperlink>
      <w:r w:rsidRPr="0032048B">
        <w:rPr>
          <w:sz w:val="24"/>
          <w:szCs w:val="24"/>
          <w:lang w:val="sq-AL"/>
        </w:rPr>
        <w:t xml:space="preserve">. Përfshirja e sektorit privat në trajnimin e arsimit profesional është përmirësuar, por shkollat duhet të zhvillojnë dhe të zbatojnë </w:t>
      </w:r>
      <w:proofErr w:type="spellStart"/>
      <w:r w:rsidRPr="0032048B">
        <w:rPr>
          <w:sz w:val="24"/>
          <w:szCs w:val="24"/>
          <w:lang w:val="sq-AL"/>
        </w:rPr>
        <w:t>kurrikula</w:t>
      </w:r>
      <w:proofErr w:type="spellEnd"/>
      <w:r w:rsidRPr="0032048B">
        <w:rPr>
          <w:sz w:val="24"/>
          <w:szCs w:val="24"/>
          <w:lang w:val="sq-AL"/>
        </w:rPr>
        <w:t xml:space="preserve"> që përmbajnë aftësi mësimore të mjaftueshme dhe tërheqëse, dhe që janë relevante për tregun e punës. Edhe pse reformat aktuale të sistemit të trajnimit në arsimin profesional i adresojnë këto çështje, financimi i tyre dhe ritmi i zbatimit nuk janë ende në nivelin e duhur. Gjithashtu, zbatimi i Strategjisë Kombëtare të Punësimit dhe Aftësive 2023-2030, e cila përfshin politikat e nevojshme të punësimit përfshi aftësimin dhe trajnimin e të </w:t>
      </w:r>
      <w:r w:rsidRPr="0032048B">
        <w:rPr>
          <w:sz w:val="24"/>
          <w:szCs w:val="24"/>
          <w:lang w:val="sq-AL"/>
        </w:rPr>
        <w:lastRenderedPageBreak/>
        <w:t xml:space="preserve">rriturve, ka nevojë për financim të mjaftueshëm për të rritur aftësitë e grupit relativisht të madh të </w:t>
      </w:r>
      <w:proofErr w:type="spellStart"/>
      <w:r w:rsidRPr="0032048B">
        <w:rPr>
          <w:sz w:val="24"/>
          <w:szCs w:val="24"/>
          <w:lang w:val="sq-AL"/>
        </w:rPr>
        <w:t>të</w:t>
      </w:r>
      <w:proofErr w:type="spellEnd"/>
      <w:r w:rsidRPr="0032048B">
        <w:rPr>
          <w:sz w:val="24"/>
          <w:szCs w:val="24"/>
          <w:lang w:val="sq-AL"/>
        </w:rPr>
        <w:t xml:space="preserve"> rriturve shqiptarë që kanë një nivel të ulët arsimi, dhe kështu të zbusë mungesën e fuqisë punëtorë të kualifikuar.</w:t>
      </w:r>
    </w:p>
    <w:p w14:paraId="49393608" w14:textId="77777777" w:rsidR="00E6279B" w:rsidRPr="0032048B" w:rsidRDefault="00E6279B" w:rsidP="00E6279B">
      <w:pPr>
        <w:spacing w:before="120"/>
        <w:ind w:left="979" w:right="976"/>
        <w:jc w:val="both"/>
        <w:rPr>
          <w:sz w:val="24"/>
          <w:szCs w:val="24"/>
          <w:lang w:val="sq-AL"/>
        </w:rPr>
      </w:pPr>
    </w:p>
    <w:p w14:paraId="32DAB862" w14:textId="77777777" w:rsidR="00E6279B" w:rsidRPr="0032048B" w:rsidRDefault="00E6279B" w:rsidP="00E6279B">
      <w:pPr>
        <w:spacing w:before="120"/>
        <w:ind w:left="979" w:right="976"/>
        <w:jc w:val="both"/>
        <w:rPr>
          <w:sz w:val="24"/>
          <w:szCs w:val="24"/>
          <w:highlight w:val="yellow"/>
          <w:lang w:val="sq-AL"/>
        </w:rPr>
      </w:pPr>
    </w:p>
    <w:bookmarkStart w:id="39" w:name="_bookmark24"/>
    <w:bookmarkEnd w:id="39"/>
    <w:p w14:paraId="0BE05B86" w14:textId="77777777" w:rsidR="00E6279B" w:rsidRPr="0032048B" w:rsidRDefault="00E6279B" w:rsidP="00E6279B">
      <w:pPr>
        <w:rPr>
          <w:sz w:val="12"/>
          <w:szCs w:val="24"/>
          <w:highlight w:val="yellow"/>
          <w:lang w:val="sq-AL"/>
        </w:rPr>
      </w:pPr>
      <w:r w:rsidRPr="0032048B">
        <w:rPr>
          <w:sz w:val="24"/>
          <w:szCs w:val="24"/>
          <w:highlight w:val="yellow"/>
          <w:lang w:val="sq-AL"/>
        </w:rPr>
        <mc:AlternateContent>
          <mc:Choice Requires="wps">
            <w:drawing>
              <wp:anchor distT="0" distB="0" distL="0" distR="0" simplePos="0" relativeHeight="251671552" behindDoc="1" locked="0" layoutInCell="1" allowOverlap="1" wp14:anchorId="76A44C7E" wp14:editId="18177390">
                <wp:simplePos x="0" y="0"/>
                <wp:positionH relativeFrom="page">
                  <wp:posOffset>914400</wp:posOffset>
                </wp:positionH>
                <wp:positionV relativeFrom="paragraph">
                  <wp:posOffset>102906</wp:posOffset>
                </wp:positionV>
                <wp:extent cx="1828800" cy="9525"/>
                <wp:effectExtent l="0" t="0" r="0" b="0"/>
                <wp:wrapTopAndBottom/>
                <wp:docPr id="187" name="Graphic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1C4828" id="Graphic 187" o:spid="_x0000_s1026" style="position:absolute;margin-left:1in;margin-top:8.1pt;width:2in;height:.75pt;z-index:-25164492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" path="m1828800,l,,,9143r1828800,l1828800,xe" fillcolor="black" stroked="f">
                <v:path arrowok="t"/>
                <w10:wrap type="topAndBottom" anchorx="page"/>
              </v:shape>
            </w:pict>
          </mc:Fallback>
        </mc:AlternateContent>
      </w:r>
    </w:p>
    <w:p w14:paraId="3923E7F1" w14:textId="77777777" w:rsidR="00E6279B" w:rsidRPr="0032048B" w:rsidRDefault="00E6279B" w:rsidP="00E6279B">
      <w:pPr>
        <w:spacing w:before="118" w:line="242" w:lineRule="auto"/>
        <w:ind w:left="979" w:right="972"/>
        <w:jc w:val="both"/>
        <w:rPr>
          <w:rFonts w:ascii="Calibri" w:hAnsi="Calibri"/>
          <w:spacing w:val="-3"/>
          <w:sz w:val="18"/>
          <w:lang w:val="sq-AL"/>
        </w:rPr>
      </w:pPr>
      <w:r w:rsidRPr="0032048B">
        <w:rPr>
          <w:rFonts w:ascii="Calibri" w:hAnsi="Calibri"/>
          <w:sz w:val="18"/>
          <w:vertAlign w:val="superscript"/>
          <w:lang w:val="sq-AL"/>
        </w:rPr>
        <w:t>10</w:t>
      </w:r>
      <w:r w:rsidRPr="0032048B">
        <w:rPr>
          <w:rFonts w:ascii="Calibri" w:hAnsi="Calibri"/>
          <w:sz w:val="18"/>
          <w:lang w:val="sq-AL"/>
        </w:rPr>
        <w:t xml:space="preserve"> TIMSS</w:t>
      </w:r>
      <w:r w:rsidRPr="0032048B">
        <w:rPr>
          <w:rFonts w:ascii="Calibri" w:hAnsi="Calibri"/>
          <w:spacing w:val="-1"/>
          <w:sz w:val="18"/>
          <w:lang w:val="sq-AL"/>
        </w:rPr>
        <w:t xml:space="preserve"> </w:t>
      </w:r>
      <w:r w:rsidRPr="0032048B">
        <w:rPr>
          <w:rFonts w:ascii="Calibri" w:hAnsi="Calibri"/>
          <w:sz w:val="18"/>
          <w:lang w:val="sq-AL"/>
        </w:rPr>
        <w:t>=</w:t>
      </w:r>
      <w:r w:rsidRPr="0032048B">
        <w:rPr>
          <w:rFonts w:ascii="Calibri" w:hAnsi="Calibri"/>
          <w:spacing w:val="-1"/>
          <w:sz w:val="18"/>
          <w:lang w:val="sq-AL"/>
        </w:rPr>
        <w:t xml:space="preserve"> </w:t>
      </w:r>
      <w:proofErr w:type="spellStart"/>
      <w:r w:rsidRPr="0032048B">
        <w:rPr>
          <w:rFonts w:ascii="Calibri" w:hAnsi="Calibri"/>
          <w:sz w:val="18"/>
          <w:lang w:val="sq-AL"/>
        </w:rPr>
        <w:t>Trends</w:t>
      </w:r>
      <w:proofErr w:type="spellEnd"/>
      <w:r w:rsidRPr="0032048B">
        <w:rPr>
          <w:rFonts w:ascii="Calibri" w:hAnsi="Calibri"/>
          <w:spacing w:val="-2"/>
          <w:sz w:val="18"/>
          <w:lang w:val="sq-AL"/>
        </w:rPr>
        <w:t xml:space="preserve"> </w:t>
      </w:r>
      <w:r w:rsidRPr="0032048B">
        <w:rPr>
          <w:rFonts w:ascii="Calibri" w:hAnsi="Calibri"/>
          <w:sz w:val="18"/>
          <w:lang w:val="sq-AL"/>
        </w:rPr>
        <w:t>in</w:t>
      </w:r>
      <w:r w:rsidRPr="0032048B">
        <w:rPr>
          <w:rFonts w:ascii="Calibri" w:hAnsi="Calibri"/>
          <w:spacing w:val="-1"/>
          <w:sz w:val="18"/>
          <w:lang w:val="sq-AL"/>
        </w:rPr>
        <w:t xml:space="preserve"> </w:t>
      </w:r>
      <w:proofErr w:type="spellStart"/>
      <w:r w:rsidRPr="0032048B">
        <w:rPr>
          <w:rFonts w:ascii="Calibri" w:hAnsi="Calibri"/>
          <w:sz w:val="18"/>
          <w:lang w:val="sq-AL"/>
        </w:rPr>
        <w:t>International</w:t>
      </w:r>
      <w:proofErr w:type="spellEnd"/>
      <w:r w:rsidRPr="0032048B">
        <w:rPr>
          <w:rFonts w:ascii="Calibri" w:hAnsi="Calibri"/>
          <w:spacing w:val="-2"/>
          <w:sz w:val="18"/>
          <w:lang w:val="sq-AL"/>
        </w:rPr>
        <w:t xml:space="preserve"> </w:t>
      </w:r>
      <w:proofErr w:type="spellStart"/>
      <w:r w:rsidRPr="0032048B">
        <w:rPr>
          <w:rFonts w:ascii="Calibri" w:hAnsi="Calibri"/>
          <w:sz w:val="18"/>
          <w:lang w:val="sq-AL"/>
        </w:rPr>
        <w:t>Mathematics</w:t>
      </w:r>
      <w:proofErr w:type="spellEnd"/>
      <w:r w:rsidRPr="0032048B">
        <w:rPr>
          <w:rFonts w:ascii="Calibri" w:hAnsi="Calibri"/>
          <w:spacing w:val="-1"/>
          <w:sz w:val="18"/>
          <w:lang w:val="sq-AL"/>
        </w:rPr>
        <w:t xml:space="preserve"> </w:t>
      </w:r>
      <w:proofErr w:type="spellStart"/>
      <w:r w:rsidRPr="0032048B">
        <w:rPr>
          <w:rFonts w:ascii="Calibri" w:hAnsi="Calibri"/>
          <w:sz w:val="18"/>
          <w:lang w:val="sq-AL"/>
        </w:rPr>
        <w:t>and</w:t>
      </w:r>
      <w:proofErr w:type="spellEnd"/>
      <w:r w:rsidRPr="0032048B">
        <w:rPr>
          <w:rFonts w:ascii="Calibri" w:hAnsi="Calibri"/>
          <w:spacing w:val="-1"/>
          <w:sz w:val="18"/>
          <w:lang w:val="sq-AL"/>
        </w:rPr>
        <w:t xml:space="preserve"> </w:t>
      </w:r>
      <w:proofErr w:type="spellStart"/>
      <w:r w:rsidRPr="0032048B">
        <w:rPr>
          <w:rFonts w:ascii="Calibri" w:hAnsi="Calibri"/>
          <w:sz w:val="18"/>
          <w:lang w:val="sq-AL"/>
        </w:rPr>
        <w:t>Science</w:t>
      </w:r>
      <w:proofErr w:type="spellEnd"/>
      <w:r w:rsidRPr="0032048B">
        <w:rPr>
          <w:rFonts w:ascii="Calibri" w:hAnsi="Calibri"/>
          <w:spacing w:val="-1"/>
          <w:sz w:val="18"/>
          <w:lang w:val="sq-AL"/>
        </w:rPr>
        <w:t xml:space="preserve"> </w:t>
      </w:r>
      <w:proofErr w:type="spellStart"/>
      <w:r w:rsidRPr="0032048B">
        <w:rPr>
          <w:rFonts w:ascii="Calibri" w:hAnsi="Calibri"/>
          <w:sz w:val="18"/>
          <w:lang w:val="sq-AL"/>
        </w:rPr>
        <w:t>Study</w:t>
      </w:r>
      <w:proofErr w:type="spellEnd"/>
      <w:r w:rsidRPr="0032048B">
        <w:rPr>
          <w:rFonts w:ascii="Calibri" w:hAnsi="Calibri"/>
          <w:sz w:val="18"/>
          <w:lang w:val="sq-AL"/>
        </w:rPr>
        <w:t xml:space="preserve"> (Tendencat në Studimet Ndërkombëtare Matematikore dhe Shkencore),</w:t>
      </w:r>
      <w:r w:rsidRPr="0032048B">
        <w:rPr>
          <w:rFonts w:ascii="Calibri" w:hAnsi="Calibri"/>
          <w:spacing w:val="-2"/>
          <w:sz w:val="18"/>
          <w:lang w:val="sq-AL"/>
        </w:rPr>
        <w:t xml:space="preserve"> që kryhen çdo katër vjet me klasat e katërta dhe të teta. Shqipëria ka marrë pjesë për herë të parë në TIMSS në vitin 2019, vetëm me nxënësit e klasave të katërta. </w:t>
      </w:r>
      <w:r w:rsidRPr="0032048B">
        <w:rPr>
          <w:rFonts w:ascii="Calibri" w:hAnsi="Calibri"/>
          <w:sz w:val="18"/>
          <w:lang w:val="sq-AL"/>
        </w:rPr>
        <w:t xml:space="preserve">PIRLS = </w:t>
      </w:r>
      <w:proofErr w:type="spellStart"/>
      <w:r w:rsidRPr="0032048B">
        <w:rPr>
          <w:rFonts w:ascii="Calibri" w:hAnsi="Calibri"/>
          <w:sz w:val="18"/>
          <w:lang w:val="sq-AL"/>
        </w:rPr>
        <w:t>Progress</w:t>
      </w:r>
      <w:proofErr w:type="spellEnd"/>
      <w:r w:rsidRPr="0032048B">
        <w:rPr>
          <w:rFonts w:ascii="Calibri" w:hAnsi="Calibri"/>
          <w:sz w:val="18"/>
          <w:lang w:val="sq-AL"/>
        </w:rPr>
        <w:t xml:space="preserve"> in </w:t>
      </w:r>
      <w:proofErr w:type="spellStart"/>
      <w:r w:rsidRPr="0032048B">
        <w:rPr>
          <w:rFonts w:ascii="Calibri" w:hAnsi="Calibri"/>
          <w:sz w:val="18"/>
          <w:lang w:val="sq-AL"/>
        </w:rPr>
        <w:t>International</w:t>
      </w:r>
      <w:proofErr w:type="spellEnd"/>
      <w:r w:rsidRPr="0032048B">
        <w:rPr>
          <w:rFonts w:ascii="Calibri" w:hAnsi="Calibri"/>
          <w:sz w:val="18"/>
          <w:lang w:val="sq-AL"/>
        </w:rPr>
        <w:t xml:space="preserve"> </w:t>
      </w:r>
      <w:proofErr w:type="spellStart"/>
      <w:r w:rsidRPr="0032048B">
        <w:rPr>
          <w:rFonts w:ascii="Calibri" w:hAnsi="Calibri"/>
          <w:sz w:val="18"/>
          <w:lang w:val="sq-AL"/>
        </w:rPr>
        <w:t>Reading</w:t>
      </w:r>
      <w:proofErr w:type="spellEnd"/>
      <w:r w:rsidRPr="0032048B">
        <w:rPr>
          <w:rFonts w:ascii="Calibri" w:hAnsi="Calibri"/>
          <w:spacing w:val="-2"/>
          <w:sz w:val="18"/>
          <w:lang w:val="sq-AL"/>
        </w:rPr>
        <w:t xml:space="preserve"> </w:t>
      </w:r>
      <w:proofErr w:type="spellStart"/>
      <w:r w:rsidRPr="0032048B">
        <w:rPr>
          <w:rFonts w:ascii="Calibri" w:hAnsi="Calibri"/>
          <w:sz w:val="18"/>
          <w:lang w:val="sq-AL"/>
        </w:rPr>
        <w:t>Literacy</w:t>
      </w:r>
      <w:proofErr w:type="spellEnd"/>
      <w:r w:rsidRPr="0032048B">
        <w:rPr>
          <w:rFonts w:ascii="Calibri" w:hAnsi="Calibri"/>
          <w:spacing w:val="-2"/>
          <w:sz w:val="18"/>
          <w:lang w:val="sq-AL"/>
        </w:rPr>
        <w:t xml:space="preserve"> </w:t>
      </w:r>
      <w:proofErr w:type="spellStart"/>
      <w:r w:rsidRPr="0032048B">
        <w:rPr>
          <w:rFonts w:ascii="Calibri" w:hAnsi="Calibri"/>
          <w:sz w:val="18"/>
          <w:lang w:val="sq-AL"/>
        </w:rPr>
        <w:t>Study</w:t>
      </w:r>
      <w:proofErr w:type="spellEnd"/>
      <w:r w:rsidRPr="0032048B">
        <w:rPr>
          <w:rFonts w:ascii="Calibri" w:hAnsi="Calibri"/>
          <w:sz w:val="18"/>
          <w:lang w:val="sq-AL"/>
        </w:rPr>
        <w:t xml:space="preserve"> Progres në Studimin Ndërkombëtar të Leximit),</w:t>
      </w:r>
      <w:r w:rsidRPr="0032048B">
        <w:rPr>
          <w:rFonts w:ascii="Calibri" w:hAnsi="Calibri"/>
          <w:spacing w:val="-3"/>
          <w:sz w:val="18"/>
          <w:lang w:val="sq-AL"/>
        </w:rPr>
        <w:t xml:space="preserve"> që vlerësojnë çdo 5 vjet arritjet e nxënësve të klasës së katërt në lexim. Shqipëria mori pjesë për herë të parë në vitin 2021. Në të dy studimet vendi ka pikë më të larta se shumica e vendeve fqinje, por testimi i kufizuar dhe problemet me cilësinë e të dhënave e kufizojnë krahasimin. </w:t>
      </w:r>
      <w:hyperlink r:id="rId16">
        <w:r w:rsidRPr="0032048B">
          <w:rPr>
            <w:rFonts w:ascii="Calibri" w:hAnsi="Calibri"/>
            <w:color w:val="0000FF"/>
            <w:sz w:val="18"/>
            <w:u w:val="single" w:color="0000FF"/>
            <w:lang w:val="sq-AL"/>
          </w:rPr>
          <w:t xml:space="preserve">TIMSS &amp; PIRLS </w:t>
        </w:r>
        <w:proofErr w:type="spellStart"/>
        <w:r w:rsidRPr="0032048B">
          <w:rPr>
            <w:rFonts w:ascii="Calibri" w:hAnsi="Calibri"/>
            <w:color w:val="0000FF"/>
            <w:sz w:val="18"/>
            <w:u w:val="single" w:color="0000FF"/>
            <w:lang w:val="sq-AL"/>
          </w:rPr>
          <w:t>International</w:t>
        </w:r>
        <w:proofErr w:type="spellEnd"/>
        <w:r w:rsidRPr="0032048B">
          <w:rPr>
            <w:rFonts w:ascii="Calibri" w:hAnsi="Calibri"/>
            <w:color w:val="0000FF"/>
            <w:sz w:val="18"/>
            <w:u w:val="single" w:color="0000FF"/>
            <w:lang w:val="sq-AL"/>
          </w:rPr>
          <w:t xml:space="preserve"> </w:t>
        </w:r>
        <w:proofErr w:type="spellStart"/>
        <w:r w:rsidRPr="0032048B">
          <w:rPr>
            <w:rFonts w:ascii="Calibri" w:hAnsi="Calibri"/>
            <w:color w:val="0000FF"/>
            <w:sz w:val="18"/>
            <w:u w:val="single" w:color="0000FF"/>
            <w:lang w:val="sq-AL"/>
          </w:rPr>
          <w:t>Study</w:t>
        </w:r>
        <w:proofErr w:type="spellEnd"/>
        <w:r w:rsidRPr="0032048B">
          <w:rPr>
            <w:rFonts w:ascii="Calibri" w:hAnsi="Calibri"/>
            <w:color w:val="0000FF"/>
            <w:sz w:val="18"/>
            <w:u w:val="single" w:color="0000FF"/>
            <w:lang w:val="sq-AL"/>
          </w:rPr>
          <w:t xml:space="preserve"> </w:t>
        </w:r>
        <w:proofErr w:type="spellStart"/>
        <w:r w:rsidRPr="0032048B">
          <w:rPr>
            <w:rFonts w:ascii="Calibri" w:hAnsi="Calibri"/>
            <w:color w:val="0000FF"/>
            <w:sz w:val="18"/>
            <w:u w:val="single" w:color="0000FF"/>
            <w:lang w:val="sq-AL"/>
          </w:rPr>
          <w:t>Center</w:t>
        </w:r>
        <w:proofErr w:type="spellEnd"/>
        <w:r w:rsidRPr="0032048B">
          <w:rPr>
            <w:rFonts w:ascii="Calibri" w:hAnsi="Calibri"/>
            <w:sz w:val="18"/>
            <w:lang w:val="sq-AL"/>
          </w:rPr>
          <w:t>.</w:t>
        </w:r>
      </w:hyperlink>
    </w:p>
    <w:p w14:paraId="3185CE3C" w14:textId="77777777" w:rsidR="00E6279B" w:rsidRPr="0032048B" w:rsidRDefault="00E6279B" w:rsidP="00E6279B">
      <w:pPr>
        <w:spacing w:line="215" w:lineRule="exact"/>
        <w:ind w:left="980"/>
        <w:rPr>
          <w:rFonts w:ascii="Calibri"/>
          <w:sz w:val="18"/>
          <w:lang w:val="sq-AL"/>
        </w:rPr>
      </w:pPr>
      <w:bookmarkStart w:id="40" w:name="_bookmark25"/>
      <w:bookmarkEnd w:id="40"/>
      <w:r w:rsidRPr="0032048B">
        <w:rPr>
          <w:rFonts w:ascii="Calibri"/>
          <w:sz w:val="18"/>
          <w:vertAlign w:val="superscript"/>
          <w:lang w:val="sq-AL"/>
        </w:rPr>
        <w:t>11</w:t>
      </w:r>
      <w:r w:rsidRPr="0032048B">
        <w:rPr>
          <w:rFonts w:ascii="Calibri"/>
          <w:spacing w:val="-13"/>
          <w:sz w:val="18"/>
          <w:lang w:val="sq-AL"/>
        </w:rPr>
        <w:t xml:space="preserve"> Opinioni Publik i Ballkanit dhe </w:t>
      </w:r>
      <w:proofErr w:type="spellStart"/>
      <w:r w:rsidRPr="0032048B">
        <w:rPr>
          <w:rFonts w:ascii="Calibri"/>
          <w:spacing w:val="-13"/>
          <w:sz w:val="18"/>
          <w:lang w:val="sq-AL"/>
        </w:rPr>
        <w:t>Borometrat</w:t>
      </w:r>
      <w:proofErr w:type="spellEnd"/>
      <w:r w:rsidRPr="0032048B">
        <w:rPr>
          <w:rFonts w:ascii="Calibri"/>
          <w:spacing w:val="-13"/>
          <w:sz w:val="18"/>
          <w:lang w:val="sq-AL"/>
        </w:rPr>
        <w:t xml:space="preserve"> e Biznesit </w:t>
      </w:r>
      <w:r w:rsidRPr="0032048B">
        <w:rPr>
          <w:rFonts w:ascii="Calibri"/>
          <w:spacing w:val="-4"/>
          <w:sz w:val="18"/>
          <w:lang w:val="sq-AL"/>
        </w:rPr>
        <w:t>2022</w:t>
      </w:r>
    </w:p>
    <w:p w14:paraId="0CB5DCCE" w14:textId="77777777" w:rsidR="00E6279B" w:rsidRPr="0032048B" w:rsidRDefault="00E6279B" w:rsidP="00E6279B">
      <w:pPr>
        <w:spacing w:before="120"/>
        <w:ind w:left="980" w:right="976"/>
        <w:jc w:val="both"/>
        <w:rPr>
          <w:sz w:val="24"/>
          <w:szCs w:val="24"/>
          <w:lang w:val="sq-AL"/>
        </w:rPr>
      </w:pPr>
      <w:r w:rsidRPr="0032048B">
        <w:rPr>
          <w:b/>
          <w:sz w:val="24"/>
          <w:szCs w:val="24"/>
          <w:lang w:val="sq-AL"/>
        </w:rPr>
        <w:t>Shqipëria ka qasje më të mirë në fondet kërkimore të BE-së, por financimi vendas mbetet i papërfillshëm.</w:t>
      </w:r>
      <w:r w:rsidRPr="0032048B">
        <w:rPr>
          <w:bCs/>
          <w:sz w:val="24"/>
          <w:szCs w:val="24"/>
          <w:lang w:val="sq-AL"/>
        </w:rPr>
        <w:t xml:space="preserve"> Financimi publik për kërkim dhe zhvillim parashikohet të rritet nga vlera </w:t>
      </w:r>
      <w:r w:rsidRPr="0032048B">
        <w:rPr>
          <w:sz w:val="24"/>
          <w:szCs w:val="24"/>
          <w:lang w:val="sq-AL"/>
        </w:rPr>
        <w:t xml:space="preserve">0,1% e PBB-së në vitin 2022, por ka gjasa të arrijë nivelin 1% të PBB-së të parashikuar në Strategjinë Kombëtare për Teknologjinë dhe Inovacionin 2023-2030 (STI), dhe të dhënat e besueshme për financimin aktual për kërkimin nuk janë të </w:t>
      </w:r>
      <w:proofErr w:type="spellStart"/>
      <w:r w:rsidRPr="0032048B">
        <w:rPr>
          <w:sz w:val="24"/>
          <w:szCs w:val="24"/>
          <w:lang w:val="sq-AL"/>
        </w:rPr>
        <w:t>disponueshme</w:t>
      </w:r>
      <w:proofErr w:type="spellEnd"/>
      <w:r w:rsidRPr="0032048B">
        <w:rPr>
          <w:sz w:val="24"/>
          <w:szCs w:val="24"/>
          <w:lang w:val="sq-AL"/>
        </w:rPr>
        <w:t xml:space="preserve">. Aktualisht, kompanive private nuk u ofrohen </w:t>
      </w:r>
      <w:proofErr w:type="spellStart"/>
      <w:r w:rsidRPr="0032048B">
        <w:rPr>
          <w:sz w:val="24"/>
          <w:szCs w:val="24"/>
          <w:lang w:val="sq-AL"/>
        </w:rPr>
        <w:t>incentiva</w:t>
      </w:r>
      <w:proofErr w:type="spellEnd"/>
      <w:r w:rsidRPr="0032048B">
        <w:rPr>
          <w:sz w:val="24"/>
          <w:szCs w:val="24"/>
          <w:lang w:val="sq-AL"/>
        </w:rPr>
        <w:t xml:space="preserve"> tatimore të bazuara në kosto për trajnimin dhe kërkimin. Edhe pse janë bërë disa përpjekje për të stimuluar bashkëpunimin mes sektorit publik dhe privat në këtë fushë, niveli shumë i kufizuar i investimeve për inovacionin mbetet një pengesë për rritjen e nevojshme të produktivitetit. Marrëveshja e </w:t>
      </w:r>
      <w:proofErr w:type="spellStart"/>
      <w:r w:rsidRPr="0032048B">
        <w:rPr>
          <w:sz w:val="24"/>
          <w:szCs w:val="24"/>
          <w:lang w:val="sq-AL"/>
        </w:rPr>
        <w:t>asociimit</w:t>
      </w:r>
      <w:proofErr w:type="spellEnd"/>
      <w:r w:rsidRPr="0032048B">
        <w:rPr>
          <w:sz w:val="24"/>
          <w:szCs w:val="24"/>
          <w:lang w:val="sq-AL"/>
        </w:rPr>
        <w:t xml:space="preserve"> e Shqipërisë me </w:t>
      </w:r>
      <w:proofErr w:type="spellStart"/>
      <w:r w:rsidRPr="0032048B">
        <w:rPr>
          <w:i/>
          <w:iCs/>
          <w:sz w:val="24"/>
          <w:szCs w:val="24"/>
          <w:lang w:val="sq-AL"/>
        </w:rPr>
        <w:t>Horizon</w:t>
      </w:r>
      <w:proofErr w:type="spellEnd"/>
      <w:r w:rsidRPr="0032048B">
        <w:rPr>
          <w:i/>
          <w:iCs/>
          <w:sz w:val="24"/>
          <w:szCs w:val="24"/>
          <w:lang w:val="sq-AL"/>
        </w:rPr>
        <w:t xml:space="preserve"> Europe</w:t>
      </w:r>
      <w:r w:rsidRPr="0032048B">
        <w:rPr>
          <w:sz w:val="24"/>
          <w:szCs w:val="24"/>
          <w:lang w:val="sq-AL"/>
        </w:rPr>
        <w:t xml:space="preserve"> hyri në fuqi në vitin 2022, duke u dhënë institucioneve të saj kërkimore qasje në fondet e BE-së për kërkimin dhe inovacionin të krahasueshme me ato të Vendeve Anëtare të BE-së.</w:t>
      </w:r>
    </w:p>
    <w:p w14:paraId="37E48103" w14:textId="77777777" w:rsidR="00E6279B" w:rsidRPr="0032048B" w:rsidRDefault="00E6279B" w:rsidP="00E6279B">
      <w:pPr>
        <w:spacing w:before="120"/>
        <w:ind w:left="980"/>
        <w:jc w:val="both"/>
        <w:rPr>
          <w:spacing w:val="-2"/>
          <w:sz w:val="24"/>
          <w:szCs w:val="24"/>
          <w:u w:val="single"/>
          <w:lang w:val="sq-AL"/>
        </w:rPr>
      </w:pPr>
      <w:r w:rsidRPr="0032048B">
        <w:rPr>
          <w:spacing w:val="-2"/>
          <w:sz w:val="24"/>
          <w:szCs w:val="24"/>
          <w:u w:val="single"/>
          <w:lang w:val="sq-AL"/>
        </w:rPr>
        <w:t>Kapaciteti fizik dhe cilësia e infrastrukturës</w:t>
      </w:r>
    </w:p>
    <w:p w14:paraId="54361014" w14:textId="4BC34F20" w:rsidR="00E6279B" w:rsidRPr="0032048B" w:rsidRDefault="00E6279B" w:rsidP="00E6279B">
      <w:pPr>
        <w:spacing w:before="120"/>
        <w:ind w:left="980" w:right="910"/>
        <w:jc w:val="both"/>
        <w:rPr>
          <w:spacing w:val="-2"/>
          <w:sz w:val="24"/>
          <w:szCs w:val="24"/>
          <w:lang w:val="sq-AL"/>
        </w:rPr>
      </w:pPr>
      <w:r w:rsidRPr="0032048B">
        <w:rPr>
          <w:b/>
          <w:bCs/>
          <w:spacing w:val="-2"/>
          <w:sz w:val="24"/>
          <w:szCs w:val="24"/>
          <w:lang w:val="sq-AL"/>
        </w:rPr>
        <w:t xml:space="preserve">Investimet u rikuperuan gjatë viteve 2021 dhe 2022, dhe projektet infrastrukturore kanë bërë progres të mirë. </w:t>
      </w:r>
      <w:r w:rsidRPr="0032048B">
        <w:rPr>
          <w:spacing w:val="-2"/>
          <w:sz w:val="24"/>
          <w:szCs w:val="24"/>
          <w:lang w:val="sq-AL"/>
        </w:rPr>
        <w:t xml:space="preserve">Investimi total (krijimi i kapitalit fiks bruto) arriti vlerë mesatare </w:t>
      </w:r>
      <w:r w:rsidRPr="0032048B">
        <w:rPr>
          <w:sz w:val="24"/>
          <w:szCs w:val="24"/>
          <w:lang w:val="sq-AL"/>
        </w:rPr>
        <w:t xml:space="preserve">24,4% të PBB-së në periudhën 2014-2018 përpara se të ulej me thuajse 2 pikë përqindje në periudhën 2019-2020. Në vitet 2021 dhe 2022, investimet u rritën në vlerën 24,4% dje 24.0 % të PBB-së përkatësisht, të nxitura nga investimet </w:t>
      </w:r>
      <w:proofErr w:type="spellStart"/>
      <w:r w:rsidRPr="0032048B">
        <w:rPr>
          <w:sz w:val="24"/>
          <w:szCs w:val="24"/>
          <w:lang w:val="sq-AL"/>
        </w:rPr>
        <w:t>direkte</w:t>
      </w:r>
      <w:proofErr w:type="spellEnd"/>
      <w:r w:rsidRPr="0032048B">
        <w:rPr>
          <w:sz w:val="24"/>
          <w:szCs w:val="24"/>
          <w:lang w:val="sq-AL"/>
        </w:rPr>
        <w:t xml:space="preserve"> private dhe të huaja, si dhe nga financimi publik në periudhën pas tërmetit. Kjo e rriti vlerën e investimeve publike në 6,8% të PBB-së në vitin 2021, përpara se të binte në vlerën 5,4% të PBB-së në vitin 2022. Pjesa e krijimit të kapitalit fiks bruto në PBB është e dyta më e lartë në rajon, dhe rreth 1,2 pikë përqindje mbi vlerën mesatare të BE-së. Prurjet hyrëse të FDI-ve u rritën me 22% vit pas viti në 2022, kryesisht në pronat e paluajtshme, energji, financë dhe prodhim. Shqipëria ka bërë progres me përgatitjen dhe ndërtimin e projekteve infrastrukturore për rrugët, hekurudhat dhe portet, të cilat do të përmirësojnë lidhjen </w:t>
      </w:r>
      <w:proofErr w:type="spellStart"/>
      <w:r w:rsidRPr="0032048B">
        <w:rPr>
          <w:sz w:val="24"/>
          <w:szCs w:val="24"/>
          <w:lang w:val="sq-AL"/>
        </w:rPr>
        <w:t>ndërrajonale</w:t>
      </w:r>
      <w:proofErr w:type="spellEnd"/>
      <w:r w:rsidRPr="0032048B">
        <w:rPr>
          <w:sz w:val="24"/>
          <w:szCs w:val="24"/>
          <w:lang w:val="sq-AL"/>
        </w:rPr>
        <w:t xml:space="preserve"> (Korridori Adriatik-Jon) dhe infrastrukturën tregtare (rehabilitimi i hekurudhës tregtare nga porti i Durrësit në Tiranë, ndërtimi i një linje të re hekurudhore në aeroportin ndërkombëtar). Gjithashtu, është përgatitur një strategji e re e sektorit të transportit 2023-2030 dhe plani i saj i veprimit, buxheti i së cilës vlerësohet në 1 miliardë euro. Indeksi i </w:t>
      </w:r>
      <w:proofErr w:type="spellStart"/>
      <w:r w:rsidRPr="0032048B">
        <w:rPr>
          <w:sz w:val="24"/>
          <w:szCs w:val="24"/>
          <w:lang w:val="sq-AL"/>
        </w:rPr>
        <w:t>performancës</w:t>
      </w:r>
      <w:proofErr w:type="spellEnd"/>
      <w:r w:rsidRPr="0032048B">
        <w:rPr>
          <w:sz w:val="24"/>
          <w:szCs w:val="24"/>
          <w:lang w:val="sq-AL"/>
        </w:rPr>
        <w:t xml:space="preserve"> logjistike të Bankës Botërore mbi tregtinë shqiptare dhe infrastrukturën e transportit</w:t>
      </w:r>
      <w:r w:rsidR="004D53EC">
        <w:rPr>
          <w:sz w:val="24"/>
          <w:szCs w:val="24"/>
          <w:lang w:val="sq-AL"/>
        </w:rPr>
        <w:t xml:space="preserve"> </w:t>
      </w:r>
      <w:r w:rsidRPr="0032048B">
        <w:rPr>
          <w:sz w:val="24"/>
          <w:szCs w:val="24"/>
          <w:lang w:val="sq-AL"/>
        </w:rPr>
        <w:t>shënon një rritje nga 2,29</w:t>
      </w:r>
      <w:r w:rsidRPr="0032048B">
        <w:rPr>
          <w:spacing w:val="42"/>
          <w:sz w:val="24"/>
          <w:szCs w:val="24"/>
          <w:lang w:val="sq-AL"/>
        </w:rPr>
        <w:t xml:space="preserve"> </w:t>
      </w:r>
      <w:r w:rsidRPr="0032048B">
        <w:rPr>
          <w:sz w:val="24"/>
          <w:szCs w:val="24"/>
          <w:lang w:val="sq-AL"/>
        </w:rPr>
        <w:t>në vitin 2018 në 2,7</w:t>
      </w:r>
      <w:r w:rsidRPr="0032048B">
        <w:rPr>
          <w:spacing w:val="42"/>
          <w:sz w:val="24"/>
          <w:szCs w:val="24"/>
          <w:lang w:val="sq-AL"/>
        </w:rPr>
        <w:t xml:space="preserve"> </w:t>
      </w:r>
      <w:r w:rsidRPr="0032048B">
        <w:rPr>
          <w:sz w:val="24"/>
          <w:szCs w:val="24"/>
          <w:lang w:val="sq-AL"/>
        </w:rPr>
        <w:t>në vitin 2022</w:t>
      </w:r>
      <w:r w:rsidRPr="0032048B">
        <w:rPr>
          <w:spacing w:val="42"/>
          <w:sz w:val="24"/>
          <w:szCs w:val="24"/>
          <w:lang w:val="sq-AL"/>
        </w:rPr>
        <w:t xml:space="preserve"> </w:t>
      </w:r>
      <w:r w:rsidRPr="0032048B">
        <w:rPr>
          <w:sz w:val="24"/>
          <w:szCs w:val="24"/>
          <w:lang w:val="sq-AL"/>
        </w:rPr>
        <w:t>(1</w:t>
      </w:r>
      <w:r w:rsidRPr="0032048B">
        <w:rPr>
          <w:spacing w:val="-1"/>
          <w:sz w:val="24"/>
          <w:szCs w:val="24"/>
          <w:lang w:val="sq-AL"/>
        </w:rPr>
        <w:t xml:space="preserve"> </w:t>
      </w:r>
      <w:r w:rsidRPr="0032048B">
        <w:rPr>
          <w:sz w:val="24"/>
          <w:szCs w:val="24"/>
          <w:lang w:val="sq-AL"/>
        </w:rPr>
        <w:t>= e ulët në 5</w:t>
      </w:r>
      <w:r w:rsidRPr="0032048B">
        <w:rPr>
          <w:spacing w:val="-1"/>
          <w:sz w:val="24"/>
          <w:szCs w:val="24"/>
          <w:lang w:val="sq-AL"/>
        </w:rPr>
        <w:t xml:space="preserve"> </w:t>
      </w:r>
      <w:r w:rsidRPr="0032048B">
        <w:rPr>
          <w:sz w:val="24"/>
          <w:szCs w:val="24"/>
          <w:lang w:val="sq-AL"/>
        </w:rPr>
        <w:t>= e lartë</w:t>
      </w:r>
      <w:r w:rsidRPr="0032048B">
        <w:rPr>
          <w:spacing w:val="-2"/>
          <w:sz w:val="24"/>
          <w:szCs w:val="24"/>
          <w:lang w:val="sq-AL"/>
        </w:rPr>
        <w:t xml:space="preserve">, BE </w:t>
      </w:r>
      <w:r w:rsidRPr="0032048B">
        <w:rPr>
          <w:sz w:val="24"/>
          <w:szCs w:val="24"/>
          <w:lang w:val="sq-AL"/>
        </w:rPr>
        <w:t xml:space="preserve">= </w:t>
      </w:r>
      <w:r w:rsidRPr="0032048B">
        <w:rPr>
          <w:spacing w:val="-2"/>
          <w:sz w:val="24"/>
          <w:szCs w:val="24"/>
          <w:lang w:val="sq-AL"/>
        </w:rPr>
        <w:t>3.6).</w:t>
      </w:r>
    </w:p>
    <w:p w14:paraId="3913ADC0" w14:textId="77777777" w:rsidR="00E6279B" w:rsidRPr="0032048B" w:rsidRDefault="00E6279B" w:rsidP="00E6279B">
      <w:pPr>
        <w:spacing w:before="120"/>
        <w:ind w:left="980" w:right="910"/>
        <w:jc w:val="both"/>
        <w:rPr>
          <w:sz w:val="24"/>
          <w:szCs w:val="24"/>
          <w:lang w:val="sq-AL"/>
        </w:rPr>
      </w:pPr>
      <w:r w:rsidRPr="0032048B">
        <w:rPr>
          <w:b/>
          <w:bCs/>
          <w:spacing w:val="-2"/>
          <w:sz w:val="24"/>
          <w:szCs w:val="24"/>
          <w:lang w:val="sq-AL"/>
        </w:rPr>
        <w:t xml:space="preserve">Infrastruktura digjitale është përmirësuar, por ka nevojë për investime të mëtejshme. </w:t>
      </w:r>
      <w:r w:rsidRPr="0032048B">
        <w:rPr>
          <w:spacing w:val="-2"/>
          <w:sz w:val="24"/>
          <w:szCs w:val="24"/>
          <w:lang w:val="sq-AL"/>
        </w:rPr>
        <w:t xml:space="preserve">Edhe pse përqindja e bizneseve që kanë qasje në rrjetet e shpejta </w:t>
      </w:r>
      <w:r w:rsidRPr="0032048B">
        <w:rPr>
          <w:sz w:val="24"/>
          <w:szCs w:val="24"/>
          <w:lang w:val="sq-AL"/>
        </w:rPr>
        <w:t>(&gt;10MB/s) është rritur nga 79,8%</w:t>
      </w:r>
      <w:r w:rsidRPr="0032048B">
        <w:rPr>
          <w:spacing w:val="3"/>
          <w:sz w:val="24"/>
          <w:szCs w:val="24"/>
          <w:lang w:val="sq-AL"/>
        </w:rPr>
        <w:t xml:space="preserve"> në vitin </w:t>
      </w:r>
      <w:r w:rsidRPr="0032048B">
        <w:rPr>
          <w:spacing w:val="-4"/>
          <w:sz w:val="24"/>
          <w:szCs w:val="24"/>
          <w:lang w:val="sq-AL"/>
        </w:rPr>
        <w:t>2020</w:t>
      </w:r>
    </w:p>
    <w:p w14:paraId="42FD7A76" w14:textId="77777777" w:rsidR="00E6279B" w:rsidRPr="0032048B" w:rsidRDefault="00E6279B" w:rsidP="00E6279B">
      <w:pPr>
        <w:spacing w:before="78"/>
        <w:rPr>
          <w:sz w:val="20"/>
          <w:szCs w:val="24"/>
          <w:lang w:val="sq-AL"/>
        </w:rPr>
      </w:pPr>
      <w:r w:rsidRPr="0032048B">
        <w:rPr>
          <w:sz w:val="24"/>
          <w:szCs w:val="24"/>
          <w:lang w:val="sq-AL"/>
        </w:rPr>
        <mc:AlternateContent>
          <mc:Choice Requires="wps">
            <w:drawing>
              <wp:anchor distT="0" distB="0" distL="0" distR="0" simplePos="0" relativeHeight="251672576" behindDoc="1" locked="0" layoutInCell="1" allowOverlap="1" wp14:anchorId="56B92378" wp14:editId="1792895D">
                <wp:simplePos x="0" y="0"/>
                <wp:positionH relativeFrom="page">
                  <wp:posOffset>914400</wp:posOffset>
                </wp:positionH>
                <wp:positionV relativeFrom="paragraph">
                  <wp:posOffset>211362</wp:posOffset>
                </wp:positionV>
                <wp:extent cx="1828800" cy="9525"/>
                <wp:effectExtent l="0" t="0" r="0" b="0"/>
                <wp:wrapTopAndBottom/>
                <wp:docPr id="188" name="Graphic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FFE207" id="Graphic 188" o:spid="_x0000_s1026" style="position:absolute;margin-left:1in;margin-top:16.65pt;width:2in;height:.75pt;z-index:-25164390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" path="m1828800,l,,,9144r1828800,l1828800,xe" fillcolor="black" stroked="f">
                <v:path arrowok="t"/>
                <w10:wrap type="topAndBottom" anchorx="page"/>
              </v:shape>
            </w:pict>
          </mc:Fallback>
        </mc:AlternateContent>
      </w:r>
    </w:p>
    <w:p w14:paraId="114FE74C" w14:textId="77777777" w:rsidR="00E6279B" w:rsidRPr="0032048B" w:rsidRDefault="00E6279B" w:rsidP="00E6279B">
      <w:pPr>
        <w:spacing w:before="100"/>
        <w:ind w:left="980"/>
        <w:rPr>
          <w:rFonts w:ascii="Calibri" w:hAnsi="Calibri"/>
          <w:sz w:val="18"/>
          <w:lang w:val="sq-AL"/>
        </w:rPr>
      </w:pPr>
      <w:bookmarkStart w:id="41" w:name="_bookmark26"/>
      <w:bookmarkEnd w:id="41"/>
      <w:r w:rsidRPr="0032048B">
        <w:rPr>
          <w:rFonts w:ascii="Calibri" w:hAnsi="Calibri"/>
          <w:sz w:val="18"/>
          <w:vertAlign w:val="superscript"/>
          <w:lang w:val="sq-AL"/>
        </w:rPr>
        <w:t>12</w:t>
      </w:r>
      <w:r w:rsidRPr="0032048B">
        <w:rPr>
          <w:rFonts w:ascii="Calibri" w:hAnsi="Calibri"/>
          <w:spacing w:val="-5"/>
          <w:sz w:val="18"/>
          <w:lang w:val="sq-AL"/>
        </w:rPr>
        <w:t xml:space="preserve"> </w:t>
      </w:r>
      <w:r w:rsidRPr="0032048B">
        <w:rPr>
          <w:rFonts w:ascii="Calibri" w:hAnsi="Calibri"/>
          <w:sz w:val="18"/>
          <w:lang w:val="sq-AL"/>
        </w:rPr>
        <w:t>OECD</w:t>
      </w:r>
      <w:r w:rsidRPr="0032048B">
        <w:rPr>
          <w:rFonts w:ascii="Calibri" w:hAnsi="Calibri"/>
          <w:spacing w:val="-3"/>
          <w:sz w:val="18"/>
          <w:lang w:val="sq-AL"/>
        </w:rPr>
        <w:t xml:space="preserve"> </w:t>
      </w:r>
      <w:r w:rsidRPr="0032048B">
        <w:rPr>
          <w:rFonts w:ascii="Calibri" w:hAnsi="Calibri"/>
          <w:sz w:val="18"/>
          <w:lang w:val="sq-AL"/>
        </w:rPr>
        <w:t xml:space="preserve">“Migrimi i punës në Ballkanin Perëndimor: </w:t>
      </w:r>
      <w:hyperlink r:id="rId17">
        <w:proofErr w:type="spellStart"/>
        <w:r w:rsidRPr="0032048B">
          <w:rPr>
            <w:rFonts w:ascii="Calibri" w:hAnsi="Calibri"/>
            <w:sz w:val="18"/>
            <w:lang w:val="sq-AL"/>
          </w:rPr>
          <w:t>Hartëzimi</w:t>
        </w:r>
        <w:proofErr w:type="spellEnd"/>
        <w:r w:rsidRPr="0032048B">
          <w:rPr>
            <w:rFonts w:ascii="Calibri" w:hAnsi="Calibri"/>
            <w:sz w:val="18"/>
            <w:lang w:val="sq-AL"/>
          </w:rPr>
          <w:t xml:space="preserve"> i modeleve, adresimi i sfidave dhe marrja e përfitimeve”.</w:t>
        </w:r>
        <w:r w:rsidRPr="0032048B">
          <w:rPr>
            <w:rFonts w:ascii="Calibri" w:hAnsi="Calibri"/>
            <w:spacing w:val="-2"/>
            <w:sz w:val="18"/>
            <w:lang w:val="sq-AL"/>
          </w:rPr>
          <w:t xml:space="preserve"> </w:t>
        </w:r>
      </w:hyperlink>
    </w:p>
    <w:p w14:paraId="41690DB3" w14:textId="77777777" w:rsidR="00E6279B" w:rsidRPr="0032048B" w:rsidRDefault="00E6279B" w:rsidP="00E6279B">
      <w:pPr>
        <w:ind w:left="980"/>
        <w:rPr>
          <w:rFonts w:ascii="Calibri"/>
          <w:i/>
          <w:sz w:val="20"/>
          <w:lang w:val="sq-AL"/>
        </w:rPr>
      </w:pPr>
      <w:r w:rsidRPr="0032048B">
        <w:rPr>
          <w:rFonts w:ascii="Calibri"/>
          <w:i/>
          <w:spacing w:val="-2"/>
          <w:sz w:val="20"/>
          <w:u w:val="single"/>
          <w:lang w:val="sq-AL"/>
        </w:rPr>
        <w:lastRenderedPageBreak/>
        <w:t>https://</w:t>
      </w:r>
      <w:hyperlink r:id="rId18" w:history="1">
        <w:r w:rsidRPr="0032048B">
          <w:rPr>
            <w:rFonts w:ascii="Calibri"/>
            <w:i/>
            <w:color w:val="0000FF" w:themeColor="hyperlink"/>
            <w:spacing w:val="-2"/>
            <w:sz w:val="20"/>
            <w:u w:val="single"/>
            <w:lang w:val="sq-AL"/>
          </w:rPr>
          <w:t>www.oecd.org/south-east-europe/programme/Labour-Migration-report.pdf</w:t>
        </w:r>
      </w:hyperlink>
    </w:p>
    <w:p w14:paraId="78DD8B32" w14:textId="77777777" w:rsidR="00E6279B" w:rsidRPr="0032048B" w:rsidRDefault="00E6279B" w:rsidP="00E6279B">
      <w:pPr>
        <w:spacing w:before="62"/>
        <w:ind w:left="980" w:right="976"/>
        <w:jc w:val="both"/>
        <w:rPr>
          <w:sz w:val="24"/>
          <w:szCs w:val="24"/>
          <w:lang w:val="sq-AL"/>
        </w:rPr>
      </w:pPr>
      <w:r w:rsidRPr="0032048B">
        <w:rPr>
          <w:sz w:val="24"/>
          <w:szCs w:val="24"/>
          <w:lang w:val="sq-AL"/>
        </w:rPr>
        <w:t xml:space="preserve">në 90,5% në vitin 2021, ka pasur vetëm një rritje të vogël në përdorimin e internetit dhe faqeve të internetit të bizneseve. Penetrimi fiks i internetit </w:t>
      </w:r>
      <w:proofErr w:type="spellStart"/>
      <w:r w:rsidRPr="0032048B">
        <w:rPr>
          <w:i/>
          <w:iCs/>
          <w:sz w:val="24"/>
          <w:szCs w:val="24"/>
          <w:lang w:val="sq-AL"/>
        </w:rPr>
        <w:t>broadband</w:t>
      </w:r>
      <w:proofErr w:type="spellEnd"/>
      <w:r w:rsidRPr="0032048B">
        <w:rPr>
          <w:sz w:val="24"/>
          <w:szCs w:val="24"/>
          <w:lang w:val="sq-AL"/>
        </w:rPr>
        <w:t xml:space="preserve"> u rrit nga 17 në 20 për 100 banorë në vitin 2021, dhe vazhdon të mbetet problem, veçanërisht në zonat rurale. Këto zona kanë 40% të popullsisë por vetëm një të katërtën e abonentëve fiks në </w:t>
      </w:r>
      <w:proofErr w:type="spellStart"/>
      <w:r w:rsidRPr="0032048B">
        <w:rPr>
          <w:i/>
          <w:iCs/>
          <w:sz w:val="24"/>
          <w:szCs w:val="24"/>
          <w:lang w:val="sq-AL"/>
        </w:rPr>
        <w:t>broadband</w:t>
      </w:r>
      <w:proofErr w:type="spellEnd"/>
      <w:r w:rsidRPr="0032048B">
        <w:rPr>
          <w:i/>
          <w:iCs/>
          <w:sz w:val="24"/>
          <w:szCs w:val="24"/>
          <w:lang w:val="sq-AL"/>
        </w:rPr>
        <w:t>.</w:t>
      </w:r>
      <w:r w:rsidRPr="0032048B">
        <w:rPr>
          <w:sz w:val="24"/>
          <w:szCs w:val="24"/>
          <w:lang w:val="sq-AL"/>
        </w:rPr>
        <w:t xml:space="preserve"> Investimi në infrastrukturën digjitale është gjithashtu i nevojshëm në shkolla. Shumë shkolla nuk kanë kompjuter – ka afërsisht 0,2 kompjuterë për nxënës – dhe kanë lidhje të dobëta interneti, gjë që përbën një pengesë për përdorimin e teknologjisë digjitale në shkolla. Familjet që kanë qasje në internet janë shtuar nga 88,3% në vitin 2021 në 96,5% në vitin 2022, me një rritje edhe në përdorimin e internetit përmes një lidhjeje fikse </w:t>
      </w:r>
      <w:proofErr w:type="spellStart"/>
      <w:r w:rsidRPr="0032048B">
        <w:rPr>
          <w:i/>
          <w:iCs/>
          <w:sz w:val="24"/>
          <w:szCs w:val="24"/>
          <w:lang w:val="sq-AL"/>
        </w:rPr>
        <w:t>broadband</w:t>
      </w:r>
      <w:proofErr w:type="spellEnd"/>
      <w:r w:rsidRPr="0032048B">
        <w:rPr>
          <w:sz w:val="24"/>
          <w:szCs w:val="24"/>
          <w:lang w:val="sq-AL"/>
        </w:rPr>
        <w:t>.</w:t>
      </w:r>
    </w:p>
    <w:p w14:paraId="66320575" w14:textId="77777777" w:rsidR="00E6279B" w:rsidRPr="0032048B" w:rsidRDefault="00E6279B" w:rsidP="00E6279B">
      <w:pPr>
        <w:spacing w:before="62"/>
        <w:ind w:left="980" w:right="976"/>
        <w:jc w:val="both"/>
        <w:rPr>
          <w:sz w:val="24"/>
          <w:szCs w:val="24"/>
          <w:lang w:val="sq-AL"/>
        </w:rPr>
      </w:pPr>
    </w:p>
    <w:p w14:paraId="280842EE" w14:textId="2C784D00" w:rsidR="00E6279B" w:rsidRPr="0032048B" w:rsidRDefault="00E6279B" w:rsidP="00E6279B">
      <w:pPr>
        <w:spacing w:before="62"/>
        <w:ind w:left="980" w:right="976"/>
        <w:jc w:val="both"/>
        <w:rPr>
          <w:sz w:val="24"/>
          <w:szCs w:val="24"/>
          <w:lang w:val="sq-AL"/>
        </w:rPr>
      </w:pPr>
      <w:r w:rsidRPr="0032048B">
        <w:rPr>
          <w:b/>
          <w:bCs/>
          <w:sz w:val="24"/>
          <w:szCs w:val="24"/>
          <w:lang w:val="sq-AL"/>
        </w:rPr>
        <w:t xml:space="preserve">Hidrocentralet mbeten burimi kryesor i energjisë elektrike në vend, por Shqipëria ka bërë progres të mirë në zhvillimin e sektorit të saj të energjisë elektrike. </w:t>
      </w:r>
      <w:r w:rsidRPr="0032048B">
        <w:rPr>
          <w:sz w:val="24"/>
          <w:szCs w:val="24"/>
          <w:lang w:val="sq-AL"/>
        </w:rPr>
        <w:t xml:space="preserve">Edhe pse ky është një burim i </w:t>
      </w:r>
      <w:proofErr w:type="spellStart"/>
      <w:r w:rsidRPr="0032048B">
        <w:rPr>
          <w:sz w:val="24"/>
          <w:szCs w:val="24"/>
          <w:lang w:val="sq-AL"/>
        </w:rPr>
        <w:t>rinovueshëm</w:t>
      </w:r>
      <w:proofErr w:type="spellEnd"/>
      <w:r w:rsidRPr="0032048B">
        <w:rPr>
          <w:sz w:val="24"/>
          <w:szCs w:val="24"/>
          <w:lang w:val="sq-AL"/>
        </w:rPr>
        <w:t xml:space="preserve">, hidrocentralet krijojnë varësi nga prurjet e paparashikueshme të shiut, gjë që është përkeqësuar me ndryshimet klimatike. Kjo nënkupton se nevojat e vendit për energji elektrike janë të ndryshueshme, gjë që çon në nevojën për të bërë përpjekje të mëtejshme për </w:t>
      </w:r>
      <w:proofErr w:type="spellStart"/>
      <w:r w:rsidRPr="0032048B">
        <w:rPr>
          <w:sz w:val="24"/>
          <w:szCs w:val="24"/>
          <w:lang w:val="sq-AL"/>
        </w:rPr>
        <w:t>diversifikimin</w:t>
      </w:r>
      <w:proofErr w:type="spellEnd"/>
      <w:r w:rsidRPr="0032048B">
        <w:rPr>
          <w:sz w:val="24"/>
          <w:szCs w:val="24"/>
          <w:lang w:val="sq-AL"/>
        </w:rPr>
        <w:t xml:space="preserve"> e burimeve të energjisë elektrike. Shqipëria ka për synim të rrisë kapacitetin e prodhimit të energjisë diellore me 1 GW dhe ka dhënë dy kontrata për ferma </w:t>
      </w:r>
      <w:proofErr w:type="spellStart"/>
      <w:r w:rsidRPr="0032048B">
        <w:rPr>
          <w:sz w:val="24"/>
          <w:szCs w:val="24"/>
          <w:lang w:val="sq-AL"/>
        </w:rPr>
        <w:t>fotovoltaike</w:t>
      </w:r>
      <w:proofErr w:type="spellEnd"/>
      <w:r w:rsidRPr="0032048B">
        <w:rPr>
          <w:sz w:val="24"/>
          <w:szCs w:val="24"/>
          <w:lang w:val="sq-AL"/>
        </w:rPr>
        <w:t xml:space="preserve"> diellore me kapacitet 240 GW përmes ankandit të energjisë diellore. Gjithashtu, ankandet e para për energjinë e erës rezultuan në kontrata për instalimin e 222,5 MW në korrik të vitit 2023. Këto janë hapa të rëndësishëm për zvogëlimin e varësisë prej 98% të Shqipërisë nga prodhimi hidroelektrik. Legjislacioni i sektorit energjetik</w:t>
      </w:r>
      <w:hyperlink w:anchor="_bookmark27" w:history="1">
        <w:r w:rsidRPr="0032048B">
          <w:rPr>
            <w:sz w:val="24"/>
            <w:szCs w:val="24"/>
            <w:vertAlign w:val="superscript"/>
            <w:lang w:val="sq-AL"/>
          </w:rPr>
          <w:t>13</w:t>
        </w:r>
      </w:hyperlink>
      <w:r w:rsidRPr="0032048B">
        <w:rPr>
          <w:sz w:val="24"/>
          <w:szCs w:val="24"/>
          <w:lang w:val="sq-AL"/>
        </w:rPr>
        <w:t xml:space="preserve">është ndryshuar për të përmirësuar përafrimin me </w:t>
      </w:r>
      <w:proofErr w:type="spellStart"/>
      <w:r w:rsidRPr="0032048B">
        <w:rPr>
          <w:sz w:val="24"/>
          <w:szCs w:val="24"/>
          <w:lang w:val="sq-AL"/>
        </w:rPr>
        <w:t>acquis</w:t>
      </w:r>
      <w:proofErr w:type="spellEnd"/>
      <w:r w:rsidRPr="0032048B">
        <w:rPr>
          <w:sz w:val="24"/>
          <w:szCs w:val="24"/>
          <w:lang w:val="sq-AL"/>
        </w:rPr>
        <w:t>-të e BE-së për energjinë, siç kërkohet nga Sekretariati i Komunitetit të Energjisë. Kjo mundëson ndarjen efektive të operatorit të sistemit shpërndarës të energjisë elektrike nga operatori prodhues. Bursa e Energjisë (ALPEX) mbajti ankandin e parë për energjinë elektrike drejtpërsëdrejti në prill të vitit 2023.</w:t>
      </w:r>
      <w:r w:rsidR="004D53EC">
        <w:rPr>
          <w:sz w:val="24"/>
          <w:szCs w:val="24"/>
          <w:lang w:val="sq-AL"/>
        </w:rPr>
        <w:t xml:space="preserve"> </w:t>
      </w:r>
      <w:r w:rsidRPr="0032048B">
        <w:rPr>
          <w:sz w:val="24"/>
          <w:szCs w:val="24"/>
          <w:lang w:val="sq-AL"/>
        </w:rPr>
        <w:t xml:space="preserve">ALPEX është një kompani e përbashkët, në pronësi të operatorëve të sistemit të transmetimit në Shqipëri (OST) dhe Kosovë (KOSTT), të cilët ruajnë funksionimin e tregjeve të ditës së mëparshme dhe ditës përkatëse. Sinjalet e çmimit transparent mund të ofrohen për investimet në energjinë e </w:t>
      </w:r>
      <w:proofErr w:type="spellStart"/>
      <w:r w:rsidRPr="0032048B">
        <w:rPr>
          <w:sz w:val="24"/>
          <w:szCs w:val="24"/>
          <w:lang w:val="sq-AL"/>
        </w:rPr>
        <w:t>rinovueshme</w:t>
      </w:r>
      <w:proofErr w:type="spellEnd"/>
      <w:r w:rsidRPr="0032048B">
        <w:rPr>
          <w:sz w:val="24"/>
          <w:szCs w:val="24"/>
          <w:lang w:val="sq-AL"/>
        </w:rPr>
        <w:t xml:space="preserve"> përmes ALPEX, edhe pse çmimet e energjisë elektrike me pakicë nuk janë liberalizuar për të gjithë klientët. Ligji i miratuar së fundmi për burimet e energjisë së </w:t>
      </w:r>
      <w:proofErr w:type="spellStart"/>
      <w:r w:rsidRPr="0032048B">
        <w:rPr>
          <w:sz w:val="24"/>
          <w:szCs w:val="24"/>
          <w:lang w:val="sq-AL"/>
        </w:rPr>
        <w:t>rinovueshme</w:t>
      </w:r>
      <w:proofErr w:type="spellEnd"/>
      <w:r w:rsidRPr="0032048B">
        <w:rPr>
          <w:sz w:val="24"/>
          <w:szCs w:val="24"/>
          <w:lang w:val="sq-AL"/>
        </w:rPr>
        <w:t xml:space="preserve"> dhe iniciativat e reja për familjet për instalimin e paneleve diellore dhe ngrohësve me ujë pritet që të ndihmojnë në arritjen e objektivave të energjisë së </w:t>
      </w:r>
      <w:proofErr w:type="spellStart"/>
      <w:r w:rsidRPr="0032048B">
        <w:rPr>
          <w:sz w:val="24"/>
          <w:szCs w:val="24"/>
          <w:lang w:val="sq-AL"/>
        </w:rPr>
        <w:t>rinovueshme</w:t>
      </w:r>
      <w:proofErr w:type="spellEnd"/>
      <w:r w:rsidRPr="0032048B">
        <w:rPr>
          <w:sz w:val="24"/>
          <w:szCs w:val="24"/>
          <w:lang w:val="sq-AL"/>
        </w:rPr>
        <w:t xml:space="preserve"> në planin kombëtar të energjisë dhe klimës për vitet 2020-2030 për </w:t>
      </w:r>
      <w:proofErr w:type="spellStart"/>
      <w:r w:rsidRPr="0032048B">
        <w:rPr>
          <w:sz w:val="24"/>
          <w:szCs w:val="24"/>
          <w:lang w:val="sq-AL"/>
        </w:rPr>
        <w:t>eficiencën</w:t>
      </w:r>
      <w:proofErr w:type="spellEnd"/>
      <w:r w:rsidRPr="0032048B">
        <w:rPr>
          <w:sz w:val="24"/>
          <w:szCs w:val="24"/>
          <w:lang w:val="sq-AL"/>
        </w:rPr>
        <w:t xml:space="preserve"> energjetike.</w:t>
      </w:r>
    </w:p>
    <w:p w14:paraId="5FFC6DBD" w14:textId="77777777" w:rsidR="00E6279B" w:rsidRPr="0032048B" w:rsidRDefault="00E6279B" w:rsidP="00E6279B">
      <w:pPr>
        <w:spacing w:before="119"/>
        <w:ind w:left="980"/>
        <w:jc w:val="both"/>
        <w:rPr>
          <w:sz w:val="24"/>
          <w:szCs w:val="24"/>
          <w:lang w:val="sq-AL"/>
        </w:rPr>
      </w:pPr>
      <w:r w:rsidRPr="0032048B">
        <w:rPr>
          <w:spacing w:val="-2"/>
          <w:sz w:val="24"/>
          <w:szCs w:val="24"/>
          <w:u w:val="single"/>
          <w:lang w:val="sq-AL"/>
        </w:rPr>
        <w:t>Struktura sektoriale dhe e ndërmarrjeve</w:t>
      </w:r>
    </w:p>
    <w:p w14:paraId="720ADE39" w14:textId="039DC7D4" w:rsidR="00E6279B" w:rsidRPr="0032048B" w:rsidRDefault="00E6279B" w:rsidP="00E6279B">
      <w:pPr>
        <w:spacing w:before="120"/>
        <w:ind w:left="980" w:right="976"/>
        <w:jc w:val="both"/>
        <w:rPr>
          <w:sz w:val="24"/>
          <w:szCs w:val="24"/>
          <w:lang w:val="sq-AL"/>
        </w:rPr>
      </w:pPr>
      <w:r w:rsidRPr="0032048B">
        <w:rPr>
          <w:b/>
          <w:sz w:val="24"/>
          <w:szCs w:val="24"/>
          <w:lang w:val="sq-AL"/>
        </w:rPr>
        <w:t xml:space="preserve">Struktura ekonomike vazhdoi të ndahet gradualisht nga bujqësia, duke shkuar drejt ndërtimit, prodhimit dhe shërbimeve. </w:t>
      </w:r>
      <w:r w:rsidRPr="0032048B">
        <w:rPr>
          <w:bCs/>
          <w:sz w:val="24"/>
          <w:szCs w:val="24"/>
          <w:lang w:val="sq-AL"/>
        </w:rPr>
        <w:t xml:space="preserve">Pjesa në vlerën e shtuar bruto në sektorin bujqësor u ul nga </w:t>
      </w:r>
      <w:r w:rsidRPr="0032048B">
        <w:rPr>
          <w:sz w:val="24"/>
          <w:szCs w:val="24"/>
          <w:lang w:val="sq-AL"/>
        </w:rPr>
        <w:t>22,9% në 21% në periudhën 2014 -2019. Ajo u rrit pak në vlerën 21,3% në vitin 2022, por mbeti më e lartë se në sektorë të tjerë, duke kaluar ndjeshëm pjesën e prodhimit edhe pse ky sektor ka pësuar rritje graduale (në 7,5% në vitin 2022). Shtimi në ndërthurjen e shërbimeve me 2,7 pikë përqindje në periudhën 2015-2019 në 55,4% të rezervave të vlerës së shtuar bruto në vitin 2020, dhe u ul në 54,1% në vitin 2022. Në pjesën e shërbimeve, kategoria ‘tregti me shumicë dhe pakicë, shërbime transporti, akomodimi dhe ushqimi’ regjistroi një rritje të fuqishme 1,9 pikë përqindje në vitin 2022 krahasuar me vitin 2021, ndërkohë që kategoria 'administrim publik dhe</w:t>
      </w:r>
      <w:r w:rsidR="004D53EC">
        <w:rPr>
          <w:sz w:val="24"/>
          <w:szCs w:val="24"/>
          <w:lang w:val="sq-AL"/>
        </w:rPr>
        <w:t xml:space="preserve"> </w:t>
      </w:r>
      <w:r w:rsidRPr="0032048B">
        <w:rPr>
          <w:sz w:val="24"/>
          <w:szCs w:val="24"/>
          <w:lang w:val="sq-AL"/>
        </w:rPr>
        <w:t xml:space="preserve">mbrojtje; </w:t>
      </w:r>
      <w:proofErr w:type="spellStart"/>
      <w:r w:rsidRPr="0032048B">
        <w:rPr>
          <w:sz w:val="24"/>
          <w:szCs w:val="24"/>
          <w:lang w:val="sq-AL"/>
        </w:rPr>
        <w:t>siguracion</w:t>
      </w:r>
      <w:proofErr w:type="spellEnd"/>
      <w:r w:rsidRPr="0032048B">
        <w:rPr>
          <w:sz w:val="24"/>
          <w:szCs w:val="24"/>
          <w:lang w:val="sq-AL"/>
        </w:rPr>
        <w:t xml:space="preserve"> social i detyruar; arsim; shëndet dhe aktivitetet e punëve sociale’ pësoi rënie. Duke pasur aktivitete më të mëdha investuese, pjesa e sektorit të ndërtimit në vlerën e shtuar bruto u rrit me 11,2% në vitin 2022, rreth 1 pikë përqindje më shumë se vlera mesatare në periudhën 2015-2019. Bujqësia siguroi 33,7% të nivelit të punësimit në vitin 2021, më pak se 36% në vitin 2019 dhe 2020, por që gjithsesi përbën më </w:t>
      </w:r>
      <w:r w:rsidRPr="0032048B">
        <w:rPr>
          <w:sz w:val="24"/>
          <w:szCs w:val="24"/>
          <w:lang w:val="sq-AL"/>
        </w:rPr>
        <w:lastRenderedPageBreak/>
        <w:t>shumë se 50% të punësimit në më shumë se gjysmën e prefekturave të Shqipërisë.</w:t>
      </w:r>
    </w:p>
    <w:p w14:paraId="25FC267F" w14:textId="77777777" w:rsidR="00E6279B" w:rsidRPr="0032048B" w:rsidRDefault="00E6279B" w:rsidP="00E6279B">
      <w:pPr>
        <w:spacing w:before="62"/>
        <w:ind w:left="980" w:right="979"/>
        <w:jc w:val="both"/>
        <w:rPr>
          <w:sz w:val="24"/>
          <w:szCs w:val="24"/>
          <w:lang w:val="sq-AL"/>
        </w:rPr>
      </w:pPr>
      <w:r w:rsidRPr="0032048B">
        <w:rPr>
          <w:sz w:val="24"/>
          <w:szCs w:val="24"/>
          <w:lang w:val="sq-AL"/>
        </w:rPr>
        <w:t>Pjesa e prodhimit në punësimin total u shtua pak me 11,2% në vitin 2021, ndërkohë që pjesa e shërbimeve u rrit me 44,4%.</w:t>
      </w:r>
    </w:p>
    <w:p w14:paraId="555D9E4B" w14:textId="77777777" w:rsidR="00E6279B" w:rsidRPr="0032048B" w:rsidRDefault="00E6279B" w:rsidP="00E6279B">
      <w:pPr>
        <w:spacing w:before="120"/>
        <w:ind w:left="980" w:right="976"/>
        <w:jc w:val="both"/>
        <w:rPr>
          <w:sz w:val="24"/>
          <w:szCs w:val="24"/>
          <w:lang w:val="sq-AL"/>
        </w:rPr>
      </w:pPr>
      <w:r w:rsidRPr="0032048B">
        <w:rPr>
          <w:b/>
          <w:sz w:val="24"/>
          <w:szCs w:val="24"/>
          <w:lang w:val="sq-AL"/>
        </w:rPr>
        <w:t xml:space="preserve">Regjistrimi tatimor i bizneseve dhe fermerëve vazhdoi të rritet. </w:t>
      </w:r>
      <w:r w:rsidRPr="0032048B">
        <w:rPr>
          <w:bCs/>
          <w:sz w:val="24"/>
          <w:szCs w:val="24"/>
          <w:lang w:val="sq-AL"/>
        </w:rPr>
        <w:t xml:space="preserve">Regjistrimi tatimor i fermerëve u rrit me </w:t>
      </w:r>
      <w:r w:rsidRPr="0032048B">
        <w:rPr>
          <w:sz w:val="24"/>
          <w:szCs w:val="24"/>
          <w:lang w:val="sq-AL"/>
        </w:rPr>
        <w:t xml:space="preserve">34,1% në vitin 2022, me shumë gjasa falë skemës mbështetëse për kostot e karburantit për fermerët, ndërkohë që numri i sipërmarrjeve aktive jobujqësore të regjistruara u rrit me 5,6%. Një total prej 92,6% sipërmarrjesh aktive punësuan më pak se 10 njerëz (85,6% punësuan 1 në 4 persona), 5,7% kishin 10-49 punonjës, ndërkohë që 1,6% e sipërmarrjeve kishin 50 apo më shumë punonjës dhe përbënin 50,6% të punësimit total. Përqindja e sipërmarrjeve të regjistruara që ofrojnë shërbime (85,6%) nuk ka ndryshuar nga viti 2021. Ka përqendrim të lartë (64,8%) të sipërmarrjeve aktive në prefekturat e Tiranës, Durrësit dhe Vlorës, të cilat mbulojnë 50% të popullsisë. Në total, 5,3% e sipërmarrjeve aktive janë në bashkëpronësi apo në pronësi të </w:t>
      </w:r>
      <w:proofErr w:type="spellStart"/>
      <w:r w:rsidRPr="0032048B">
        <w:rPr>
          <w:sz w:val="24"/>
          <w:szCs w:val="24"/>
          <w:lang w:val="sq-AL"/>
        </w:rPr>
        <w:t>të</w:t>
      </w:r>
      <w:proofErr w:type="spellEnd"/>
      <w:r w:rsidRPr="0032048B">
        <w:rPr>
          <w:sz w:val="24"/>
          <w:szCs w:val="24"/>
          <w:lang w:val="sq-AL"/>
        </w:rPr>
        <w:t xml:space="preserve"> huajve, duke kontribuar në 12,5% të punësimit, shumica (62,7%) kanë pronarë nga Evropa, veçanërisht nga Italia dhe Greqia.</w:t>
      </w:r>
    </w:p>
    <w:p w14:paraId="038E7A04" w14:textId="77777777" w:rsidR="00E6279B" w:rsidRPr="0032048B" w:rsidRDefault="00E6279B" w:rsidP="00E6279B">
      <w:pPr>
        <w:spacing w:before="120"/>
        <w:ind w:left="980"/>
        <w:jc w:val="both"/>
        <w:rPr>
          <w:sz w:val="24"/>
          <w:szCs w:val="24"/>
          <w:lang w:val="sq-AL"/>
        </w:rPr>
      </w:pPr>
      <w:r w:rsidRPr="0032048B">
        <w:rPr>
          <w:spacing w:val="-2"/>
          <w:sz w:val="24"/>
          <w:szCs w:val="24"/>
          <w:u w:val="single"/>
          <w:lang w:val="sq-AL"/>
        </w:rPr>
        <w:t xml:space="preserve">Integrimi ekonomik me BE-në dhe </w:t>
      </w:r>
      <w:proofErr w:type="spellStart"/>
      <w:r w:rsidRPr="0032048B">
        <w:rPr>
          <w:spacing w:val="-2"/>
          <w:sz w:val="24"/>
          <w:szCs w:val="24"/>
          <w:u w:val="single"/>
          <w:lang w:val="sq-AL"/>
        </w:rPr>
        <w:t>konkurrueshmëria</w:t>
      </w:r>
      <w:proofErr w:type="spellEnd"/>
      <w:r w:rsidRPr="0032048B">
        <w:rPr>
          <w:spacing w:val="-2"/>
          <w:sz w:val="24"/>
          <w:szCs w:val="24"/>
          <w:u w:val="single"/>
          <w:lang w:val="sq-AL"/>
        </w:rPr>
        <w:t xml:space="preserve"> e çmimeve</w:t>
      </w:r>
    </w:p>
    <w:p w14:paraId="0BEBABF8" w14:textId="77777777" w:rsidR="00E6279B" w:rsidRPr="0032048B" w:rsidRDefault="00E6279B" w:rsidP="00E6279B">
      <w:pPr>
        <w:spacing w:before="120"/>
        <w:ind w:left="979" w:right="976"/>
        <w:jc w:val="both"/>
        <w:rPr>
          <w:sz w:val="24"/>
          <w:szCs w:val="24"/>
          <w:lang w:val="sq-AL"/>
        </w:rPr>
      </w:pPr>
      <w:r w:rsidRPr="0032048B">
        <w:rPr>
          <w:b/>
          <w:sz w:val="24"/>
          <w:szCs w:val="24"/>
          <w:lang w:val="sq-AL"/>
        </w:rPr>
        <w:t>BE-ja mbetet partneri tregtar dhe investuar kryesor i Shqipërisë.</w:t>
      </w:r>
      <w:r w:rsidRPr="0032048B">
        <w:rPr>
          <w:bCs/>
          <w:sz w:val="24"/>
          <w:szCs w:val="24"/>
          <w:lang w:val="sq-AL"/>
        </w:rPr>
        <w:t xml:space="preserve"> Hapja e tregut (shuma e eksporteve dhe importeve si pjesë e PBB-së) kishte vlerën mesatare prej </w:t>
      </w:r>
      <w:r w:rsidRPr="0032048B">
        <w:rPr>
          <w:sz w:val="24"/>
          <w:szCs w:val="24"/>
          <w:lang w:val="sq-AL"/>
        </w:rPr>
        <w:t xml:space="preserve">75,7% të PBB-së në periudhën 2015-2019. Pas një rënieje në vitin 2020, ajo u rrit nga 74,7% e PBB-së në vitin 2021 në 88,5% të PBB-së në vitin 2022, e shtyrë nga rritja e fuqishme e eksportit dhe importit, e cila u rrit në vlerën 37,5% dhe 49,6% të PBB-së përkatësisht. Pavarësisht rritjes së kontributit të eksporteve në PBB (deri në 10 pikë përqindje që nga vitit 2015), ajo mbetet më e ulëta në rajon, kryesisht për shkak të nivelit shumë të ulët të eksportit të mallrave. Eksportet kryesohen nga shërbimet, kryesisht lidhur me turizmin. BE-ja mbetet </w:t>
      </w:r>
      <w:proofErr w:type="spellStart"/>
      <w:r w:rsidRPr="0032048B">
        <w:rPr>
          <w:sz w:val="24"/>
          <w:szCs w:val="24"/>
          <w:lang w:val="sq-AL"/>
        </w:rPr>
        <w:t>destinacioni</w:t>
      </w:r>
      <w:proofErr w:type="spellEnd"/>
      <w:r w:rsidRPr="0032048B">
        <w:rPr>
          <w:sz w:val="24"/>
          <w:szCs w:val="24"/>
          <w:lang w:val="sq-AL"/>
        </w:rPr>
        <w:t xml:space="preserve"> kryesor për eksportin e mallrave dhe shërbimeve (të dhëna të vitit 2020). Eksporti i mallrave të Shqipërisë në BE u rrit në vitin 2022, duke ndaluar kështu trendin rënës të 5 viteve të mëparshme, por importi i Shqipërisë në BE vazhdon të ulet. Tregtia e mallrave me vende të Marrëveshjes për Tregtinë e Lirë në Evropën Qendrore (CEFTA) pësoi rënie, veçanërisht për shkak të rënies me 2 pikë përqindje në eksportet e Shqipërisë. Flukset hyrëse të FDI-ve nga BE-ja pësuan rritje me 30% të shumës totale në periudhën 2015-2018 në 51% në periudhën 2019-2022. Midis këtyre dy periudhave, flukset hyrëse të Zvicrës dhe Turqisë, të cilat dikur ishin burimi i flukseve hyrëse të dytë dhe të tretë më të lartë, u ulën nga 33,7% e totalit në 11,4% dhe nga 8% në 7,6% përkatësisht. Pjesa e BE-së në flukset e FDI-ve mbeti e lartë në 54,4%. Në janar të vitit 2022, u krijua një grup pune ndërministror për të hartuar një program për promovimin e eksportit 2022-2027, që pritet të finalizohet në vitin 2023. Norma reale dhe efektive e këmbimit u rrit me një vlerë mesatare prej 0,5</w:t>
      </w:r>
      <w:r w:rsidRPr="0032048B">
        <w:rPr>
          <w:spacing w:val="-2"/>
          <w:sz w:val="24"/>
          <w:szCs w:val="24"/>
          <w:lang w:val="sq-AL"/>
        </w:rPr>
        <w:t xml:space="preserve"> </w:t>
      </w:r>
      <w:r w:rsidRPr="0032048B">
        <w:rPr>
          <w:sz w:val="24"/>
          <w:szCs w:val="24"/>
          <w:lang w:val="sq-AL"/>
        </w:rPr>
        <w:t>%</w:t>
      </w:r>
      <w:r w:rsidRPr="0032048B">
        <w:rPr>
          <w:spacing w:val="-1"/>
          <w:sz w:val="24"/>
          <w:szCs w:val="24"/>
          <w:lang w:val="sq-AL"/>
        </w:rPr>
        <w:t xml:space="preserve"> në vitin </w:t>
      </w:r>
      <w:r w:rsidRPr="0032048B">
        <w:rPr>
          <w:sz w:val="24"/>
          <w:szCs w:val="24"/>
          <w:lang w:val="sq-AL"/>
        </w:rPr>
        <w:t>2022, por me 2,6% në tre-mujorin e parë të viti 2023 (krahasuar me vlerën mesatare të vitit 2022).</w:t>
      </w:r>
    </w:p>
    <w:p w14:paraId="6B310BA1" w14:textId="77777777" w:rsidR="00E6279B" w:rsidRPr="0032048B" w:rsidRDefault="00E6279B" w:rsidP="00E6279B">
      <w:pPr>
        <w:spacing w:before="4"/>
        <w:rPr>
          <w:sz w:val="8"/>
          <w:szCs w:val="24"/>
          <w:highlight w:val="yellow"/>
          <w:lang w:val="sq-AL"/>
        </w:rPr>
      </w:pPr>
      <w:r w:rsidRPr="0032048B">
        <w:rPr>
          <w:sz w:val="24"/>
          <w:szCs w:val="24"/>
          <w:highlight w:val="yellow"/>
          <w:lang w:val="sq-AL"/>
        </w:rPr>
        <mc:AlternateContent>
          <mc:Choice Requires="wpg">
            <w:drawing>
              <wp:anchor distT="0" distB="0" distL="0" distR="0" simplePos="0" relativeHeight="251673600" behindDoc="1" locked="0" layoutInCell="1" allowOverlap="1" wp14:anchorId="6BAC754C" wp14:editId="521CCD82">
                <wp:simplePos x="0" y="0"/>
                <wp:positionH relativeFrom="page">
                  <wp:posOffset>915170</wp:posOffset>
                </wp:positionH>
                <wp:positionV relativeFrom="paragraph">
                  <wp:posOffset>76713</wp:posOffset>
                </wp:positionV>
                <wp:extent cx="5471795" cy="1562735"/>
                <wp:effectExtent l="0" t="0" r="0" b="0"/>
                <wp:wrapTopAndBottom/>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1795" cy="1562735"/>
                          <a:chOff x="0" y="0"/>
                          <a:chExt cx="5471795" cy="1562735"/>
                        </a:xfrm>
                      </wpg:grpSpPr>
                      <wps:wsp>
                        <wps:cNvPr id="191" name="Graphic 191"/>
                        <wps:cNvSpPr/>
                        <wps:spPr>
                          <a:xfrm>
                            <a:off x="316411" y="839244"/>
                            <a:ext cx="2163445" cy="321310"/>
                          </a:xfrm>
                          <a:custGeom>
                            <a:avLst/>
                            <a:gdLst/>
                            <a:ahLst/>
                            <a:cxnLst/>
                            <a:rect l="l" t="t" r="r" b="b"/>
                            <a:pathLst>
                              <a:path w="2163445" h="321310">
                                <a:moveTo>
                                  <a:pt x="116865" y="77254"/>
                                </a:moveTo>
                                <a:lnTo>
                                  <a:pt x="0" y="77254"/>
                                </a:lnTo>
                                <a:lnTo>
                                  <a:pt x="0" y="321259"/>
                                </a:lnTo>
                                <a:lnTo>
                                  <a:pt x="116865" y="321259"/>
                                </a:lnTo>
                                <a:lnTo>
                                  <a:pt x="116865" y="77254"/>
                                </a:lnTo>
                                <a:close/>
                              </a:path>
                              <a:path w="2163445" h="321310">
                                <a:moveTo>
                                  <a:pt x="409460" y="74612"/>
                                </a:moveTo>
                                <a:lnTo>
                                  <a:pt x="291719" y="74612"/>
                                </a:lnTo>
                                <a:lnTo>
                                  <a:pt x="291719" y="321259"/>
                                </a:lnTo>
                                <a:lnTo>
                                  <a:pt x="409460" y="321259"/>
                                </a:lnTo>
                                <a:lnTo>
                                  <a:pt x="409460" y="74612"/>
                                </a:lnTo>
                                <a:close/>
                              </a:path>
                              <a:path w="2163445" h="321310">
                                <a:moveTo>
                                  <a:pt x="701167" y="61442"/>
                                </a:moveTo>
                                <a:lnTo>
                                  <a:pt x="584301" y="61442"/>
                                </a:lnTo>
                                <a:lnTo>
                                  <a:pt x="584301" y="321259"/>
                                </a:lnTo>
                                <a:lnTo>
                                  <a:pt x="701167" y="321259"/>
                                </a:lnTo>
                                <a:lnTo>
                                  <a:pt x="701167" y="61442"/>
                                </a:lnTo>
                                <a:close/>
                              </a:path>
                              <a:path w="2163445" h="321310">
                                <a:moveTo>
                                  <a:pt x="993762" y="44767"/>
                                </a:moveTo>
                                <a:lnTo>
                                  <a:pt x="876896" y="44767"/>
                                </a:lnTo>
                                <a:lnTo>
                                  <a:pt x="876896" y="321259"/>
                                </a:lnTo>
                                <a:lnTo>
                                  <a:pt x="993762" y="321259"/>
                                </a:lnTo>
                                <a:lnTo>
                                  <a:pt x="993762" y="44767"/>
                                </a:lnTo>
                                <a:close/>
                              </a:path>
                              <a:path w="2163445" h="321310">
                                <a:moveTo>
                                  <a:pt x="1286344" y="62331"/>
                                </a:moveTo>
                                <a:lnTo>
                                  <a:pt x="1169479" y="62331"/>
                                </a:lnTo>
                                <a:lnTo>
                                  <a:pt x="1169479" y="321259"/>
                                </a:lnTo>
                                <a:lnTo>
                                  <a:pt x="1286344" y="321259"/>
                                </a:lnTo>
                                <a:lnTo>
                                  <a:pt x="1286344" y="62331"/>
                                </a:lnTo>
                                <a:close/>
                              </a:path>
                              <a:path w="2163445" h="321310">
                                <a:moveTo>
                                  <a:pt x="1578940" y="84264"/>
                                </a:moveTo>
                                <a:lnTo>
                                  <a:pt x="1462074" y="84264"/>
                                </a:lnTo>
                                <a:lnTo>
                                  <a:pt x="1462074" y="321259"/>
                                </a:lnTo>
                                <a:lnTo>
                                  <a:pt x="1578940" y="321259"/>
                                </a:lnTo>
                                <a:lnTo>
                                  <a:pt x="1578940" y="84264"/>
                                </a:lnTo>
                                <a:close/>
                              </a:path>
                              <a:path w="2163445" h="321310">
                                <a:moveTo>
                                  <a:pt x="1870646" y="45643"/>
                                </a:moveTo>
                                <a:lnTo>
                                  <a:pt x="1753781" y="45643"/>
                                </a:lnTo>
                                <a:lnTo>
                                  <a:pt x="1753781" y="321259"/>
                                </a:lnTo>
                                <a:lnTo>
                                  <a:pt x="1870646" y="321259"/>
                                </a:lnTo>
                                <a:lnTo>
                                  <a:pt x="1870646" y="45643"/>
                                </a:lnTo>
                                <a:close/>
                              </a:path>
                              <a:path w="2163445" h="321310">
                                <a:moveTo>
                                  <a:pt x="2163241" y="0"/>
                                </a:moveTo>
                                <a:lnTo>
                                  <a:pt x="2046376" y="0"/>
                                </a:lnTo>
                                <a:lnTo>
                                  <a:pt x="2046376" y="321259"/>
                                </a:lnTo>
                                <a:lnTo>
                                  <a:pt x="2163241" y="321259"/>
                                </a:lnTo>
                                <a:lnTo>
                                  <a:pt x="2163241" y="0"/>
                                </a:lnTo>
                                <a:close/>
                              </a:path>
                            </a:pathLst>
                          </a:custGeom>
                          <a:solidFill>
                            <a:srgbClr val="FFD623"/>
                          </a:solidFill>
                        </wps:spPr>
                        <wps:bodyPr wrap="square" lIns="0" tIns="0" rIns="0" bIns="0" rtlCol="0">
                          <a:prstTxWarp prst="textNoShape">
                            <a:avLst/>
                          </a:prstTxWarp>
                          <a:noAutofit/>
                        </wps:bodyPr>
                      </wps:wsp>
                      <wps:wsp>
                        <wps:cNvPr id="192" name="Graphic 192"/>
                        <wps:cNvSpPr/>
                        <wps:spPr>
                          <a:xfrm>
                            <a:off x="316422" y="839243"/>
                            <a:ext cx="2163445" cy="321310"/>
                          </a:xfrm>
                          <a:custGeom>
                            <a:avLst/>
                            <a:gdLst/>
                            <a:ahLst/>
                            <a:cxnLst/>
                            <a:rect l="l" t="t" r="r" b="b"/>
                            <a:pathLst>
                              <a:path w="2163445" h="321310">
                                <a:moveTo>
                                  <a:pt x="0" y="77242"/>
                                </a:moveTo>
                                <a:lnTo>
                                  <a:pt x="116860" y="77242"/>
                                </a:lnTo>
                                <a:lnTo>
                                  <a:pt x="116860" y="321258"/>
                                </a:lnTo>
                                <a:lnTo>
                                  <a:pt x="0" y="321258"/>
                                </a:lnTo>
                                <a:lnTo>
                                  <a:pt x="0" y="77242"/>
                                </a:lnTo>
                                <a:close/>
                              </a:path>
                              <a:path w="2163445" h="321310">
                                <a:moveTo>
                                  <a:pt x="291711" y="74609"/>
                                </a:moveTo>
                                <a:lnTo>
                                  <a:pt x="409450" y="74609"/>
                                </a:lnTo>
                                <a:lnTo>
                                  <a:pt x="409450" y="321258"/>
                                </a:lnTo>
                                <a:lnTo>
                                  <a:pt x="291711" y="321258"/>
                                </a:lnTo>
                                <a:lnTo>
                                  <a:pt x="291711" y="74609"/>
                                </a:lnTo>
                                <a:close/>
                              </a:path>
                              <a:path w="2163445" h="321310">
                                <a:moveTo>
                                  <a:pt x="584301" y="61442"/>
                                </a:moveTo>
                                <a:lnTo>
                                  <a:pt x="701161" y="61442"/>
                                </a:lnTo>
                                <a:lnTo>
                                  <a:pt x="701161" y="321258"/>
                                </a:lnTo>
                                <a:lnTo>
                                  <a:pt x="584301" y="321258"/>
                                </a:lnTo>
                                <a:lnTo>
                                  <a:pt x="584301" y="61442"/>
                                </a:lnTo>
                                <a:close/>
                              </a:path>
                              <a:path w="2163445" h="321310">
                                <a:moveTo>
                                  <a:pt x="876890" y="44765"/>
                                </a:moveTo>
                                <a:lnTo>
                                  <a:pt x="993751" y="44765"/>
                                </a:lnTo>
                                <a:lnTo>
                                  <a:pt x="993751" y="321258"/>
                                </a:lnTo>
                                <a:lnTo>
                                  <a:pt x="876890" y="321258"/>
                                </a:lnTo>
                                <a:lnTo>
                                  <a:pt x="876890" y="44765"/>
                                </a:lnTo>
                                <a:close/>
                              </a:path>
                              <a:path w="2163445" h="321310">
                                <a:moveTo>
                                  <a:pt x="1169480" y="62320"/>
                                </a:moveTo>
                                <a:lnTo>
                                  <a:pt x="1286341" y="62320"/>
                                </a:lnTo>
                                <a:lnTo>
                                  <a:pt x="1286341" y="321258"/>
                                </a:lnTo>
                                <a:lnTo>
                                  <a:pt x="1169480" y="321258"/>
                                </a:lnTo>
                                <a:lnTo>
                                  <a:pt x="1169480" y="62320"/>
                                </a:lnTo>
                                <a:close/>
                              </a:path>
                              <a:path w="2163445" h="321310">
                                <a:moveTo>
                                  <a:pt x="1462070" y="84264"/>
                                </a:moveTo>
                                <a:lnTo>
                                  <a:pt x="1578931" y="84264"/>
                                </a:lnTo>
                                <a:lnTo>
                                  <a:pt x="1578931" y="321258"/>
                                </a:lnTo>
                                <a:lnTo>
                                  <a:pt x="1462070" y="321258"/>
                                </a:lnTo>
                                <a:lnTo>
                                  <a:pt x="1462070" y="84264"/>
                                </a:lnTo>
                                <a:close/>
                              </a:path>
                              <a:path w="2163445" h="321310">
                                <a:moveTo>
                                  <a:pt x="1753781" y="45643"/>
                                </a:moveTo>
                                <a:lnTo>
                                  <a:pt x="1870642" y="45643"/>
                                </a:lnTo>
                                <a:lnTo>
                                  <a:pt x="1870642" y="321258"/>
                                </a:lnTo>
                                <a:lnTo>
                                  <a:pt x="1753781" y="321258"/>
                                </a:lnTo>
                                <a:lnTo>
                                  <a:pt x="1753781" y="45643"/>
                                </a:lnTo>
                                <a:close/>
                              </a:path>
                              <a:path w="2163445" h="321310">
                                <a:moveTo>
                                  <a:pt x="2046371" y="0"/>
                                </a:moveTo>
                                <a:lnTo>
                                  <a:pt x="2163232" y="0"/>
                                </a:lnTo>
                                <a:lnTo>
                                  <a:pt x="2163232" y="321258"/>
                                </a:lnTo>
                                <a:lnTo>
                                  <a:pt x="2046371" y="321258"/>
                                </a:lnTo>
                                <a:lnTo>
                                  <a:pt x="2046371" y="0"/>
                                </a:lnTo>
                                <a:close/>
                              </a:path>
                            </a:pathLst>
                          </a:custGeom>
                          <a:ln w="5488">
                            <a:solidFill>
                              <a:srgbClr val="FFC000"/>
                            </a:solidFill>
                            <a:prstDash val="solid"/>
                          </a:ln>
                        </wps:spPr>
                        <wps:bodyPr wrap="square" lIns="0" tIns="0" rIns="0" bIns="0" rtlCol="0">
                          <a:prstTxWarp prst="textNoShape">
                            <a:avLst/>
                          </a:prstTxWarp>
                          <a:noAutofit/>
                        </wps:bodyPr>
                      </wps:wsp>
                      <wps:wsp>
                        <wps:cNvPr id="193" name="Graphic 193"/>
                        <wps:cNvSpPr/>
                        <wps:spPr>
                          <a:xfrm>
                            <a:off x="316411" y="766397"/>
                            <a:ext cx="2163445" cy="157480"/>
                          </a:xfrm>
                          <a:custGeom>
                            <a:avLst/>
                            <a:gdLst/>
                            <a:ahLst/>
                            <a:cxnLst/>
                            <a:rect l="l" t="t" r="r" b="b"/>
                            <a:pathLst>
                              <a:path w="2163445" h="157480">
                                <a:moveTo>
                                  <a:pt x="116865" y="103568"/>
                                </a:moveTo>
                                <a:lnTo>
                                  <a:pt x="0" y="103568"/>
                                </a:lnTo>
                                <a:lnTo>
                                  <a:pt x="0" y="150101"/>
                                </a:lnTo>
                                <a:lnTo>
                                  <a:pt x="116865" y="150101"/>
                                </a:lnTo>
                                <a:lnTo>
                                  <a:pt x="116865" y="103568"/>
                                </a:lnTo>
                                <a:close/>
                              </a:path>
                              <a:path w="2163445" h="157480">
                                <a:moveTo>
                                  <a:pt x="409460" y="104457"/>
                                </a:moveTo>
                                <a:lnTo>
                                  <a:pt x="291719" y="104457"/>
                                </a:lnTo>
                                <a:lnTo>
                                  <a:pt x="291719" y="147459"/>
                                </a:lnTo>
                                <a:lnTo>
                                  <a:pt x="409460" y="147459"/>
                                </a:lnTo>
                                <a:lnTo>
                                  <a:pt x="409460" y="104457"/>
                                </a:lnTo>
                                <a:close/>
                              </a:path>
                              <a:path w="2163445" h="157480">
                                <a:moveTo>
                                  <a:pt x="701179" y="84264"/>
                                </a:moveTo>
                                <a:lnTo>
                                  <a:pt x="584314" y="84264"/>
                                </a:lnTo>
                                <a:lnTo>
                                  <a:pt x="584314" y="134302"/>
                                </a:lnTo>
                                <a:lnTo>
                                  <a:pt x="701179" y="134302"/>
                                </a:lnTo>
                                <a:lnTo>
                                  <a:pt x="701179" y="84264"/>
                                </a:lnTo>
                                <a:close/>
                              </a:path>
                              <a:path w="2163445" h="157480">
                                <a:moveTo>
                                  <a:pt x="993775" y="58813"/>
                                </a:moveTo>
                                <a:lnTo>
                                  <a:pt x="876909" y="58813"/>
                                </a:lnTo>
                                <a:lnTo>
                                  <a:pt x="876909" y="117614"/>
                                </a:lnTo>
                                <a:lnTo>
                                  <a:pt x="993775" y="117614"/>
                                </a:lnTo>
                                <a:lnTo>
                                  <a:pt x="993775" y="58813"/>
                                </a:lnTo>
                                <a:close/>
                              </a:path>
                              <a:path w="2163445" h="157480">
                                <a:moveTo>
                                  <a:pt x="1286370" y="77241"/>
                                </a:moveTo>
                                <a:lnTo>
                                  <a:pt x="1169504" y="77241"/>
                                </a:lnTo>
                                <a:lnTo>
                                  <a:pt x="1169504" y="135178"/>
                                </a:lnTo>
                                <a:lnTo>
                                  <a:pt x="1286370" y="135178"/>
                                </a:lnTo>
                                <a:lnTo>
                                  <a:pt x="1286370" y="77241"/>
                                </a:lnTo>
                                <a:close/>
                              </a:path>
                              <a:path w="2163445" h="157480">
                                <a:moveTo>
                                  <a:pt x="1578965" y="100939"/>
                                </a:moveTo>
                                <a:lnTo>
                                  <a:pt x="1462100" y="100939"/>
                                </a:lnTo>
                                <a:lnTo>
                                  <a:pt x="1462100" y="157111"/>
                                </a:lnTo>
                                <a:lnTo>
                                  <a:pt x="1578965" y="157111"/>
                                </a:lnTo>
                                <a:lnTo>
                                  <a:pt x="1578965" y="100939"/>
                                </a:lnTo>
                                <a:close/>
                              </a:path>
                              <a:path w="2163445" h="157480">
                                <a:moveTo>
                                  <a:pt x="1870671" y="47396"/>
                                </a:moveTo>
                                <a:lnTo>
                                  <a:pt x="1753819" y="47396"/>
                                </a:lnTo>
                                <a:lnTo>
                                  <a:pt x="1753819" y="118491"/>
                                </a:lnTo>
                                <a:lnTo>
                                  <a:pt x="1870671" y="118491"/>
                                </a:lnTo>
                                <a:lnTo>
                                  <a:pt x="1870671" y="47396"/>
                                </a:lnTo>
                                <a:close/>
                              </a:path>
                              <a:path w="2163445" h="157480">
                                <a:moveTo>
                                  <a:pt x="2163267" y="0"/>
                                </a:moveTo>
                                <a:lnTo>
                                  <a:pt x="2046414" y="0"/>
                                </a:lnTo>
                                <a:lnTo>
                                  <a:pt x="2046414" y="72847"/>
                                </a:lnTo>
                                <a:lnTo>
                                  <a:pt x="2163267" y="72847"/>
                                </a:lnTo>
                                <a:lnTo>
                                  <a:pt x="2163267" y="0"/>
                                </a:lnTo>
                                <a:close/>
                              </a:path>
                            </a:pathLst>
                          </a:custGeom>
                          <a:solidFill>
                            <a:srgbClr val="353A73"/>
                          </a:solidFill>
                        </wps:spPr>
                        <wps:bodyPr wrap="square" lIns="0" tIns="0" rIns="0" bIns="0" rtlCol="0">
                          <a:prstTxWarp prst="textNoShape">
                            <a:avLst/>
                          </a:prstTxWarp>
                          <a:noAutofit/>
                        </wps:bodyPr>
                      </wps:wsp>
                      <wps:wsp>
                        <wps:cNvPr id="194" name="Graphic 194"/>
                        <wps:cNvSpPr/>
                        <wps:spPr>
                          <a:xfrm>
                            <a:off x="316411" y="723382"/>
                            <a:ext cx="2163445" cy="147955"/>
                          </a:xfrm>
                          <a:custGeom>
                            <a:avLst/>
                            <a:gdLst/>
                            <a:ahLst/>
                            <a:cxnLst/>
                            <a:rect l="l" t="t" r="r" b="b"/>
                            <a:pathLst>
                              <a:path w="2163445" h="147955">
                                <a:moveTo>
                                  <a:pt x="116865" y="112356"/>
                                </a:moveTo>
                                <a:lnTo>
                                  <a:pt x="0" y="112356"/>
                                </a:lnTo>
                                <a:lnTo>
                                  <a:pt x="0" y="146583"/>
                                </a:lnTo>
                                <a:lnTo>
                                  <a:pt x="116865" y="146583"/>
                                </a:lnTo>
                                <a:lnTo>
                                  <a:pt x="116865" y="112356"/>
                                </a:lnTo>
                                <a:close/>
                              </a:path>
                              <a:path w="2163445" h="147955">
                                <a:moveTo>
                                  <a:pt x="409460" y="120256"/>
                                </a:moveTo>
                                <a:lnTo>
                                  <a:pt x="291719" y="120256"/>
                                </a:lnTo>
                                <a:lnTo>
                                  <a:pt x="291719" y="147459"/>
                                </a:lnTo>
                                <a:lnTo>
                                  <a:pt x="409460" y="147459"/>
                                </a:lnTo>
                                <a:lnTo>
                                  <a:pt x="409460" y="120256"/>
                                </a:lnTo>
                                <a:close/>
                              </a:path>
                              <a:path w="2163445" h="147955">
                                <a:moveTo>
                                  <a:pt x="701179" y="99187"/>
                                </a:moveTo>
                                <a:lnTo>
                                  <a:pt x="584314" y="99187"/>
                                </a:lnTo>
                                <a:lnTo>
                                  <a:pt x="584314" y="127279"/>
                                </a:lnTo>
                                <a:lnTo>
                                  <a:pt x="701179" y="127279"/>
                                </a:lnTo>
                                <a:lnTo>
                                  <a:pt x="701179" y="99187"/>
                                </a:lnTo>
                                <a:close/>
                              </a:path>
                              <a:path w="2163445" h="147955">
                                <a:moveTo>
                                  <a:pt x="993775" y="73736"/>
                                </a:moveTo>
                                <a:lnTo>
                                  <a:pt x="876909" y="73736"/>
                                </a:lnTo>
                                <a:lnTo>
                                  <a:pt x="876909" y="101815"/>
                                </a:lnTo>
                                <a:lnTo>
                                  <a:pt x="993775" y="101815"/>
                                </a:lnTo>
                                <a:lnTo>
                                  <a:pt x="993775" y="73736"/>
                                </a:lnTo>
                                <a:close/>
                              </a:path>
                              <a:path w="2163445" h="147955">
                                <a:moveTo>
                                  <a:pt x="1286370" y="98310"/>
                                </a:moveTo>
                                <a:lnTo>
                                  <a:pt x="1169504" y="98310"/>
                                </a:lnTo>
                                <a:lnTo>
                                  <a:pt x="1169504" y="120256"/>
                                </a:lnTo>
                                <a:lnTo>
                                  <a:pt x="1286370" y="120256"/>
                                </a:lnTo>
                                <a:lnTo>
                                  <a:pt x="1286370" y="98310"/>
                                </a:lnTo>
                                <a:close/>
                              </a:path>
                              <a:path w="2163445" h="147955">
                                <a:moveTo>
                                  <a:pt x="1578965" y="120256"/>
                                </a:moveTo>
                                <a:lnTo>
                                  <a:pt x="1462100" y="120256"/>
                                </a:lnTo>
                                <a:lnTo>
                                  <a:pt x="1462100" y="143954"/>
                                </a:lnTo>
                                <a:lnTo>
                                  <a:pt x="1578965" y="143954"/>
                                </a:lnTo>
                                <a:lnTo>
                                  <a:pt x="1578965" y="120256"/>
                                </a:lnTo>
                                <a:close/>
                              </a:path>
                              <a:path w="2163445" h="147955">
                                <a:moveTo>
                                  <a:pt x="1870671" y="56172"/>
                                </a:moveTo>
                                <a:lnTo>
                                  <a:pt x="1753819" y="56172"/>
                                </a:lnTo>
                                <a:lnTo>
                                  <a:pt x="1753819" y="90411"/>
                                </a:lnTo>
                                <a:lnTo>
                                  <a:pt x="1870671" y="90411"/>
                                </a:lnTo>
                                <a:lnTo>
                                  <a:pt x="1870671" y="56172"/>
                                </a:lnTo>
                                <a:close/>
                              </a:path>
                              <a:path w="2163445" h="147955">
                                <a:moveTo>
                                  <a:pt x="2163267" y="0"/>
                                </a:moveTo>
                                <a:lnTo>
                                  <a:pt x="2046414" y="0"/>
                                </a:lnTo>
                                <a:lnTo>
                                  <a:pt x="2046414" y="43014"/>
                                </a:lnTo>
                                <a:lnTo>
                                  <a:pt x="2163267" y="43014"/>
                                </a:lnTo>
                                <a:lnTo>
                                  <a:pt x="2163267" y="0"/>
                                </a:lnTo>
                                <a:close/>
                              </a:path>
                            </a:pathLst>
                          </a:custGeom>
                          <a:solidFill>
                            <a:srgbClr val="2E9AFA"/>
                          </a:solidFill>
                        </wps:spPr>
                        <wps:bodyPr wrap="square" lIns="0" tIns="0" rIns="0" bIns="0" rtlCol="0">
                          <a:prstTxWarp prst="textNoShape">
                            <a:avLst/>
                          </a:prstTxWarp>
                          <a:noAutofit/>
                        </wps:bodyPr>
                      </wps:wsp>
                      <wps:wsp>
                        <wps:cNvPr id="195" name="Graphic 195"/>
                        <wps:cNvSpPr/>
                        <wps:spPr>
                          <a:xfrm>
                            <a:off x="316423" y="723375"/>
                            <a:ext cx="2163445" cy="147955"/>
                          </a:xfrm>
                          <a:custGeom>
                            <a:avLst/>
                            <a:gdLst/>
                            <a:ahLst/>
                            <a:cxnLst/>
                            <a:rect l="l" t="t" r="r" b="b"/>
                            <a:pathLst>
                              <a:path w="2163445" h="147955">
                                <a:moveTo>
                                  <a:pt x="0" y="112351"/>
                                </a:moveTo>
                                <a:lnTo>
                                  <a:pt x="116861" y="112351"/>
                                </a:lnTo>
                                <a:lnTo>
                                  <a:pt x="116861" y="146583"/>
                                </a:lnTo>
                                <a:lnTo>
                                  <a:pt x="0" y="146583"/>
                                </a:lnTo>
                                <a:lnTo>
                                  <a:pt x="0" y="112351"/>
                                </a:lnTo>
                                <a:close/>
                              </a:path>
                              <a:path w="2163445" h="147955">
                                <a:moveTo>
                                  <a:pt x="291715" y="120251"/>
                                </a:moveTo>
                                <a:lnTo>
                                  <a:pt x="409456" y="120251"/>
                                </a:lnTo>
                                <a:lnTo>
                                  <a:pt x="409456" y="147461"/>
                                </a:lnTo>
                                <a:lnTo>
                                  <a:pt x="291715" y="147461"/>
                                </a:lnTo>
                                <a:lnTo>
                                  <a:pt x="291715" y="120251"/>
                                </a:lnTo>
                                <a:close/>
                              </a:path>
                              <a:path w="2163445" h="147955">
                                <a:moveTo>
                                  <a:pt x="584309" y="99185"/>
                                </a:moveTo>
                                <a:lnTo>
                                  <a:pt x="701171" y="99185"/>
                                </a:lnTo>
                                <a:lnTo>
                                  <a:pt x="701171" y="127273"/>
                                </a:lnTo>
                                <a:lnTo>
                                  <a:pt x="584309" y="127273"/>
                                </a:lnTo>
                                <a:lnTo>
                                  <a:pt x="584309" y="99185"/>
                                </a:lnTo>
                                <a:close/>
                              </a:path>
                              <a:path w="2163445" h="147955">
                                <a:moveTo>
                                  <a:pt x="876904" y="73730"/>
                                </a:moveTo>
                                <a:lnTo>
                                  <a:pt x="993766" y="73730"/>
                                </a:lnTo>
                                <a:lnTo>
                                  <a:pt x="993766" y="101818"/>
                                </a:lnTo>
                                <a:lnTo>
                                  <a:pt x="876904" y="101818"/>
                                </a:lnTo>
                                <a:lnTo>
                                  <a:pt x="876904" y="73730"/>
                                </a:lnTo>
                                <a:close/>
                              </a:path>
                              <a:path w="2163445" h="147955">
                                <a:moveTo>
                                  <a:pt x="1169498" y="98307"/>
                                </a:moveTo>
                                <a:lnTo>
                                  <a:pt x="1286360" y="98307"/>
                                </a:lnTo>
                                <a:lnTo>
                                  <a:pt x="1286360" y="120251"/>
                                </a:lnTo>
                                <a:lnTo>
                                  <a:pt x="1169498" y="120251"/>
                                </a:lnTo>
                                <a:lnTo>
                                  <a:pt x="1169498" y="98307"/>
                                </a:lnTo>
                                <a:close/>
                              </a:path>
                              <a:path w="2163445" h="147955">
                                <a:moveTo>
                                  <a:pt x="1462092" y="120251"/>
                                </a:moveTo>
                                <a:lnTo>
                                  <a:pt x="1578954" y="120251"/>
                                </a:lnTo>
                                <a:lnTo>
                                  <a:pt x="1578954" y="143950"/>
                                </a:lnTo>
                                <a:lnTo>
                                  <a:pt x="1462092" y="143950"/>
                                </a:lnTo>
                                <a:lnTo>
                                  <a:pt x="1462092" y="120251"/>
                                </a:lnTo>
                                <a:close/>
                              </a:path>
                              <a:path w="2163445" h="147955">
                                <a:moveTo>
                                  <a:pt x="1753808" y="56175"/>
                                </a:moveTo>
                                <a:lnTo>
                                  <a:pt x="1870670" y="56175"/>
                                </a:lnTo>
                                <a:lnTo>
                                  <a:pt x="1870670" y="90408"/>
                                </a:lnTo>
                                <a:lnTo>
                                  <a:pt x="1753808" y="90408"/>
                                </a:lnTo>
                                <a:lnTo>
                                  <a:pt x="1753808" y="56175"/>
                                </a:lnTo>
                                <a:close/>
                              </a:path>
                              <a:path w="2163445" h="147955">
                                <a:moveTo>
                                  <a:pt x="2046402" y="0"/>
                                </a:moveTo>
                                <a:lnTo>
                                  <a:pt x="2163264" y="0"/>
                                </a:lnTo>
                                <a:lnTo>
                                  <a:pt x="2163264" y="43009"/>
                                </a:lnTo>
                                <a:lnTo>
                                  <a:pt x="2046402" y="43009"/>
                                </a:lnTo>
                                <a:lnTo>
                                  <a:pt x="2046402" y="0"/>
                                </a:lnTo>
                                <a:close/>
                              </a:path>
                            </a:pathLst>
                          </a:custGeom>
                          <a:ln w="5488">
                            <a:solidFill>
                              <a:srgbClr val="006FC0"/>
                            </a:solidFill>
                            <a:prstDash val="solid"/>
                          </a:ln>
                        </wps:spPr>
                        <wps:bodyPr wrap="square" lIns="0" tIns="0" rIns="0" bIns="0" rtlCol="0">
                          <a:prstTxWarp prst="textNoShape">
                            <a:avLst/>
                          </a:prstTxWarp>
                          <a:noAutofit/>
                        </wps:bodyPr>
                      </wps:wsp>
                      <wps:wsp>
                        <wps:cNvPr id="196" name="Graphic 196"/>
                        <wps:cNvSpPr/>
                        <wps:spPr>
                          <a:xfrm>
                            <a:off x="228557" y="201985"/>
                            <a:ext cx="1270" cy="958850"/>
                          </a:xfrm>
                          <a:custGeom>
                            <a:avLst/>
                            <a:gdLst/>
                            <a:ahLst/>
                            <a:cxnLst/>
                            <a:rect l="l" t="t" r="r" b="b"/>
                            <a:pathLst>
                              <a:path h="958850">
                                <a:moveTo>
                                  <a:pt x="0" y="958512"/>
                                </a:moveTo>
                                <a:lnTo>
                                  <a:pt x="0" y="0"/>
                                </a:lnTo>
                              </a:path>
                            </a:pathLst>
                          </a:custGeom>
                          <a:ln w="5491">
                            <a:solidFill>
                              <a:srgbClr val="858585"/>
                            </a:solidFill>
                            <a:prstDash val="solid"/>
                          </a:ln>
                        </wps:spPr>
                        <wps:bodyPr wrap="square" lIns="0" tIns="0" rIns="0" bIns="0" rtlCol="0">
                          <a:prstTxWarp prst="textNoShape">
                            <a:avLst/>
                          </a:prstTxWarp>
                          <a:noAutofit/>
                        </wps:bodyPr>
                      </wps:wsp>
                      <wps:wsp>
                        <wps:cNvPr id="197" name="Graphic 197"/>
                        <wps:cNvSpPr/>
                        <wps:spPr>
                          <a:xfrm>
                            <a:off x="204834" y="201993"/>
                            <a:ext cx="24130" cy="958850"/>
                          </a:xfrm>
                          <a:custGeom>
                            <a:avLst/>
                            <a:gdLst/>
                            <a:ahLst/>
                            <a:cxnLst/>
                            <a:rect l="l" t="t" r="r" b="b"/>
                            <a:pathLst>
                              <a:path w="24130" h="958850">
                                <a:moveTo>
                                  <a:pt x="0" y="958512"/>
                                </a:moveTo>
                                <a:lnTo>
                                  <a:pt x="23724" y="958512"/>
                                </a:lnTo>
                              </a:path>
                              <a:path w="24130" h="958850">
                                <a:moveTo>
                                  <a:pt x="0" y="766283"/>
                                </a:moveTo>
                                <a:lnTo>
                                  <a:pt x="23724" y="766283"/>
                                </a:lnTo>
                              </a:path>
                              <a:path w="24130" h="958850">
                                <a:moveTo>
                                  <a:pt x="0" y="574932"/>
                                </a:moveTo>
                                <a:lnTo>
                                  <a:pt x="23724" y="574932"/>
                                </a:lnTo>
                              </a:path>
                              <a:path w="24130" h="958850">
                                <a:moveTo>
                                  <a:pt x="0" y="383580"/>
                                </a:moveTo>
                                <a:lnTo>
                                  <a:pt x="23724" y="383580"/>
                                </a:lnTo>
                              </a:path>
                              <a:path w="24130" h="958850">
                                <a:moveTo>
                                  <a:pt x="0" y="192229"/>
                                </a:moveTo>
                                <a:lnTo>
                                  <a:pt x="23724" y="192229"/>
                                </a:lnTo>
                              </a:path>
                              <a:path w="24130" h="958850">
                                <a:moveTo>
                                  <a:pt x="0" y="0"/>
                                </a:moveTo>
                                <a:lnTo>
                                  <a:pt x="23724" y="0"/>
                                </a:lnTo>
                              </a:path>
                            </a:pathLst>
                          </a:custGeom>
                          <a:ln w="5488">
                            <a:solidFill>
                              <a:srgbClr val="858585"/>
                            </a:solidFill>
                            <a:prstDash val="solid"/>
                          </a:ln>
                        </wps:spPr>
                        <wps:bodyPr wrap="square" lIns="0" tIns="0" rIns="0" bIns="0" rtlCol="0">
                          <a:prstTxWarp prst="textNoShape">
                            <a:avLst/>
                          </a:prstTxWarp>
                          <a:noAutofit/>
                        </wps:bodyPr>
                      </wps:wsp>
                      <wps:wsp>
                        <wps:cNvPr id="198" name="Graphic 198"/>
                        <wps:cNvSpPr/>
                        <wps:spPr>
                          <a:xfrm>
                            <a:off x="228557" y="1160498"/>
                            <a:ext cx="2339340" cy="1270"/>
                          </a:xfrm>
                          <a:custGeom>
                            <a:avLst/>
                            <a:gdLst/>
                            <a:ahLst/>
                            <a:cxnLst/>
                            <a:rect l="l" t="t" r="r" b="b"/>
                            <a:pathLst>
                              <a:path w="2339340">
                                <a:moveTo>
                                  <a:pt x="0" y="0"/>
                                </a:moveTo>
                                <a:lnTo>
                                  <a:pt x="2338995" y="0"/>
                                </a:lnTo>
                              </a:path>
                            </a:pathLst>
                          </a:custGeom>
                          <a:ln w="5486">
                            <a:solidFill>
                              <a:srgbClr val="858585"/>
                            </a:solidFill>
                            <a:prstDash val="solid"/>
                          </a:ln>
                        </wps:spPr>
                        <wps:bodyPr wrap="square" lIns="0" tIns="0" rIns="0" bIns="0" rtlCol="0">
                          <a:prstTxWarp prst="textNoShape">
                            <a:avLst/>
                          </a:prstTxWarp>
                          <a:noAutofit/>
                        </wps:bodyPr>
                      </wps:wsp>
                      <wps:wsp>
                        <wps:cNvPr id="199" name="Graphic 199"/>
                        <wps:cNvSpPr/>
                        <wps:spPr>
                          <a:xfrm>
                            <a:off x="228557" y="1136799"/>
                            <a:ext cx="2339340" cy="46990"/>
                          </a:xfrm>
                          <a:custGeom>
                            <a:avLst/>
                            <a:gdLst/>
                            <a:ahLst/>
                            <a:cxnLst/>
                            <a:rect l="l" t="t" r="r" b="b"/>
                            <a:pathLst>
                              <a:path w="2339340" h="46990">
                                <a:moveTo>
                                  <a:pt x="0" y="0"/>
                                </a:moveTo>
                                <a:lnTo>
                                  <a:pt x="0" y="46521"/>
                                </a:lnTo>
                              </a:path>
                              <a:path w="2339340" h="46990">
                                <a:moveTo>
                                  <a:pt x="292594" y="0"/>
                                </a:moveTo>
                                <a:lnTo>
                                  <a:pt x="292594" y="46521"/>
                                </a:lnTo>
                              </a:path>
                              <a:path w="2339340" h="46990">
                                <a:moveTo>
                                  <a:pt x="584309" y="0"/>
                                </a:moveTo>
                                <a:lnTo>
                                  <a:pt x="584309" y="46521"/>
                                </a:lnTo>
                              </a:path>
                              <a:path w="2339340" h="46990">
                                <a:moveTo>
                                  <a:pt x="876903" y="0"/>
                                </a:moveTo>
                                <a:lnTo>
                                  <a:pt x="876903" y="46521"/>
                                </a:lnTo>
                              </a:path>
                              <a:path w="2339340" h="46990">
                                <a:moveTo>
                                  <a:pt x="1169497" y="0"/>
                                </a:moveTo>
                                <a:lnTo>
                                  <a:pt x="1169497" y="46521"/>
                                </a:lnTo>
                              </a:path>
                              <a:path w="2339340" h="46990">
                                <a:moveTo>
                                  <a:pt x="1462092" y="0"/>
                                </a:moveTo>
                                <a:lnTo>
                                  <a:pt x="1462092" y="46521"/>
                                </a:lnTo>
                              </a:path>
                              <a:path w="2339340" h="46990">
                                <a:moveTo>
                                  <a:pt x="1754686" y="0"/>
                                </a:moveTo>
                                <a:lnTo>
                                  <a:pt x="1754686" y="46521"/>
                                </a:lnTo>
                              </a:path>
                              <a:path w="2339340" h="46990">
                                <a:moveTo>
                                  <a:pt x="2046401" y="0"/>
                                </a:moveTo>
                                <a:lnTo>
                                  <a:pt x="2046401" y="46521"/>
                                </a:lnTo>
                              </a:path>
                              <a:path w="2339340" h="46990">
                                <a:moveTo>
                                  <a:pt x="2338995" y="0"/>
                                </a:moveTo>
                                <a:lnTo>
                                  <a:pt x="2338995" y="46521"/>
                                </a:lnTo>
                              </a:path>
                            </a:pathLst>
                          </a:custGeom>
                          <a:ln w="5488">
                            <a:solidFill>
                              <a:srgbClr val="858585"/>
                            </a:solidFill>
                            <a:prstDash val="solid"/>
                          </a:ln>
                        </wps:spPr>
                        <wps:bodyPr wrap="square" lIns="0" tIns="0" rIns="0" bIns="0" rtlCol="0">
                          <a:prstTxWarp prst="textNoShape">
                            <a:avLst/>
                          </a:prstTxWarp>
                          <a:noAutofit/>
                        </wps:bodyPr>
                      </wps:wsp>
                      <wps:wsp>
                        <wps:cNvPr id="200" name="Graphic 200"/>
                        <wps:cNvSpPr/>
                        <wps:spPr>
                          <a:xfrm>
                            <a:off x="202198" y="1416801"/>
                            <a:ext cx="40640" cy="40005"/>
                          </a:xfrm>
                          <a:custGeom>
                            <a:avLst/>
                            <a:gdLst/>
                            <a:ahLst/>
                            <a:cxnLst/>
                            <a:rect l="l" t="t" r="r" b="b"/>
                            <a:pathLst>
                              <a:path w="40640" h="40005">
                                <a:moveTo>
                                  <a:pt x="40420" y="39512"/>
                                </a:moveTo>
                                <a:lnTo>
                                  <a:pt x="0" y="39512"/>
                                </a:lnTo>
                                <a:lnTo>
                                  <a:pt x="0" y="0"/>
                                </a:lnTo>
                                <a:lnTo>
                                  <a:pt x="40420" y="0"/>
                                </a:lnTo>
                                <a:lnTo>
                                  <a:pt x="40420" y="39512"/>
                                </a:lnTo>
                                <a:close/>
                              </a:path>
                            </a:pathLst>
                          </a:custGeom>
                          <a:solidFill>
                            <a:srgbClr val="FFD623"/>
                          </a:solidFill>
                        </wps:spPr>
                        <wps:bodyPr wrap="square" lIns="0" tIns="0" rIns="0" bIns="0" rtlCol="0">
                          <a:prstTxWarp prst="textNoShape">
                            <a:avLst/>
                          </a:prstTxWarp>
                          <a:noAutofit/>
                        </wps:bodyPr>
                      </wps:wsp>
                      <wps:wsp>
                        <wps:cNvPr id="201" name="Graphic 201"/>
                        <wps:cNvSpPr/>
                        <wps:spPr>
                          <a:xfrm>
                            <a:off x="202198" y="1416801"/>
                            <a:ext cx="40640" cy="40005"/>
                          </a:xfrm>
                          <a:custGeom>
                            <a:avLst/>
                            <a:gdLst/>
                            <a:ahLst/>
                            <a:cxnLst/>
                            <a:rect l="l" t="t" r="r" b="b"/>
                            <a:pathLst>
                              <a:path w="40640" h="40005">
                                <a:moveTo>
                                  <a:pt x="0" y="0"/>
                                </a:moveTo>
                                <a:lnTo>
                                  <a:pt x="40420" y="0"/>
                                </a:lnTo>
                                <a:lnTo>
                                  <a:pt x="40420" y="39512"/>
                                </a:lnTo>
                                <a:lnTo>
                                  <a:pt x="0" y="39512"/>
                                </a:lnTo>
                                <a:lnTo>
                                  <a:pt x="0" y="0"/>
                                </a:lnTo>
                                <a:close/>
                              </a:path>
                            </a:pathLst>
                          </a:custGeom>
                          <a:ln w="5489">
                            <a:solidFill>
                              <a:srgbClr val="FFC000"/>
                            </a:solidFill>
                            <a:prstDash val="solid"/>
                          </a:ln>
                        </wps:spPr>
                        <wps:bodyPr wrap="square" lIns="0" tIns="0" rIns="0" bIns="0" rtlCol="0">
                          <a:prstTxWarp prst="textNoShape">
                            <a:avLst/>
                          </a:prstTxWarp>
                          <a:noAutofit/>
                        </wps:bodyPr>
                      </wps:wsp>
                      <wps:wsp>
                        <wps:cNvPr id="202" name="Graphic 202"/>
                        <wps:cNvSpPr/>
                        <wps:spPr>
                          <a:xfrm>
                            <a:off x="424497" y="1416801"/>
                            <a:ext cx="40640" cy="40005"/>
                          </a:xfrm>
                          <a:custGeom>
                            <a:avLst/>
                            <a:gdLst/>
                            <a:ahLst/>
                            <a:cxnLst/>
                            <a:rect l="l" t="t" r="r" b="b"/>
                            <a:pathLst>
                              <a:path w="40640" h="40005">
                                <a:moveTo>
                                  <a:pt x="40420" y="39512"/>
                                </a:moveTo>
                                <a:lnTo>
                                  <a:pt x="0" y="39512"/>
                                </a:lnTo>
                                <a:lnTo>
                                  <a:pt x="0" y="0"/>
                                </a:lnTo>
                                <a:lnTo>
                                  <a:pt x="40420" y="0"/>
                                </a:lnTo>
                                <a:lnTo>
                                  <a:pt x="40420" y="39512"/>
                                </a:lnTo>
                                <a:close/>
                              </a:path>
                            </a:pathLst>
                          </a:custGeom>
                          <a:solidFill>
                            <a:srgbClr val="353A73"/>
                          </a:solidFill>
                        </wps:spPr>
                        <wps:bodyPr wrap="square" lIns="0" tIns="0" rIns="0" bIns="0" rtlCol="0">
                          <a:prstTxWarp prst="textNoShape">
                            <a:avLst/>
                          </a:prstTxWarp>
                          <a:noAutofit/>
                        </wps:bodyPr>
                      </wps:wsp>
                      <wps:wsp>
                        <wps:cNvPr id="203" name="Graphic 203"/>
                        <wps:cNvSpPr/>
                        <wps:spPr>
                          <a:xfrm>
                            <a:off x="424497" y="1416801"/>
                            <a:ext cx="40640" cy="40005"/>
                          </a:xfrm>
                          <a:custGeom>
                            <a:avLst/>
                            <a:gdLst/>
                            <a:ahLst/>
                            <a:cxnLst/>
                            <a:rect l="l" t="t" r="r" b="b"/>
                            <a:pathLst>
                              <a:path w="40640" h="40005">
                                <a:moveTo>
                                  <a:pt x="0" y="0"/>
                                </a:moveTo>
                                <a:lnTo>
                                  <a:pt x="40420" y="0"/>
                                </a:lnTo>
                                <a:lnTo>
                                  <a:pt x="40420" y="39512"/>
                                </a:lnTo>
                                <a:lnTo>
                                  <a:pt x="0" y="39512"/>
                                </a:lnTo>
                                <a:lnTo>
                                  <a:pt x="0" y="0"/>
                                </a:lnTo>
                                <a:close/>
                              </a:path>
                            </a:pathLst>
                          </a:custGeom>
                          <a:ln w="5489">
                            <a:solidFill>
                              <a:srgbClr val="353A73"/>
                            </a:solidFill>
                            <a:prstDash val="solid"/>
                          </a:ln>
                        </wps:spPr>
                        <wps:bodyPr wrap="square" lIns="0" tIns="0" rIns="0" bIns="0" rtlCol="0">
                          <a:prstTxWarp prst="textNoShape">
                            <a:avLst/>
                          </a:prstTxWarp>
                          <a:noAutofit/>
                        </wps:bodyPr>
                      </wps:wsp>
                      <wps:wsp>
                        <wps:cNvPr id="204" name="Graphic 204"/>
                        <wps:cNvSpPr/>
                        <wps:spPr>
                          <a:xfrm>
                            <a:off x="751357" y="1416801"/>
                            <a:ext cx="40005" cy="40005"/>
                          </a:xfrm>
                          <a:custGeom>
                            <a:avLst/>
                            <a:gdLst/>
                            <a:ahLst/>
                            <a:cxnLst/>
                            <a:rect l="l" t="t" r="r" b="b"/>
                            <a:pathLst>
                              <a:path w="40005" h="40005">
                                <a:moveTo>
                                  <a:pt x="39541" y="39512"/>
                                </a:moveTo>
                                <a:lnTo>
                                  <a:pt x="0" y="39512"/>
                                </a:lnTo>
                                <a:lnTo>
                                  <a:pt x="0" y="0"/>
                                </a:lnTo>
                                <a:lnTo>
                                  <a:pt x="39541" y="0"/>
                                </a:lnTo>
                                <a:lnTo>
                                  <a:pt x="39541" y="39512"/>
                                </a:lnTo>
                                <a:close/>
                              </a:path>
                            </a:pathLst>
                          </a:custGeom>
                          <a:solidFill>
                            <a:srgbClr val="2E9AFA"/>
                          </a:solidFill>
                        </wps:spPr>
                        <wps:bodyPr wrap="square" lIns="0" tIns="0" rIns="0" bIns="0" rtlCol="0">
                          <a:prstTxWarp prst="textNoShape">
                            <a:avLst/>
                          </a:prstTxWarp>
                          <a:noAutofit/>
                        </wps:bodyPr>
                      </wps:wsp>
                      <wps:wsp>
                        <wps:cNvPr id="205" name="Graphic 205"/>
                        <wps:cNvSpPr/>
                        <wps:spPr>
                          <a:xfrm>
                            <a:off x="751357" y="1416801"/>
                            <a:ext cx="40005" cy="40005"/>
                          </a:xfrm>
                          <a:custGeom>
                            <a:avLst/>
                            <a:gdLst/>
                            <a:ahLst/>
                            <a:cxnLst/>
                            <a:rect l="l" t="t" r="r" b="b"/>
                            <a:pathLst>
                              <a:path w="40005" h="40005">
                                <a:moveTo>
                                  <a:pt x="0" y="0"/>
                                </a:moveTo>
                                <a:lnTo>
                                  <a:pt x="39541" y="0"/>
                                </a:lnTo>
                                <a:lnTo>
                                  <a:pt x="39541" y="39512"/>
                                </a:lnTo>
                                <a:lnTo>
                                  <a:pt x="0" y="39512"/>
                                </a:lnTo>
                                <a:lnTo>
                                  <a:pt x="0" y="0"/>
                                </a:lnTo>
                                <a:close/>
                              </a:path>
                            </a:pathLst>
                          </a:custGeom>
                          <a:ln w="5489">
                            <a:solidFill>
                              <a:srgbClr val="006FC0"/>
                            </a:solidFill>
                            <a:prstDash val="solid"/>
                          </a:ln>
                        </wps:spPr>
                        <wps:bodyPr wrap="square" lIns="0" tIns="0" rIns="0" bIns="0" rtlCol="0">
                          <a:prstTxWarp prst="textNoShape">
                            <a:avLst/>
                          </a:prstTxWarp>
                          <a:noAutofit/>
                        </wps:bodyPr>
                      </wps:wsp>
                      <wps:wsp>
                        <wps:cNvPr id="206" name="Graphic 206"/>
                        <wps:cNvSpPr/>
                        <wps:spPr>
                          <a:xfrm>
                            <a:off x="2743" y="2743"/>
                            <a:ext cx="2687955" cy="1555115"/>
                          </a:xfrm>
                          <a:custGeom>
                            <a:avLst/>
                            <a:gdLst/>
                            <a:ahLst/>
                            <a:cxnLst/>
                            <a:rect l="l" t="t" r="r" b="b"/>
                            <a:pathLst>
                              <a:path w="2687955" h="1555115">
                                <a:moveTo>
                                  <a:pt x="0" y="0"/>
                                </a:moveTo>
                                <a:lnTo>
                                  <a:pt x="2687788" y="0"/>
                                </a:lnTo>
                                <a:lnTo>
                                  <a:pt x="2687788" y="1554488"/>
                                </a:lnTo>
                                <a:lnTo>
                                  <a:pt x="0" y="1554488"/>
                                </a:lnTo>
                                <a:lnTo>
                                  <a:pt x="0" y="0"/>
                                </a:lnTo>
                                <a:close/>
                              </a:path>
                            </a:pathLst>
                          </a:custGeom>
                          <a:ln w="5487">
                            <a:solidFill>
                              <a:srgbClr val="858585"/>
                            </a:solidFill>
                            <a:prstDash val="solid"/>
                          </a:ln>
                        </wps:spPr>
                        <wps:bodyPr wrap="square" lIns="0" tIns="0" rIns="0" bIns="0" rtlCol="0">
                          <a:prstTxWarp prst="textNoShape">
                            <a:avLst/>
                          </a:prstTxWarp>
                          <a:noAutofit/>
                        </wps:bodyPr>
                      </wps:wsp>
                      <wps:wsp>
                        <wps:cNvPr id="207" name="Graphic 207"/>
                        <wps:cNvSpPr/>
                        <wps:spPr>
                          <a:xfrm>
                            <a:off x="3029703" y="690031"/>
                            <a:ext cx="2223135" cy="466090"/>
                          </a:xfrm>
                          <a:custGeom>
                            <a:avLst/>
                            <a:gdLst/>
                            <a:ahLst/>
                            <a:cxnLst/>
                            <a:rect l="l" t="t" r="r" b="b"/>
                            <a:pathLst>
                              <a:path w="2223135" h="466090">
                                <a:moveTo>
                                  <a:pt x="120370" y="28079"/>
                                </a:moveTo>
                                <a:lnTo>
                                  <a:pt x="0" y="28079"/>
                                </a:lnTo>
                                <a:lnTo>
                                  <a:pt x="0" y="466077"/>
                                </a:lnTo>
                                <a:lnTo>
                                  <a:pt x="120370" y="466077"/>
                                </a:lnTo>
                                <a:lnTo>
                                  <a:pt x="120370" y="28079"/>
                                </a:lnTo>
                                <a:close/>
                              </a:path>
                              <a:path w="2223135" h="466090">
                                <a:moveTo>
                                  <a:pt x="420865" y="0"/>
                                </a:moveTo>
                                <a:lnTo>
                                  <a:pt x="300494" y="0"/>
                                </a:lnTo>
                                <a:lnTo>
                                  <a:pt x="300494" y="466077"/>
                                </a:lnTo>
                                <a:lnTo>
                                  <a:pt x="420865" y="466077"/>
                                </a:lnTo>
                                <a:lnTo>
                                  <a:pt x="420865" y="0"/>
                                </a:lnTo>
                                <a:close/>
                              </a:path>
                              <a:path w="2223135" h="466090">
                                <a:moveTo>
                                  <a:pt x="721372" y="876"/>
                                </a:moveTo>
                                <a:lnTo>
                                  <a:pt x="600989" y="876"/>
                                </a:lnTo>
                                <a:lnTo>
                                  <a:pt x="600989" y="466077"/>
                                </a:lnTo>
                                <a:lnTo>
                                  <a:pt x="721372" y="466077"/>
                                </a:lnTo>
                                <a:lnTo>
                                  <a:pt x="721372" y="876"/>
                                </a:lnTo>
                                <a:close/>
                              </a:path>
                              <a:path w="2223135" h="466090">
                                <a:moveTo>
                                  <a:pt x="1021867" y="20180"/>
                                </a:moveTo>
                                <a:lnTo>
                                  <a:pt x="901496" y="20180"/>
                                </a:lnTo>
                                <a:lnTo>
                                  <a:pt x="901496" y="466077"/>
                                </a:lnTo>
                                <a:lnTo>
                                  <a:pt x="1021867" y="466077"/>
                                </a:lnTo>
                                <a:lnTo>
                                  <a:pt x="1021867" y="20180"/>
                                </a:lnTo>
                                <a:close/>
                              </a:path>
                              <a:path w="2223135" h="466090">
                                <a:moveTo>
                                  <a:pt x="1321485" y="47396"/>
                                </a:moveTo>
                                <a:lnTo>
                                  <a:pt x="1201991" y="47396"/>
                                </a:lnTo>
                                <a:lnTo>
                                  <a:pt x="1201991" y="466077"/>
                                </a:lnTo>
                                <a:lnTo>
                                  <a:pt x="1321485" y="466077"/>
                                </a:lnTo>
                                <a:lnTo>
                                  <a:pt x="1321485" y="47396"/>
                                </a:lnTo>
                                <a:close/>
                              </a:path>
                              <a:path w="2223135" h="466090">
                                <a:moveTo>
                                  <a:pt x="1621980" y="62318"/>
                                </a:moveTo>
                                <a:lnTo>
                                  <a:pt x="1502486" y="62318"/>
                                </a:lnTo>
                                <a:lnTo>
                                  <a:pt x="1502486" y="466077"/>
                                </a:lnTo>
                                <a:lnTo>
                                  <a:pt x="1621980" y="466077"/>
                                </a:lnTo>
                                <a:lnTo>
                                  <a:pt x="1621980" y="62318"/>
                                </a:lnTo>
                                <a:close/>
                              </a:path>
                              <a:path w="2223135" h="466090">
                                <a:moveTo>
                                  <a:pt x="1922487" y="21056"/>
                                </a:moveTo>
                                <a:lnTo>
                                  <a:pt x="1802980" y="21056"/>
                                </a:lnTo>
                                <a:lnTo>
                                  <a:pt x="1802980" y="466077"/>
                                </a:lnTo>
                                <a:lnTo>
                                  <a:pt x="1922487" y="466077"/>
                                </a:lnTo>
                                <a:lnTo>
                                  <a:pt x="1922487" y="21056"/>
                                </a:lnTo>
                                <a:close/>
                              </a:path>
                              <a:path w="2223135" h="466090">
                                <a:moveTo>
                                  <a:pt x="2222982" y="29845"/>
                                </a:moveTo>
                                <a:lnTo>
                                  <a:pt x="2103488" y="29845"/>
                                </a:lnTo>
                                <a:lnTo>
                                  <a:pt x="2103488" y="466077"/>
                                </a:lnTo>
                                <a:lnTo>
                                  <a:pt x="2222982" y="466077"/>
                                </a:lnTo>
                                <a:lnTo>
                                  <a:pt x="2222982" y="29845"/>
                                </a:lnTo>
                                <a:close/>
                              </a:path>
                            </a:pathLst>
                          </a:custGeom>
                          <a:solidFill>
                            <a:srgbClr val="FFD623"/>
                          </a:solidFill>
                        </wps:spPr>
                        <wps:bodyPr wrap="square" lIns="0" tIns="0" rIns="0" bIns="0" rtlCol="0">
                          <a:prstTxWarp prst="textNoShape">
                            <a:avLst/>
                          </a:prstTxWarp>
                          <a:noAutofit/>
                        </wps:bodyPr>
                      </wps:wsp>
                      <wps:wsp>
                        <wps:cNvPr id="208" name="Graphic 208"/>
                        <wps:cNvSpPr/>
                        <wps:spPr>
                          <a:xfrm>
                            <a:off x="3029707" y="690020"/>
                            <a:ext cx="2223135" cy="466090"/>
                          </a:xfrm>
                          <a:custGeom>
                            <a:avLst/>
                            <a:gdLst/>
                            <a:ahLst/>
                            <a:cxnLst/>
                            <a:rect l="l" t="t" r="r" b="b"/>
                            <a:pathLst>
                              <a:path w="2223135" h="466090">
                                <a:moveTo>
                                  <a:pt x="0" y="28087"/>
                                </a:moveTo>
                                <a:lnTo>
                                  <a:pt x="120375" y="28087"/>
                                </a:lnTo>
                                <a:lnTo>
                                  <a:pt x="120375" y="466083"/>
                                </a:lnTo>
                                <a:lnTo>
                                  <a:pt x="0" y="466083"/>
                                </a:lnTo>
                                <a:lnTo>
                                  <a:pt x="0" y="28087"/>
                                </a:lnTo>
                                <a:close/>
                              </a:path>
                              <a:path w="2223135" h="466090">
                                <a:moveTo>
                                  <a:pt x="300498" y="0"/>
                                </a:moveTo>
                                <a:lnTo>
                                  <a:pt x="420873" y="0"/>
                                </a:lnTo>
                                <a:lnTo>
                                  <a:pt x="420873" y="466083"/>
                                </a:lnTo>
                                <a:lnTo>
                                  <a:pt x="300498" y="466083"/>
                                </a:lnTo>
                                <a:lnTo>
                                  <a:pt x="300498" y="0"/>
                                </a:lnTo>
                                <a:close/>
                              </a:path>
                              <a:path w="2223135" h="466090">
                                <a:moveTo>
                                  <a:pt x="600996" y="877"/>
                                </a:moveTo>
                                <a:lnTo>
                                  <a:pt x="721371" y="877"/>
                                </a:lnTo>
                                <a:lnTo>
                                  <a:pt x="721371" y="466083"/>
                                </a:lnTo>
                                <a:lnTo>
                                  <a:pt x="600996" y="466083"/>
                                </a:lnTo>
                                <a:lnTo>
                                  <a:pt x="600996" y="877"/>
                                </a:lnTo>
                                <a:close/>
                              </a:path>
                              <a:path w="2223135" h="466090">
                                <a:moveTo>
                                  <a:pt x="901494" y="20188"/>
                                </a:moveTo>
                                <a:lnTo>
                                  <a:pt x="1021869" y="20188"/>
                                </a:lnTo>
                                <a:lnTo>
                                  <a:pt x="1021869" y="466083"/>
                                </a:lnTo>
                                <a:lnTo>
                                  <a:pt x="901494" y="466083"/>
                                </a:lnTo>
                                <a:lnTo>
                                  <a:pt x="901494" y="20188"/>
                                </a:lnTo>
                                <a:close/>
                              </a:path>
                              <a:path w="2223135" h="466090">
                                <a:moveTo>
                                  <a:pt x="1201992" y="47398"/>
                                </a:moveTo>
                                <a:lnTo>
                                  <a:pt x="1321489" y="47398"/>
                                </a:lnTo>
                                <a:lnTo>
                                  <a:pt x="1321489" y="466083"/>
                                </a:lnTo>
                                <a:lnTo>
                                  <a:pt x="1201992" y="466083"/>
                                </a:lnTo>
                                <a:lnTo>
                                  <a:pt x="1201992" y="47398"/>
                                </a:lnTo>
                                <a:close/>
                              </a:path>
                              <a:path w="2223135" h="466090">
                                <a:moveTo>
                                  <a:pt x="1502490" y="62319"/>
                                </a:moveTo>
                                <a:lnTo>
                                  <a:pt x="1621987" y="62319"/>
                                </a:lnTo>
                                <a:lnTo>
                                  <a:pt x="1621987" y="466083"/>
                                </a:lnTo>
                                <a:lnTo>
                                  <a:pt x="1502490" y="466083"/>
                                </a:lnTo>
                                <a:lnTo>
                                  <a:pt x="1502490" y="62319"/>
                                </a:lnTo>
                                <a:close/>
                              </a:path>
                              <a:path w="2223135" h="466090">
                                <a:moveTo>
                                  <a:pt x="1802989" y="21065"/>
                                </a:moveTo>
                                <a:lnTo>
                                  <a:pt x="1922485" y="21065"/>
                                </a:lnTo>
                                <a:lnTo>
                                  <a:pt x="1922485" y="466083"/>
                                </a:lnTo>
                                <a:lnTo>
                                  <a:pt x="1802989" y="466083"/>
                                </a:lnTo>
                                <a:lnTo>
                                  <a:pt x="1802989" y="21065"/>
                                </a:lnTo>
                                <a:close/>
                              </a:path>
                              <a:path w="2223135" h="466090">
                                <a:moveTo>
                                  <a:pt x="2103487" y="29843"/>
                                </a:moveTo>
                                <a:lnTo>
                                  <a:pt x="2222983" y="29843"/>
                                </a:lnTo>
                                <a:lnTo>
                                  <a:pt x="2222983" y="466083"/>
                                </a:lnTo>
                                <a:lnTo>
                                  <a:pt x="2103487" y="466083"/>
                                </a:lnTo>
                                <a:lnTo>
                                  <a:pt x="2103487" y="29843"/>
                                </a:lnTo>
                                <a:close/>
                              </a:path>
                            </a:pathLst>
                          </a:custGeom>
                          <a:ln w="5488">
                            <a:solidFill>
                              <a:srgbClr val="FFC000"/>
                            </a:solidFill>
                            <a:prstDash val="solid"/>
                          </a:ln>
                        </wps:spPr>
                        <wps:bodyPr wrap="square" lIns="0" tIns="0" rIns="0" bIns="0" rtlCol="0">
                          <a:prstTxWarp prst="textNoShape">
                            <a:avLst/>
                          </a:prstTxWarp>
                          <a:noAutofit/>
                        </wps:bodyPr>
                      </wps:wsp>
                      <wps:wsp>
                        <wps:cNvPr id="209" name="Graphic 209"/>
                        <wps:cNvSpPr/>
                        <wps:spPr>
                          <a:xfrm>
                            <a:off x="3029703" y="630341"/>
                            <a:ext cx="2223135" cy="122555"/>
                          </a:xfrm>
                          <a:custGeom>
                            <a:avLst/>
                            <a:gdLst/>
                            <a:ahLst/>
                            <a:cxnLst/>
                            <a:rect l="l" t="t" r="r" b="b"/>
                            <a:pathLst>
                              <a:path w="2223135" h="122555">
                                <a:moveTo>
                                  <a:pt x="120370" y="33362"/>
                                </a:moveTo>
                                <a:lnTo>
                                  <a:pt x="0" y="33362"/>
                                </a:lnTo>
                                <a:lnTo>
                                  <a:pt x="0" y="87782"/>
                                </a:lnTo>
                                <a:lnTo>
                                  <a:pt x="120370" y="87782"/>
                                </a:lnTo>
                                <a:lnTo>
                                  <a:pt x="120370" y="33362"/>
                                </a:lnTo>
                                <a:close/>
                              </a:path>
                              <a:path w="2223135" h="122555">
                                <a:moveTo>
                                  <a:pt x="420878" y="10541"/>
                                </a:moveTo>
                                <a:lnTo>
                                  <a:pt x="300507" y="10541"/>
                                </a:lnTo>
                                <a:lnTo>
                                  <a:pt x="300507" y="59690"/>
                                </a:lnTo>
                                <a:lnTo>
                                  <a:pt x="420878" y="59690"/>
                                </a:lnTo>
                                <a:lnTo>
                                  <a:pt x="420878" y="10541"/>
                                </a:lnTo>
                                <a:close/>
                              </a:path>
                              <a:path w="2223135" h="122555">
                                <a:moveTo>
                                  <a:pt x="721385" y="0"/>
                                </a:moveTo>
                                <a:lnTo>
                                  <a:pt x="601002" y="0"/>
                                </a:lnTo>
                                <a:lnTo>
                                  <a:pt x="601002" y="60566"/>
                                </a:lnTo>
                                <a:lnTo>
                                  <a:pt x="721385" y="60566"/>
                                </a:lnTo>
                                <a:lnTo>
                                  <a:pt x="721385" y="0"/>
                                </a:lnTo>
                                <a:close/>
                              </a:path>
                              <a:path w="2223135" h="122555">
                                <a:moveTo>
                                  <a:pt x="1021880" y="27216"/>
                                </a:moveTo>
                                <a:lnTo>
                                  <a:pt x="901509" y="27216"/>
                                </a:lnTo>
                                <a:lnTo>
                                  <a:pt x="901509" y="79883"/>
                                </a:lnTo>
                                <a:lnTo>
                                  <a:pt x="1021880" y="79883"/>
                                </a:lnTo>
                                <a:lnTo>
                                  <a:pt x="1021880" y="27216"/>
                                </a:lnTo>
                                <a:close/>
                              </a:path>
                              <a:path w="2223135" h="122555">
                                <a:moveTo>
                                  <a:pt x="1321511" y="57061"/>
                                </a:moveTo>
                                <a:lnTo>
                                  <a:pt x="1202004" y="57061"/>
                                </a:lnTo>
                                <a:lnTo>
                                  <a:pt x="1202004" y="107086"/>
                                </a:lnTo>
                                <a:lnTo>
                                  <a:pt x="1321511" y="107086"/>
                                </a:lnTo>
                                <a:lnTo>
                                  <a:pt x="1321511" y="57061"/>
                                </a:lnTo>
                                <a:close/>
                              </a:path>
                              <a:path w="2223135" h="122555">
                                <a:moveTo>
                                  <a:pt x="1622005" y="69342"/>
                                </a:moveTo>
                                <a:lnTo>
                                  <a:pt x="1502511" y="69342"/>
                                </a:lnTo>
                                <a:lnTo>
                                  <a:pt x="1502511" y="122008"/>
                                </a:lnTo>
                                <a:lnTo>
                                  <a:pt x="1622005" y="122008"/>
                                </a:lnTo>
                                <a:lnTo>
                                  <a:pt x="1622005" y="69342"/>
                                </a:lnTo>
                                <a:close/>
                              </a:path>
                              <a:path w="2223135" h="122555">
                                <a:moveTo>
                                  <a:pt x="1922513" y="13169"/>
                                </a:moveTo>
                                <a:lnTo>
                                  <a:pt x="1803019" y="13169"/>
                                </a:lnTo>
                                <a:lnTo>
                                  <a:pt x="1803019" y="80759"/>
                                </a:lnTo>
                                <a:lnTo>
                                  <a:pt x="1922513" y="80759"/>
                                </a:lnTo>
                                <a:lnTo>
                                  <a:pt x="1922513" y="13169"/>
                                </a:lnTo>
                                <a:close/>
                              </a:path>
                              <a:path w="2223135" h="122555">
                                <a:moveTo>
                                  <a:pt x="2223008" y="25463"/>
                                </a:moveTo>
                                <a:lnTo>
                                  <a:pt x="2103513" y="25463"/>
                                </a:lnTo>
                                <a:lnTo>
                                  <a:pt x="2103513" y="89535"/>
                                </a:lnTo>
                                <a:lnTo>
                                  <a:pt x="2223008" y="89535"/>
                                </a:lnTo>
                                <a:lnTo>
                                  <a:pt x="2223008" y="25463"/>
                                </a:lnTo>
                                <a:close/>
                              </a:path>
                            </a:pathLst>
                          </a:custGeom>
                          <a:solidFill>
                            <a:srgbClr val="353A73"/>
                          </a:solidFill>
                        </wps:spPr>
                        <wps:bodyPr wrap="square" lIns="0" tIns="0" rIns="0" bIns="0" rtlCol="0">
                          <a:prstTxWarp prst="textNoShape">
                            <a:avLst/>
                          </a:prstTxWarp>
                          <a:noAutofit/>
                        </wps:bodyPr>
                      </wps:wsp>
                      <wps:wsp>
                        <wps:cNvPr id="210" name="Graphic 210"/>
                        <wps:cNvSpPr/>
                        <wps:spPr>
                          <a:xfrm>
                            <a:off x="3029703" y="311724"/>
                            <a:ext cx="2223135" cy="387985"/>
                          </a:xfrm>
                          <a:custGeom>
                            <a:avLst/>
                            <a:gdLst/>
                            <a:ahLst/>
                            <a:cxnLst/>
                            <a:rect l="l" t="t" r="r" b="b"/>
                            <a:pathLst>
                              <a:path w="2223135" h="387985">
                                <a:moveTo>
                                  <a:pt x="120370" y="123761"/>
                                </a:moveTo>
                                <a:lnTo>
                                  <a:pt x="0" y="123761"/>
                                </a:lnTo>
                                <a:lnTo>
                                  <a:pt x="0" y="351980"/>
                                </a:lnTo>
                                <a:lnTo>
                                  <a:pt x="120370" y="351980"/>
                                </a:lnTo>
                                <a:lnTo>
                                  <a:pt x="120370" y="123761"/>
                                </a:lnTo>
                                <a:close/>
                              </a:path>
                              <a:path w="2223135" h="387985">
                                <a:moveTo>
                                  <a:pt x="420878" y="98298"/>
                                </a:moveTo>
                                <a:lnTo>
                                  <a:pt x="300507" y="98298"/>
                                </a:lnTo>
                                <a:lnTo>
                                  <a:pt x="300507" y="329158"/>
                                </a:lnTo>
                                <a:lnTo>
                                  <a:pt x="420878" y="329158"/>
                                </a:lnTo>
                                <a:lnTo>
                                  <a:pt x="420878" y="98298"/>
                                </a:lnTo>
                                <a:close/>
                              </a:path>
                              <a:path w="2223135" h="387985">
                                <a:moveTo>
                                  <a:pt x="721385" y="78117"/>
                                </a:moveTo>
                                <a:lnTo>
                                  <a:pt x="601002" y="78117"/>
                                </a:lnTo>
                                <a:lnTo>
                                  <a:pt x="601002" y="318617"/>
                                </a:lnTo>
                                <a:lnTo>
                                  <a:pt x="721385" y="318617"/>
                                </a:lnTo>
                                <a:lnTo>
                                  <a:pt x="721385" y="78117"/>
                                </a:lnTo>
                                <a:close/>
                              </a:path>
                              <a:path w="2223135" h="387985">
                                <a:moveTo>
                                  <a:pt x="1021880" y="100939"/>
                                </a:moveTo>
                                <a:lnTo>
                                  <a:pt x="901509" y="100939"/>
                                </a:lnTo>
                                <a:lnTo>
                                  <a:pt x="901509" y="345833"/>
                                </a:lnTo>
                                <a:lnTo>
                                  <a:pt x="1021880" y="345833"/>
                                </a:lnTo>
                                <a:lnTo>
                                  <a:pt x="1021880" y="100939"/>
                                </a:lnTo>
                                <a:close/>
                              </a:path>
                              <a:path w="2223135" h="387985">
                                <a:moveTo>
                                  <a:pt x="1321511" y="116738"/>
                                </a:moveTo>
                                <a:lnTo>
                                  <a:pt x="1202004" y="116738"/>
                                </a:lnTo>
                                <a:lnTo>
                                  <a:pt x="1202004" y="375678"/>
                                </a:lnTo>
                                <a:lnTo>
                                  <a:pt x="1321511" y="375678"/>
                                </a:lnTo>
                                <a:lnTo>
                                  <a:pt x="1321511" y="116738"/>
                                </a:lnTo>
                                <a:close/>
                              </a:path>
                              <a:path w="2223135" h="387985">
                                <a:moveTo>
                                  <a:pt x="1622005" y="147459"/>
                                </a:moveTo>
                                <a:lnTo>
                                  <a:pt x="1502511" y="147459"/>
                                </a:lnTo>
                                <a:lnTo>
                                  <a:pt x="1502511" y="387959"/>
                                </a:lnTo>
                                <a:lnTo>
                                  <a:pt x="1622005" y="387959"/>
                                </a:lnTo>
                                <a:lnTo>
                                  <a:pt x="1622005" y="147459"/>
                                </a:lnTo>
                                <a:close/>
                              </a:path>
                              <a:path w="2223135" h="387985">
                                <a:moveTo>
                                  <a:pt x="1922513" y="26327"/>
                                </a:moveTo>
                                <a:lnTo>
                                  <a:pt x="1803019" y="26327"/>
                                </a:lnTo>
                                <a:lnTo>
                                  <a:pt x="1803019" y="331787"/>
                                </a:lnTo>
                                <a:lnTo>
                                  <a:pt x="1922513" y="331787"/>
                                </a:lnTo>
                                <a:lnTo>
                                  <a:pt x="1922513" y="26327"/>
                                </a:lnTo>
                                <a:close/>
                              </a:path>
                              <a:path w="2223135" h="387985">
                                <a:moveTo>
                                  <a:pt x="2223008" y="0"/>
                                </a:moveTo>
                                <a:lnTo>
                                  <a:pt x="2103513" y="0"/>
                                </a:lnTo>
                                <a:lnTo>
                                  <a:pt x="2103513" y="344081"/>
                                </a:lnTo>
                                <a:lnTo>
                                  <a:pt x="2223008" y="344081"/>
                                </a:lnTo>
                                <a:lnTo>
                                  <a:pt x="2223008" y="0"/>
                                </a:lnTo>
                                <a:close/>
                              </a:path>
                            </a:pathLst>
                          </a:custGeom>
                          <a:solidFill>
                            <a:srgbClr val="2E9AFA"/>
                          </a:solidFill>
                        </wps:spPr>
                        <wps:bodyPr wrap="square" lIns="0" tIns="0" rIns="0" bIns="0" rtlCol="0">
                          <a:prstTxWarp prst="textNoShape">
                            <a:avLst/>
                          </a:prstTxWarp>
                          <a:noAutofit/>
                        </wps:bodyPr>
                      </wps:wsp>
                      <wps:wsp>
                        <wps:cNvPr id="211" name="Graphic 211"/>
                        <wps:cNvSpPr/>
                        <wps:spPr>
                          <a:xfrm>
                            <a:off x="3029708" y="311712"/>
                            <a:ext cx="2223135" cy="387985"/>
                          </a:xfrm>
                          <a:custGeom>
                            <a:avLst/>
                            <a:gdLst/>
                            <a:ahLst/>
                            <a:cxnLst/>
                            <a:rect l="l" t="t" r="r" b="b"/>
                            <a:pathLst>
                              <a:path w="2223135" h="387985">
                                <a:moveTo>
                                  <a:pt x="0" y="123763"/>
                                </a:moveTo>
                                <a:lnTo>
                                  <a:pt x="120376" y="123763"/>
                                </a:lnTo>
                                <a:lnTo>
                                  <a:pt x="120376" y="351980"/>
                                </a:lnTo>
                                <a:lnTo>
                                  <a:pt x="0" y="351980"/>
                                </a:lnTo>
                                <a:lnTo>
                                  <a:pt x="0" y="123763"/>
                                </a:lnTo>
                                <a:close/>
                              </a:path>
                              <a:path w="2223135" h="387985">
                                <a:moveTo>
                                  <a:pt x="300502" y="98308"/>
                                </a:moveTo>
                                <a:lnTo>
                                  <a:pt x="420879" y="98308"/>
                                </a:lnTo>
                                <a:lnTo>
                                  <a:pt x="420879" y="329158"/>
                                </a:lnTo>
                                <a:lnTo>
                                  <a:pt x="300502" y="329158"/>
                                </a:lnTo>
                                <a:lnTo>
                                  <a:pt x="300502" y="98308"/>
                                </a:lnTo>
                                <a:close/>
                              </a:path>
                              <a:path w="2223135" h="387985">
                                <a:moveTo>
                                  <a:pt x="601004" y="78120"/>
                                </a:moveTo>
                                <a:lnTo>
                                  <a:pt x="721381" y="78120"/>
                                </a:lnTo>
                                <a:lnTo>
                                  <a:pt x="721381" y="318625"/>
                                </a:lnTo>
                                <a:lnTo>
                                  <a:pt x="601004" y="318625"/>
                                </a:lnTo>
                                <a:lnTo>
                                  <a:pt x="601004" y="78120"/>
                                </a:lnTo>
                                <a:close/>
                              </a:path>
                              <a:path w="2223135" h="387985">
                                <a:moveTo>
                                  <a:pt x="901506" y="100941"/>
                                </a:moveTo>
                                <a:lnTo>
                                  <a:pt x="1021883" y="100941"/>
                                </a:lnTo>
                                <a:lnTo>
                                  <a:pt x="1021883" y="345835"/>
                                </a:lnTo>
                                <a:lnTo>
                                  <a:pt x="901506" y="345835"/>
                                </a:lnTo>
                                <a:lnTo>
                                  <a:pt x="901506" y="100941"/>
                                </a:lnTo>
                                <a:close/>
                              </a:path>
                              <a:path w="2223135" h="387985">
                                <a:moveTo>
                                  <a:pt x="1202009" y="116741"/>
                                </a:moveTo>
                                <a:lnTo>
                                  <a:pt x="1321507" y="116741"/>
                                </a:lnTo>
                                <a:lnTo>
                                  <a:pt x="1321507" y="375679"/>
                                </a:lnTo>
                                <a:lnTo>
                                  <a:pt x="1202009" y="375679"/>
                                </a:lnTo>
                                <a:lnTo>
                                  <a:pt x="1202009" y="116741"/>
                                </a:lnTo>
                                <a:close/>
                              </a:path>
                              <a:path w="2223135" h="387985">
                                <a:moveTo>
                                  <a:pt x="1502511" y="147462"/>
                                </a:moveTo>
                                <a:lnTo>
                                  <a:pt x="1622009" y="147462"/>
                                </a:lnTo>
                                <a:lnTo>
                                  <a:pt x="1622009" y="387967"/>
                                </a:lnTo>
                                <a:lnTo>
                                  <a:pt x="1502511" y="387967"/>
                                </a:lnTo>
                                <a:lnTo>
                                  <a:pt x="1502511" y="147462"/>
                                </a:lnTo>
                                <a:close/>
                              </a:path>
                              <a:path w="2223135" h="387985">
                                <a:moveTo>
                                  <a:pt x="1803014" y="26332"/>
                                </a:moveTo>
                                <a:lnTo>
                                  <a:pt x="1922512" y="26332"/>
                                </a:lnTo>
                                <a:lnTo>
                                  <a:pt x="1922512" y="331791"/>
                                </a:lnTo>
                                <a:lnTo>
                                  <a:pt x="1803014" y="331791"/>
                                </a:lnTo>
                                <a:lnTo>
                                  <a:pt x="1803014" y="26332"/>
                                </a:lnTo>
                                <a:close/>
                              </a:path>
                              <a:path w="2223135" h="387985">
                                <a:moveTo>
                                  <a:pt x="2103516" y="0"/>
                                </a:moveTo>
                                <a:lnTo>
                                  <a:pt x="2223014" y="0"/>
                                </a:lnTo>
                                <a:lnTo>
                                  <a:pt x="2223014" y="344080"/>
                                </a:lnTo>
                                <a:lnTo>
                                  <a:pt x="2103516" y="344080"/>
                                </a:lnTo>
                                <a:lnTo>
                                  <a:pt x="2103516" y="0"/>
                                </a:lnTo>
                                <a:close/>
                              </a:path>
                            </a:pathLst>
                          </a:custGeom>
                          <a:ln w="5488">
                            <a:solidFill>
                              <a:srgbClr val="006FC0"/>
                            </a:solidFill>
                            <a:prstDash val="solid"/>
                          </a:ln>
                        </wps:spPr>
                        <wps:bodyPr wrap="square" lIns="0" tIns="0" rIns="0" bIns="0" rtlCol="0">
                          <a:prstTxWarp prst="textNoShape">
                            <a:avLst/>
                          </a:prstTxWarp>
                          <a:noAutofit/>
                        </wps:bodyPr>
                      </wps:wsp>
                      <wps:wsp>
                        <wps:cNvPr id="212" name="Graphic 212"/>
                        <wps:cNvSpPr/>
                        <wps:spPr>
                          <a:xfrm>
                            <a:off x="2939206" y="207252"/>
                            <a:ext cx="1270" cy="949325"/>
                          </a:xfrm>
                          <a:custGeom>
                            <a:avLst/>
                            <a:gdLst/>
                            <a:ahLst/>
                            <a:cxnLst/>
                            <a:rect l="l" t="t" r="r" b="b"/>
                            <a:pathLst>
                              <a:path h="949325">
                                <a:moveTo>
                                  <a:pt x="0" y="948857"/>
                                </a:moveTo>
                                <a:lnTo>
                                  <a:pt x="0" y="0"/>
                                </a:lnTo>
                              </a:path>
                            </a:pathLst>
                          </a:custGeom>
                          <a:ln w="5491">
                            <a:solidFill>
                              <a:srgbClr val="858585"/>
                            </a:solidFill>
                            <a:prstDash val="solid"/>
                          </a:ln>
                        </wps:spPr>
                        <wps:bodyPr wrap="square" lIns="0" tIns="0" rIns="0" bIns="0" rtlCol="0">
                          <a:prstTxWarp prst="textNoShape">
                            <a:avLst/>
                          </a:prstTxWarp>
                          <a:noAutofit/>
                        </wps:bodyPr>
                      </wps:wsp>
                      <wps:wsp>
                        <wps:cNvPr id="213" name="Graphic 213"/>
                        <wps:cNvSpPr/>
                        <wps:spPr>
                          <a:xfrm>
                            <a:off x="2916361" y="207259"/>
                            <a:ext cx="22860" cy="949325"/>
                          </a:xfrm>
                          <a:custGeom>
                            <a:avLst/>
                            <a:gdLst/>
                            <a:ahLst/>
                            <a:cxnLst/>
                            <a:rect l="l" t="t" r="r" b="b"/>
                            <a:pathLst>
                              <a:path w="22860" h="949325">
                                <a:moveTo>
                                  <a:pt x="0" y="948857"/>
                                </a:moveTo>
                                <a:lnTo>
                                  <a:pt x="22845" y="948857"/>
                                </a:lnTo>
                              </a:path>
                              <a:path w="22860" h="949325">
                                <a:moveTo>
                                  <a:pt x="0" y="759261"/>
                                </a:moveTo>
                                <a:lnTo>
                                  <a:pt x="22845" y="759261"/>
                                </a:lnTo>
                              </a:path>
                              <a:path w="22860" h="949325">
                                <a:moveTo>
                                  <a:pt x="0" y="569665"/>
                                </a:moveTo>
                                <a:lnTo>
                                  <a:pt x="22845" y="569665"/>
                                </a:lnTo>
                              </a:path>
                              <a:path w="22860" h="949325">
                                <a:moveTo>
                                  <a:pt x="0" y="380069"/>
                                </a:moveTo>
                                <a:lnTo>
                                  <a:pt x="22845" y="380069"/>
                                </a:lnTo>
                              </a:path>
                              <a:path w="22860" h="949325">
                                <a:moveTo>
                                  <a:pt x="0" y="189595"/>
                                </a:moveTo>
                                <a:lnTo>
                                  <a:pt x="22845" y="189595"/>
                                </a:lnTo>
                              </a:path>
                              <a:path w="22860" h="949325">
                                <a:moveTo>
                                  <a:pt x="0" y="0"/>
                                </a:moveTo>
                                <a:lnTo>
                                  <a:pt x="22845" y="0"/>
                                </a:lnTo>
                              </a:path>
                            </a:pathLst>
                          </a:custGeom>
                          <a:ln w="5488">
                            <a:solidFill>
                              <a:srgbClr val="858585"/>
                            </a:solidFill>
                            <a:prstDash val="solid"/>
                          </a:ln>
                        </wps:spPr>
                        <wps:bodyPr wrap="square" lIns="0" tIns="0" rIns="0" bIns="0" rtlCol="0">
                          <a:prstTxWarp prst="textNoShape">
                            <a:avLst/>
                          </a:prstTxWarp>
                          <a:noAutofit/>
                        </wps:bodyPr>
                      </wps:wsp>
                      <wps:wsp>
                        <wps:cNvPr id="214" name="Graphic 214"/>
                        <wps:cNvSpPr/>
                        <wps:spPr>
                          <a:xfrm>
                            <a:off x="2939206" y="1156109"/>
                            <a:ext cx="2404110" cy="1270"/>
                          </a:xfrm>
                          <a:custGeom>
                            <a:avLst/>
                            <a:gdLst/>
                            <a:ahLst/>
                            <a:cxnLst/>
                            <a:rect l="l" t="t" r="r" b="b"/>
                            <a:pathLst>
                              <a:path w="2404110">
                                <a:moveTo>
                                  <a:pt x="0" y="0"/>
                                </a:moveTo>
                                <a:lnTo>
                                  <a:pt x="2403979" y="0"/>
                                </a:lnTo>
                              </a:path>
                            </a:pathLst>
                          </a:custGeom>
                          <a:ln w="5485">
                            <a:solidFill>
                              <a:srgbClr val="858585"/>
                            </a:solidFill>
                            <a:prstDash val="solid"/>
                          </a:ln>
                        </wps:spPr>
                        <wps:bodyPr wrap="square" lIns="0" tIns="0" rIns="0" bIns="0" rtlCol="0">
                          <a:prstTxWarp prst="textNoShape">
                            <a:avLst/>
                          </a:prstTxWarp>
                          <a:noAutofit/>
                        </wps:bodyPr>
                      </wps:wsp>
                      <wps:wsp>
                        <wps:cNvPr id="215" name="Graphic 215"/>
                        <wps:cNvSpPr/>
                        <wps:spPr>
                          <a:xfrm>
                            <a:off x="2939206" y="1132410"/>
                            <a:ext cx="2404110" cy="46990"/>
                          </a:xfrm>
                          <a:custGeom>
                            <a:avLst/>
                            <a:gdLst/>
                            <a:ahLst/>
                            <a:cxnLst/>
                            <a:rect l="l" t="t" r="r" b="b"/>
                            <a:pathLst>
                              <a:path w="2404110" h="46990">
                                <a:moveTo>
                                  <a:pt x="0" y="0"/>
                                </a:moveTo>
                                <a:lnTo>
                                  <a:pt x="0" y="46521"/>
                                </a:lnTo>
                              </a:path>
                              <a:path w="2404110" h="46990">
                                <a:moveTo>
                                  <a:pt x="300497" y="0"/>
                                </a:moveTo>
                                <a:lnTo>
                                  <a:pt x="300497" y="46521"/>
                                </a:lnTo>
                              </a:path>
                              <a:path w="2404110" h="46990">
                                <a:moveTo>
                                  <a:pt x="600994" y="0"/>
                                </a:moveTo>
                                <a:lnTo>
                                  <a:pt x="600994" y="46521"/>
                                </a:lnTo>
                              </a:path>
                              <a:path w="2404110" h="46990">
                                <a:moveTo>
                                  <a:pt x="901492" y="0"/>
                                </a:moveTo>
                                <a:lnTo>
                                  <a:pt x="901492" y="46521"/>
                                </a:lnTo>
                              </a:path>
                              <a:path w="2404110" h="46990">
                                <a:moveTo>
                                  <a:pt x="1201989" y="0"/>
                                </a:moveTo>
                                <a:lnTo>
                                  <a:pt x="1201989" y="46521"/>
                                </a:lnTo>
                              </a:path>
                              <a:path w="2404110" h="46990">
                                <a:moveTo>
                                  <a:pt x="1502487" y="0"/>
                                </a:moveTo>
                                <a:lnTo>
                                  <a:pt x="1502487" y="46521"/>
                                </a:lnTo>
                              </a:path>
                              <a:path w="2404110" h="46990">
                                <a:moveTo>
                                  <a:pt x="1802984" y="0"/>
                                </a:moveTo>
                                <a:lnTo>
                                  <a:pt x="1802984" y="46521"/>
                                </a:lnTo>
                              </a:path>
                              <a:path w="2404110" h="46990">
                                <a:moveTo>
                                  <a:pt x="2103481" y="0"/>
                                </a:moveTo>
                                <a:lnTo>
                                  <a:pt x="2103481" y="46521"/>
                                </a:lnTo>
                              </a:path>
                              <a:path w="2404110" h="46990">
                                <a:moveTo>
                                  <a:pt x="2403979" y="0"/>
                                </a:moveTo>
                                <a:lnTo>
                                  <a:pt x="2403979" y="46521"/>
                                </a:lnTo>
                              </a:path>
                            </a:pathLst>
                          </a:custGeom>
                          <a:ln w="5488">
                            <a:solidFill>
                              <a:srgbClr val="858585"/>
                            </a:solidFill>
                            <a:prstDash val="solid"/>
                          </a:ln>
                        </wps:spPr>
                        <wps:bodyPr wrap="square" lIns="0" tIns="0" rIns="0" bIns="0" rtlCol="0">
                          <a:prstTxWarp prst="textNoShape">
                            <a:avLst/>
                          </a:prstTxWarp>
                          <a:noAutofit/>
                        </wps:bodyPr>
                      </wps:wsp>
                      <wps:wsp>
                        <wps:cNvPr id="216" name="Graphic 216"/>
                        <wps:cNvSpPr/>
                        <wps:spPr>
                          <a:xfrm>
                            <a:off x="2901424" y="1419435"/>
                            <a:ext cx="40005" cy="40005"/>
                          </a:xfrm>
                          <a:custGeom>
                            <a:avLst/>
                            <a:gdLst/>
                            <a:ahLst/>
                            <a:cxnLst/>
                            <a:rect l="l" t="t" r="r" b="b"/>
                            <a:pathLst>
                              <a:path w="40005" h="40005">
                                <a:moveTo>
                                  <a:pt x="39541" y="39512"/>
                                </a:moveTo>
                                <a:lnTo>
                                  <a:pt x="0" y="39512"/>
                                </a:lnTo>
                                <a:lnTo>
                                  <a:pt x="0" y="0"/>
                                </a:lnTo>
                                <a:lnTo>
                                  <a:pt x="39541" y="0"/>
                                </a:lnTo>
                                <a:lnTo>
                                  <a:pt x="39541" y="39512"/>
                                </a:lnTo>
                                <a:close/>
                              </a:path>
                            </a:pathLst>
                          </a:custGeom>
                          <a:solidFill>
                            <a:srgbClr val="FFD623"/>
                          </a:solidFill>
                        </wps:spPr>
                        <wps:bodyPr wrap="square" lIns="0" tIns="0" rIns="0" bIns="0" rtlCol="0">
                          <a:prstTxWarp prst="textNoShape">
                            <a:avLst/>
                          </a:prstTxWarp>
                          <a:noAutofit/>
                        </wps:bodyPr>
                      </wps:wsp>
                      <wps:wsp>
                        <wps:cNvPr id="217" name="Graphic 217"/>
                        <wps:cNvSpPr/>
                        <wps:spPr>
                          <a:xfrm>
                            <a:off x="2901424" y="1419435"/>
                            <a:ext cx="40005" cy="40005"/>
                          </a:xfrm>
                          <a:custGeom>
                            <a:avLst/>
                            <a:gdLst/>
                            <a:ahLst/>
                            <a:cxnLst/>
                            <a:rect l="l" t="t" r="r" b="b"/>
                            <a:pathLst>
                              <a:path w="40005" h="40005">
                                <a:moveTo>
                                  <a:pt x="0" y="0"/>
                                </a:moveTo>
                                <a:lnTo>
                                  <a:pt x="39541" y="0"/>
                                </a:lnTo>
                                <a:lnTo>
                                  <a:pt x="39541" y="39512"/>
                                </a:lnTo>
                                <a:lnTo>
                                  <a:pt x="0" y="39512"/>
                                </a:lnTo>
                                <a:lnTo>
                                  <a:pt x="0" y="0"/>
                                </a:lnTo>
                                <a:close/>
                              </a:path>
                            </a:pathLst>
                          </a:custGeom>
                          <a:ln w="5489">
                            <a:solidFill>
                              <a:srgbClr val="FFC000"/>
                            </a:solidFill>
                            <a:prstDash val="solid"/>
                          </a:ln>
                        </wps:spPr>
                        <wps:bodyPr wrap="square" lIns="0" tIns="0" rIns="0" bIns="0" rtlCol="0">
                          <a:prstTxWarp prst="textNoShape">
                            <a:avLst/>
                          </a:prstTxWarp>
                          <a:noAutofit/>
                        </wps:bodyPr>
                      </wps:wsp>
                      <wps:wsp>
                        <wps:cNvPr id="218" name="Graphic 218"/>
                        <wps:cNvSpPr/>
                        <wps:spPr>
                          <a:xfrm>
                            <a:off x="3129874" y="1419435"/>
                            <a:ext cx="40640" cy="40005"/>
                          </a:xfrm>
                          <a:custGeom>
                            <a:avLst/>
                            <a:gdLst/>
                            <a:ahLst/>
                            <a:cxnLst/>
                            <a:rect l="l" t="t" r="r" b="b"/>
                            <a:pathLst>
                              <a:path w="40640" h="40005">
                                <a:moveTo>
                                  <a:pt x="40420" y="39512"/>
                                </a:moveTo>
                                <a:lnTo>
                                  <a:pt x="0" y="39512"/>
                                </a:lnTo>
                                <a:lnTo>
                                  <a:pt x="0" y="0"/>
                                </a:lnTo>
                                <a:lnTo>
                                  <a:pt x="40420" y="0"/>
                                </a:lnTo>
                                <a:lnTo>
                                  <a:pt x="40420" y="39512"/>
                                </a:lnTo>
                                <a:close/>
                              </a:path>
                            </a:pathLst>
                          </a:custGeom>
                          <a:solidFill>
                            <a:srgbClr val="353A73"/>
                          </a:solidFill>
                        </wps:spPr>
                        <wps:bodyPr wrap="square" lIns="0" tIns="0" rIns="0" bIns="0" rtlCol="0">
                          <a:prstTxWarp prst="textNoShape">
                            <a:avLst/>
                          </a:prstTxWarp>
                          <a:noAutofit/>
                        </wps:bodyPr>
                      </wps:wsp>
                      <wps:wsp>
                        <wps:cNvPr id="219" name="Graphic 219"/>
                        <wps:cNvSpPr/>
                        <wps:spPr>
                          <a:xfrm>
                            <a:off x="3129874" y="1419435"/>
                            <a:ext cx="40640" cy="40005"/>
                          </a:xfrm>
                          <a:custGeom>
                            <a:avLst/>
                            <a:gdLst/>
                            <a:ahLst/>
                            <a:cxnLst/>
                            <a:rect l="l" t="t" r="r" b="b"/>
                            <a:pathLst>
                              <a:path w="40640" h="40005">
                                <a:moveTo>
                                  <a:pt x="0" y="0"/>
                                </a:moveTo>
                                <a:lnTo>
                                  <a:pt x="40420" y="0"/>
                                </a:lnTo>
                                <a:lnTo>
                                  <a:pt x="40420" y="39512"/>
                                </a:lnTo>
                                <a:lnTo>
                                  <a:pt x="0" y="39512"/>
                                </a:lnTo>
                                <a:lnTo>
                                  <a:pt x="0" y="0"/>
                                </a:lnTo>
                                <a:close/>
                              </a:path>
                            </a:pathLst>
                          </a:custGeom>
                          <a:ln w="5489">
                            <a:solidFill>
                              <a:srgbClr val="353A73"/>
                            </a:solidFill>
                            <a:prstDash val="solid"/>
                          </a:ln>
                        </wps:spPr>
                        <wps:bodyPr wrap="square" lIns="0" tIns="0" rIns="0" bIns="0" rtlCol="0">
                          <a:prstTxWarp prst="textNoShape">
                            <a:avLst/>
                          </a:prstTxWarp>
                          <a:noAutofit/>
                        </wps:bodyPr>
                      </wps:wsp>
                      <wps:wsp>
                        <wps:cNvPr id="220" name="Graphic 220"/>
                        <wps:cNvSpPr/>
                        <wps:spPr>
                          <a:xfrm>
                            <a:off x="3462006" y="1419435"/>
                            <a:ext cx="40640" cy="40005"/>
                          </a:xfrm>
                          <a:custGeom>
                            <a:avLst/>
                            <a:gdLst/>
                            <a:ahLst/>
                            <a:cxnLst/>
                            <a:rect l="l" t="t" r="r" b="b"/>
                            <a:pathLst>
                              <a:path w="40640" h="40005">
                                <a:moveTo>
                                  <a:pt x="40420" y="39512"/>
                                </a:moveTo>
                                <a:lnTo>
                                  <a:pt x="0" y="39512"/>
                                </a:lnTo>
                                <a:lnTo>
                                  <a:pt x="0" y="0"/>
                                </a:lnTo>
                                <a:lnTo>
                                  <a:pt x="40420" y="0"/>
                                </a:lnTo>
                                <a:lnTo>
                                  <a:pt x="40420" y="39512"/>
                                </a:lnTo>
                                <a:close/>
                              </a:path>
                            </a:pathLst>
                          </a:custGeom>
                          <a:solidFill>
                            <a:srgbClr val="2E9AFA"/>
                          </a:solidFill>
                        </wps:spPr>
                        <wps:bodyPr wrap="square" lIns="0" tIns="0" rIns="0" bIns="0" rtlCol="0">
                          <a:prstTxWarp prst="textNoShape">
                            <a:avLst/>
                          </a:prstTxWarp>
                          <a:noAutofit/>
                        </wps:bodyPr>
                      </wps:wsp>
                      <wps:wsp>
                        <wps:cNvPr id="221" name="Graphic 221"/>
                        <wps:cNvSpPr/>
                        <wps:spPr>
                          <a:xfrm>
                            <a:off x="3462006" y="1419435"/>
                            <a:ext cx="40640" cy="40005"/>
                          </a:xfrm>
                          <a:custGeom>
                            <a:avLst/>
                            <a:gdLst/>
                            <a:ahLst/>
                            <a:cxnLst/>
                            <a:rect l="l" t="t" r="r" b="b"/>
                            <a:pathLst>
                              <a:path w="40640" h="40005">
                                <a:moveTo>
                                  <a:pt x="0" y="0"/>
                                </a:moveTo>
                                <a:lnTo>
                                  <a:pt x="40420" y="0"/>
                                </a:lnTo>
                                <a:lnTo>
                                  <a:pt x="40420" y="39512"/>
                                </a:lnTo>
                                <a:lnTo>
                                  <a:pt x="0" y="39512"/>
                                </a:lnTo>
                                <a:lnTo>
                                  <a:pt x="0" y="0"/>
                                </a:lnTo>
                                <a:close/>
                              </a:path>
                            </a:pathLst>
                          </a:custGeom>
                          <a:ln w="5489">
                            <a:solidFill>
                              <a:srgbClr val="006FC0"/>
                            </a:solidFill>
                            <a:prstDash val="solid"/>
                          </a:ln>
                        </wps:spPr>
                        <wps:bodyPr wrap="square" lIns="0" tIns="0" rIns="0" bIns="0" rtlCol="0">
                          <a:prstTxWarp prst="textNoShape">
                            <a:avLst/>
                          </a:prstTxWarp>
                          <a:noAutofit/>
                        </wps:bodyPr>
                      </wps:wsp>
                      <wps:wsp>
                        <wps:cNvPr id="222" name="Graphic 222"/>
                        <wps:cNvSpPr/>
                        <wps:spPr>
                          <a:xfrm>
                            <a:off x="2707241" y="8887"/>
                            <a:ext cx="2761615" cy="1551305"/>
                          </a:xfrm>
                          <a:custGeom>
                            <a:avLst/>
                            <a:gdLst/>
                            <a:ahLst/>
                            <a:cxnLst/>
                            <a:rect l="l" t="t" r="r" b="b"/>
                            <a:pathLst>
                              <a:path w="2761615" h="1551305">
                                <a:moveTo>
                                  <a:pt x="0" y="0"/>
                                </a:moveTo>
                                <a:lnTo>
                                  <a:pt x="2761598" y="0"/>
                                </a:lnTo>
                                <a:lnTo>
                                  <a:pt x="2761598" y="1550987"/>
                                </a:lnTo>
                                <a:lnTo>
                                  <a:pt x="0" y="1550987"/>
                                </a:lnTo>
                                <a:lnTo>
                                  <a:pt x="0" y="0"/>
                                </a:lnTo>
                                <a:close/>
                              </a:path>
                            </a:pathLst>
                          </a:custGeom>
                          <a:ln w="5487">
                            <a:solidFill>
                              <a:srgbClr val="858585"/>
                            </a:solidFill>
                            <a:prstDash val="solid"/>
                          </a:ln>
                        </wps:spPr>
                        <wps:bodyPr wrap="square" lIns="0" tIns="0" rIns="0" bIns="0" rtlCol="0">
                          <a:prstTxWarp prst="textNoShape">
                            <a:avLst/>
                          </a:prstTxWarp>
                          <a:noAutofit/>
                        </wps:bodyPr>
                      </wps:wsp>
                      <wps:wsp>
                        <wps:cNvPr id="223" name="Textbox 223"/>
                        <wps:cNvSpPr txBox="1"/>
                        <wps:spPr>
                          <a:xfrm>
                            <a:off x="86236" y="168263"/>
                            <a:ext cx="86995" cy="73025"/>
                          </a:xfrm>
                          <a:prstGeom prst="rect">
                            <a:avLst/>
                          </a:prstGeom>
                        </wps:spPr>
                        <wps:txbx>
                          <w:txbxContent>
                            <w:p w14:paraId="0F881A92" w14:textId="77777777" w:rsidR="00E6279B" w:rsidRDefault="00E6279B" w:rsidP="00E6279B">
                              <w:pPr>
                                <w:spacing w:line="115" w:lineRule="exact"/>
                                <w:rPr>
                                  <w:rFonts w:ascii="Calibri"/>
                                  <w:sz w:val="11"/>
                                </w:rPr>
                              </w:pPr>
                              <w:r>
                                <w:rPr>
                                  <w:rFonts w:ascii="Calibri"/>
                                  <w:spacing w:val="-5"/>
                                  <w:w w:val="105"/>
                                  <w:sz w:val="11"/>
                                </w:rPr>
                                <w:t>50</w:t>
                              </w:r>
                            </w:p>
                          </w:txbxContent>
                        </wps:txbx>
                        <wps:bodyPr wrap="square" lIns="0" tIns="0" rIns="0" bIns="0" rtlCol="0">
                          <a:noAutofit/>
                        </wps:bodyPr>
                      </wps:wsp>
                      <wps:wsp>
                        <wps:cNvPr id="224" name="Textbox 224"/>
                        <wps:cNvSpPr txBox="1"/>
                        <wps:spPr>
                          <a:xfrm>
                            <a:off x="261519" y="46560"/>
                            <a:ext cx="1710055" cy="242570"/>
                          </a:xfrm>
                          <a:prstGeom prst="rect">
                            <a:avLst/>
                          </a:prstGeom>
                        </wps:spPr>
                        <wps:txbx>
                          <w:txbxContent>
                            <w:p w14:paraId="29CB3DBE" w14:textId="77777777" w:rsidR="00E6279B" w:rsidRDefault="00E6279B" w:rsidP="00E6279B">
                              <w:pPr>
                                <w:spacing w:line="153" w:lineRule="exact"/>
                                <w:ind w:left="377"/>
                                <w:rPr>
                                  <w:b/>
                                  <w:sz w:val="14"/>
                                </w:rPr>
                              </w:pPr>
                              <w:r>
                                <w:rPr>
                                  <w:i/>
                                  <w:sz w:val="14"/>
                                </w:rPr>
                                <w:t>Graph</w:t>
                              </w:r>
                              <w:r>
                                <w:rPr>
                                  <w:i/>
                                  <w:spacing w:val="-8"/>
                                  <w:sz w:val="14"/>
                                </w:rPr>
                                <w:t xml:space="preserve"> </w:t>
                              </w:r>
                              <w:r>
                                <w:rPr>
                                  <w:i/>
                                  <w:sz w:val="14"/>
                                </w:rPr>
                                <w:t>1.5a:</w:t>
                              </w:r>
                              <w:r>
                                <w:rPr>
                                  <w:i/>
                                  <w:spacing w:val="-8"/>
                                  <w:sz w:val="14"/>
                                </w:rPr>
                                <w:t xml:space="preserve"> </w:t>
                              </w:r>
                              <w:r>
                                <w:rPr>
                                  <w:b/>
                                  <w:sz w:val="14"/>
                                </w:rPr>
                                <w:t>Albania</w:t>
                              </w:r>
                              <w:r>
                                <w:rPr>
                                  <w:b/>
                                  <w:spacing w:val="-9"/>
                                  <w:sz w:val="14"/>
                                </w:rPr>
                                <w:t xml:space="preserve"> </w:t>
                              </w:r>
                              <w:r>
                                <w:rPr>
                                  <w:b/>
                                  <w:sz w:val="14"/>
                                </w:rPr>
                                <w:t>-</w:t>
                              </w:r>
                              <w:r>
                                <w:rPr>
                                  <w:b/>
                                  <w:spacing w:val="-7"/>
                                  <w:sz w:val="14"/>
                                </w:rPr>
                                <w:t xml:space="preserve"> </w:t>
                              </w:r>
                              <w:r>
                                <w:rPr>
                                  <w:b/>
                                  <w:sz w:val="14"/>
                                </w:rPr>
                                <w:t>Exports</w:t>
                              </w:r>
                              <w:r>
                                <w:rPr>
                                  <w:b/>
                                  <w:spacing w:val="-8"/>
                                  <w:sz w:val="14"/>
                                </w:rPr>
                                <w:t xml:space="preserve"> </w:t>
                              </w:r>
                              <w:r>
                                <w:rPr>
                                  <w:b/>
                                  <w:sz w:val="14"/>
                                </w:rPr>
                                <w:t>of</w:t>
                              </w:r>
                              <w:r>
                                <w:rPr>
                                  <w:b/>
                                  <w:spacing w:val="-8"/>
                                  <w:sz w:val="14"/>
                                </w:rPr>
                                <w:t xml:space="preserve"> </w:t>
                              </w:r>
                              <w:r>
                                <w:rPr>
                                  <w:b/>
                                  <w:spacing w:val="-2"/>
                                  <w:sz w:val="14"/>
                                </w:rPr>
                                <w:t>goods</w:t>
                              </w:r>
                            </w:p>
                            <w:p w14:paraId="750C6348" w14:textId="77777777" w:rsidR="00E6279B" w:rsidRDefault="00E6279B" w:rsidP="00E6279B">
                              <w:pPr>
                                <w:spacing w:before="82" w:line="146" w:lineRule="exact"/>
                                <w:rPr>
                                  <w:rFonts w:ascii="Calibri"/>
                                  <w:sz w:val="12"/>
                                </w:rPr>
                              </w:pPr>
                              <w:r>
                                <w:rPr>
                                  <w:rFonts w:ascii="Calibri"/>
                                  <w:w w:val="105"/>
                                  <w:sz w:val="12"/>
                                </w:rPr>
                                <w:t>%</w:t>
                              </w:r>
                              <w:r>
                                <w:rPr>
                                  <w:rFonts w:ascii="Calibri"/>
                                  <w:spacing w:val="-1"/>
                                  <w:w w:val="105"/>
                                  <w:sz w:val="12"/>
                                </w:rPr>
                                <w:t xml:space="preserve"> </w:t>
                              </w:r>
                              <w:r>
                                <w:rPr>
                                  <w:rFonts w:ascii="Calibri"/>
                                  <w:w w:val="105"/>
                                  <w:sz w:val="12"/>
                                </w:rPr>
                                <w:t xml:space="preserve">of </w:t>
                              </w:r>
                              <w:r>
                                <w:rPr>
                                  <w:rFonts w:ascii="Calibri"/>
                                  <w:spacing w:val="-5"/>
                                  <w:w w:val="105"/>
                                  <w:sz w:val="12"/>
                                </w:rPr>
                                <w:t>GDP</w:t>
                              </w:r>
                            </w:p>
                          </w:txbxContent>
                        </wps:txbx>
                        <wps:bodyPr wrap="square" lIns="0" tIns="0" rIns="0" bIns="0" rtlCol="0">
                          <a:noAutofit/>
                        </wps:bodyPr>
                      </wps:wsp>
                      <wps:wsp>
                        <wps:cNvPr id="225" name="Textbox 225"/>
                        <wps:cNvSpPr txBox="1"/>
                        <wps:spPr>
                          <a:xfrm>
                            <a:off x="3312684" y="44968"/>
                            <a:ext cx="1475105" cy="97790"/>
                          </a:xfrm>
                          <a:prstGeom prst="rect">
                            <a:avLst/>
                          </a:prstGeom>
                        </wps:spPr>
                        <wps:txbx>
                          <w:txbxContent>
                            <w:p w14:paraId="64BF4A67" w14:textId="77777777" w:rsidR="00E6279B" w:rsidRDefault="00E6279B" w:rsidP="00E6279B">
                              <w:pPr>
                                <w:spacing w:line="153" w:lineRule="exact"/>
                                <w:rPr>
                                  <w:b/>
                                  <w:sz w:val="14"/>
                                </w:rPr>
                              </w:pPr>
                              <w:r>
                                <w:rPr>
                                  <w:i/>
                                  <w:sz w:val="14"/>
                                </w:rPr>
                                <w:t>Graph</w:t>
                              </w:r>
                              <w:r>
                                <w:rPr>
                                  <w:i/>
                                  <w:spacing w:val="-9"/>
                                  <w:sz w:val="14"/>
                                </w:rPr>
                                <w:t xml:space="preserve"> </w:t>
                              </w:r>
                              <w:r>
                                <w:rPr>
                                  <w:i/>
                                  <w:sz w:val="14"/>
                                </w:rPr>
                                <w:t>1.5b:</w:t>
                              </w:r>
                              <w:r>
                                <w:rPr>
                                  <w:i/>
                                  <w:spacing w:val="-8"/>
                                  <w:sz w:val="14"/>
                                </w:rPr>
                                <w:t xml:space="preserve"> </w:t>
                              </w:r>
                              <w:r>
                                <w:rPr>
                                  <w:b/>
                                  <w:sz w:val="14"/>
                                </w:rPr>
                                <w:t>Albania</w:t>
                              </w:r>
                              <w:r>
                                <w:rPr>
                                  <w:b/>
                                  <w:spacing w:val="-8"/>
                                  <w:sz w:val="14"/>
                                </w:rPr>
                                <w:t xml:space="preserve"> </w:t>
                              </w:r>
                              <w:r>
                                <w:rPr>
                                  <w:b/>
                                  <w:sz w:val="14"/>
                                </w:rPr>
                                <w:t>-</w:t>
                              </w:r>
                              <w:r>
                                <w:rPr>
                                  <w:b/>
                                  <w:spacing w:val="-8"/>
                                  <w:sz w:val="14"/>
                                </w:rPr>
                                <w:t xml:space="preserve"> </w:t>
                              </w:r>
                              <w:r>
                                <w:rPr>
                                  <w:b/>
                                  <w:sz w:val="14"/>
                                </w:rPr>
                                <w:t>Imports</w:t>
                              </w:r>
                              <w:r>
                                <w:rPr>
                                  <w:b/>
                                  <w:spacing w:val="-6"/>
                                  <w:sz w:val="14"/>
                                </w:rPr>
                                <w:t xml:space="preserve"> </w:t>
                              </w:r>
                              <w:r>
                                <w:rPr>
                                  <w:b/>
                                  <w:sz w:val="14"/>
                                </w:rPr>
                                <w:t>of</w:t>
                              </w:r>
                              <w:r>
                                <w:rPr>
                                  <w:b/>
                                  <w:spacing w:val="-8"/>
                                  <w:sz w:val="14"/>
                                </w:rPr>
                                <w:t xml:space="preserve"> </w:t>
                              </w:r>
                              <w:r>
                                <w:rPr>
                                  <w:b/>
                                  <w:spacing w:val="-2"/>
                                  <w:sz w:val="14"/>
                                </w:rPr>
                                <w:t>goods</w:t>
                              </w:r>
                            </w:p>
                          </w:txbxContent>
                        </wps:txbx>
                        <wps:bodyPr wrap="square" lIns="0" tIns="0" rIns="0" bIns="0" rtlCol="0">
                          <a:noAutofit/>
                        </wps:bodyPr>
                      </wps:wsp>
                      <wps:wsp>
                        <wps:cNvPr id="226" name="Textbox 226"/>
                        <wps:cNvSpPr txBox="1"/>
                        <wps:spPr>
                          <a:xfrm>
                            <a:off x="2797255" y="173646"/>
                            <a:ext cx="86995" cy="73025"/>
                          </a:xfrm>
                          <a:prstGeom prst="rect">
                            <a:avLst/>
                          </a:prstGeom>
                        </wps:spPr>
                        <wps:txbx>
                          <w:txbxContent>
                            <w:p w14:paraId="35F71BBF" w14:textId="77777777" w:rsidR="00E6279B" w:rsidRDefault="00E6279B" w:rsidP="00E6279B">
                              <w:pPr>
                                <w:spacing w:line="115" w:lineRule="exact"/>
                                <w:rPr>
                                  <w:rFonts w:ascii="Calibri"/>
                                  <w:sz w:val="11"/>
                                </w:rPr>
                              </w:pPr>
                              <w:r>
                                <w:rPr>
                                  <w:rFonts w:ascii="Calibri"/>
                                  <w:spacing w:val="-5"/>
                                  <w:w w:val="105"/>
                                  <w:sz w:val="11"/>
                                </w:rPr>
                                <w:t>50</w:t>
                              </w:r>
                            </w:p>
                          </w:txbxContent>
                        </wps:txbx>
                        <wps:bodyPr wrap="square" lIns="0" tIns="0" rIns="0" bIns="0" rtlCol="0">
                          <a:noAutofit/>
                        </wps:bodyPr>
                      </wps:wsp>
                      <wps:wsp>
                        <wps:cNvPr id="227" name="Textbox 227"/>
                        <wps:cNvSpPr txBox="1"/>
                        <wps:spPr>
                          <a:xfrm>
                            <a:off x="2993456" y="212178"/>
                            <a:ext cx="316865" cy="81280"/>
                          </a:xfrm>
                          <a:prstGeom prst="rect">
                            <a:avLst/>
                          </a:prstGeom>
                        </wps:spPr>
                        <wps:txbx>
                          <w:txbxContent>
                            <w:p w14:paraId="12777D1C" w14:textId="77777777" w:rsidR="00E6279B" w:rsidRDefault="00E6279B" w:rsidP="00E6279B">
                              <w:pPr>
                                <w:spacing w:line="127" w:lineRule="exact"/>
                                <w:rPr>
                                  <w:rFonts w:ascii="Calibri"/>
                                  <w:sz w:val="12"/>
                                </w:rPr>
                              </w:pPr>
                              <w:r>
                                <w:rPr>
                                  <w:rFonts w:ascii="Calibri"/>
                                  <w:w w:val="105"/>
                                  <w:sz w:val="12"/>
                                </w:rPr>
                                <w:t>%</w:t>
                              </w:r>
                              <w:r>
                                <w:rPr>
                                  <w:rFonts w:ascii="Calibri"/>
                                  <w:spacing w:val="-1"/>
                                  <w:w w:val="105"/>
                                  <w:sz w:val="12"/>
                                </w:rPr>
                                <w:t xml:space="preserve"> </w:t>
                              </w:r>
                              <w:r>
                                <w:rPr>
                                  <w:rFonts w:ascii="Calibri"/>
                                  <w:w w:val="105"/>
                                  <w:sz w:val="12"/>
                                </w:rPr>
                                <w:t xml:space="preserve">of </w:t>
                              </w:r>
                              <w:r>
                                <w:rPr>
                                  <w:rFonts w:ascii="Calibri"/>
                                  <w:spacing w:val="-5"/>
                                  <w:w w:val="105"/>
                                  <w:sz w:val="12"/>
                                </w:rPr>
                                <w:t>GDP</w:t>
                              </w:r>
                            </w:p>
                          </w:txbxContent>
                        </wps:txbx>
                        <wps:bodyPr wrap="square" lIns="0" tIns="0" rIns="0" bIns="0" rtlCol="0">
                          <a:noAutofit/>
                        </wps:bodyPr>
                      </wps:wsp>
                      <wps:wsp>
                        <wps:cNvPr id="228" name="Textbox 228"/>
                        <wps:cNvSpPr txBox="1"/>
                        <wps:spPr>
                          <a:xfrm>
                            <a:off x="86236" y="359857"/>
                            <a:ext cx="2797810" cy="76835"/>
                          </a:xfrm>
                          <a:prstGeom prst="rect">
                            <a:avLst/>
                          </a:prstGeom>
                        </wps:spPr>
                        <wps:txbx>
                          <w:txbxContent>
                            <w:p w14:paraId="6DC577F0" w14:textId="77777777" w:rsidR="00E6279B" w:rsidRDefault="00E6279B" w:rsidP="00E6279B">
                              <w:pPr>
                                <w:tabs>
                                  <w:tab w:val="left" w:pos="4269"/>
                                </w:tabs>
                                <w:spacing w:line="120" w:lineRule="exact"/>
                                <w:rPr>
                                  <w:rFonts w:ascii="Calibri"/>
                                  <w:sz w:val="11"/>
                                </w:rPr>
                              </w:pPr>
                              <w:r>
                                <w:rPr>
                                  <w:rFonts w:ascii="Calibri"/>
                                  <w:spacing w:val="-5"/>
                                  <w:w w:val="105"/>
                                  <w:position w:val="1"/>
                                  <w:sz w:val="11"/>
                                </w:rPr>
                                <w:t>40</w:t>
                              </w:r>
                              <w:r>
                                <w:rPr>
                                  <w:rFonts w:ascii="Calibri"/>
                                  <w:position w:val="1"/>
                                  <w:sz w:val="11"/>
                                </w:rPr>
                                <w:tab/>
                              </w:r>
                              <w:r>
                                <w:rPr>
                                  <w:rFonts w:ascii="Calibri"/>
                                  <w:spacing w:val="-7"/>
                                  <w:w w:val="105"/>
                                  <w:sz w:val="11"/>
                                </w:rPr>
                                <w:t>40</w:t>
                              </w:r>
                            </w:p>
                          </w:txbxContent>
                        </wps:txbx>
                        <wps:bodyPr wrap="square" lIns="0" tIns="0" rIns="0" bIns="0" rtlCol="0">
                          <a:noAutofit/>
                        </wps:bodyPr>
                      </wps:wsp>
                      <wps:wsp>
                        <wps:cNvPr id="229" name="Textbox 229"/>
                        <wps:cNvSpPr txBox="1"/>
                        <wps:spPr>
                          <a:xfrm>
                            <a:off x="86236" y="551453"/>
                            <a:ext cx="86995" cy="73025"/>
                          </a:xfrm>
                          <a:prstGeom prst="rect">
                            <a:avLst/>
                          </a:prstGeom>
                        </wps:spPr>
                        <wps:txbx>
                          <w:txbxContent>
                            <w:p w14:paraId="008C4E11" w14:textId="77777777" w:rsidR="00E6279B" w:rsidRDefault="00E6279B" w:rsidP="00E6279B">
                              <w:pPr>
                                <w:spacing w:line="115" w:lineRule="exact"/>
                                <w:rPr>
                                  <w:rFonts w:ascii="Calibri"/>
                                  <w:sz w:val="11"/>
                                </w:rPr>
                              </w:pPr>
                              <w:r>
                                <w:rPr>
                                  <w:rFonts w:ascii="Calibri"/>
                                  <w:spacing w:val="-5"/>
                                  <w:w w:val="105"/>
                                  <w:sz w:val="11"/>
                                </w:rPr>
                                <w:t>30</w:t>
                              </w:r>
                            </w:p>
                          </w:txbxContent>
                        </wps:txbx>
                        <wps:bodyPr wrap="square" lIns="0" tIns="0" rIns="0" bIns="0" rtlCol="0">
                          <a:noAutofit/>
                        </wps:bodyPr>
                      </wps:wsp>
                      <wps:wsp>
                        <wps:cNvPr id="230" name="Textbox 230"/>
                        <wps:cNvSpPr txBox="1"/>
                        <wps:spPr>
                          <a:xfrm>
                            <a:off x="2797255" y="552981"/>
                            <a:ext cx="86995" cy="73025"/>
                          </a:xfrm>
                          <a:prstGeom prst="rect">
                            <a:avLst/>
                          </a:prstGeom>
                        </wps:spPr>
                        <wps:txbx>
                          <w:txbxContent>
                            <w:p w14:paraId="65847EF9" w14:textId="77777777" w:rsidR="00E6279B" w:rsidRDefault="00E6279B" w:rsidP="00E6279B">
                              <w:pPr>
                                <w:spacing w:line="115" w:lineRule="exact"/>
                                <w:rPr>
                                  <w:rFonts w:ascii="Calibri"/>
                                  <w:sz w:val="11"/>
                                </w:rPr>
                              </w:pPr>
                              <w:r>
                                <w:rPr>
                                  <w:rFonts w:ascii="Calibri"/>
                                  <w:spacing w:val="-5"/>
                                  <w:w w:val="105"/>
                                  <w:sz w:val="11"/>
                                </w:rPr>
                                <w:t>30</w:t>
                              </w:r>
                            </w:p>
                          </w:txbxContent>
                        </wps:txbx>
                        <wps:bodyPr wrap="square" lIns="0" tIns="0" rIns="0" bIns="0" rtlCol="0">
                          <a:noAutofit/>
                        </wps:bodyPr>
                      </wps:wsp>
                      <wps:wsp>
                        <wps:cNvPr id="231" name="Textbox 231"/>
                        <wps:cNvSpPr txBox="1"/>
                        <wps:spPr>
                          <a:xfrm>
                            <a:off x="86236" y="743048"/>
                            <a:ext cx="86995" cy="73025"/>
                          </a:xfrm>
                          <a:prstGeom prst="rect">
                            <a:avLst/>
                          </a:prstGeom>
                        </wps:spPr>
                        <wps:txbx>
                          <w:txbxContent>
                            <w:p w14:paraId="79C0B0F7" w14:textId="77777777" w:rsidR="00E6279B" w:rsidRDefault="00E6279B" w:rsidP="00E6279B">
                              <w:pPr>
                                <w:spacing w:line="115" w:lineRule="exact"/>
                                <w:rPr>
                                  <w:rFonts w:ascii="Calibri"/>
                                  <w:sz w:val="11"/>
                                </w:rPr>
                              </w:pPr>
                              <w:r>
                                <w:rPr>
                                  <w:rFonts w:ascii="Calibri"/>
                                  <w:spacing w:val="-5"/>
                                  <w:w w:val="105"/>
                                  <w:sz w:val="11"/>
                                </w:rPr>
                                <w:t>20</w:t>
                              </w:r>
                            </w:p>
                          </w:txbxContent>
                        </wps:txbx>
                        <wps:bodyPr wrap="square" lIns="0" tIns="0" rIns="0" bIns="0" rtlCol="0">
                          <a:noAutofit/>
                        </wps:bodyPr>
                      </wps:wsp>
                      <wps:wsp>
                        <wps:cNvPr id="232" name="Textbox 232"/>
                        <wps:cNvSpPr txBox="1"/>
                        <wps:spPr>
                          <a:xfrm>
                            <a:off x="2797255" y="742649"/>
                            <a:ext cx="86995" cy="73025"/>
                          </a:xfrm>
                          <a:prstGeom prst="rect">
                            <a:avLst/>
                          </a:prstGeom>
                        </wps:spPr>
                        <wps:txbx>
                          <w:txbxContent>
                            <w:p w14:paraId="11AEF918" w14:textId="77777777" w:rsidR="00E6279B" w:rsidRDefault="00E6279B" w:rsidP="00E6279B">
                              <w:pPr>
                                <w:spacing w:line="115" w:lineRule="exact"/>
                                <w:rPr>
                                  <w:rFonts w:ascii="Calibri"/>
                                  <w:sz w:val="11"/>
                                </w:rPr>
                              </w:pPr>
                              <w:r>
                                <w:rPr>
                                  <w:rFonts w:ascii="Calibri"/>
                                  <w:spacing w:val="-5"/>
                                  <w:w w:val="105"/>
                                  <w:sz w:val="11"/>
                                </w:rPr>
                                <w:t>20</w:t>
                              </w:r>
                            </w:p>
                          </w:txbxContent>
                        </wps:txbx>
                        <wps:bodyPr wrap="square" lIns="0" tIns="0" rIns="0" bIns="0" rtlCol="0">
                          <a:noAutofit/>
                        </wps:bodyPr>
                      </wps:wsp>
                      <wps:wsp>
                        <wps:cNvPr id="233" name="Textbox 233"/>
                        <wps:cNvSpPr txBox="1"/>
                        <wps:spPr>
                          <a:xfrm>
                            <a:off x="86236" y="932317"/>
                            <a:ext cx="5193665" cy="361950"/>
                          </a:xfrm>
                          <a:prstGeom prst="rect">
                            <a:avLst/>
                          </a:prstGeom>
                        </wps:spPr>
                        <wps:txbx>
                          <w:txbxContent>
                            <w:p w14:paraId="32DA68B3" w14:textId="77777777" w:rsidR="00E6279B" w:rsidRDefault="00E6279B" w:rsidP="00E6279B">
                              <w:pPr>
                                <w:tabs>
                                  <w:tab w:val="left" w:pos="4269"/>
                                </w:tabs>
                                <w:spacing w:line="119" w:lineRule="exact"/>
                                <w:rPr>
                                  <w:rFonts w:ascii="Calibri"/>
                                  <w:sz w:val="11"/>
                                </w:rPr>
                              </w:pPr>
                              <w:r>
                                <w:rPr>
                                  <w:rFonts w:ascii="Calibri"/>
                                  <w:spacing w:val="-5"/>
                                  <w:w w:val="105"/>
                                  <w:sz w:val="11"/>
                                </w:rPr>
                                <w:t>10</w:t>
                              </w:r>
                              <w:r>
                                <w:rPr>
                                  <w:rFonts w:ascii="Calibri"/>
                                  <w:sz w:val="11"/>
                                </w:rPr>
                                <w:tab/>
                              </w:r>
                              <w:r>
                                <w:rPr>
                                  <w:rFonts w:ascii="Calibri"/>
                                  <w:spacing w:val="-7"/>
                                  <w:w w:val="105"/>
                                  <w:sz w:val="11"/>
                                </w:rPr>
                                <w:t>10</w:t>
                              </w:r>
                            </w:p>
                            <w:p w14:paraId="7FEF63A1" w14:textId="77777777" w:rsidR="00E6279B" w:rsidRDefault="00E6279B" w:rsidP="00E6279B">
                              <w:pPr>
                                <w:spacing w:before="23"/>
                                <w:rPr>
                                  <w:rFonts w:ascii="Calibri"/>
                                  <w:sz w:val="11"/>
                                </w:rPr>
                              </w:pPr>
                            </w:p>
                            <w:p w14:paraId="1DCE2392" w14:textId="77777777" w:rsidR="00E6279B" w:rsidRDefault="00E6279B" w:rsidP="00E6279B">
                              <w:pPr>
                                <w:tabs>
                                  <w:tab w:val="left" w:pos="4327"/>
                                </w:tabs>
                                <w:ind w:left="58"/>
                                <w:rPr>
                                  <w:rFonts w:ascii="Calibri"/>
                                  <w:sz w:val="11"/>
                                </w:rPr>
                              </w:pPr>
                              <w:r>
                                <w:rPr>
                                  <w:rFonts w:ascii="Calibri"/>
                                  <w:spacing w:val="-10"/>
                                  <w:w w:val="105"/>
                                  <w:sz w:val="11"/>
                                </w:rPr>
                                <w:t>0</w:t>
                              </w:r>
                              <w:r>
                                <w:rPr>
                                  <w:rFonts w:ascii="Calibri"/>
                                  <w:sz w:val="11"/>
                                </w:rPr>
                                <w:tab/>
                              </w:r>
                              <w:r>
                                <w:rPr>
                                  <w:rFonts w:ascii="Calibri"/>
                                  <w:spacing w:val="-10"/>
                                  <w:w w:val="105"/>
                                  <w:position w:val="1"/>
                                  <w:sz w:val="11"/>
                                </w:rPr>
                                <w:t>0</w:t>
                              </w:r>
                            </w:p>
                            <w:p w14:paraId="08374E84" w14:textId="77777777" w:rsidR="00E6279B" w:rsidRDefault="00E6279B" w:rsidP="00E6279B">
                              <w:pPr>
                                <w:tabs>
                                  <w:tab w:val="left" w:pos="797"/>
                                  <w:tab w:val="left" w:pos="1258"/>
                                  <w:tab w:val="left" w:pos="1718"/>
                                  <w:tab w:val="left" w:pos="2178"/>
                                  <w:tab w:val="left" w:pos="2639"/>
                                  <w:tab w:val="left" w:pos="3099"/>
                                  <w:tab w:val="left" w:pos="3560"/>
                                  <w:tab w:val="left" w:pos="4612"/>
                                  <w:tab w:val="left" w:pos="5085"/>
                                  <w:tab w:val="left" w:pos="5559"/>
                                  <w:tab w:val="left" w:pos="6032"/>
                                  <w:tab w:val="left" w:pos="6505"/>
                                  <w:tab w:val="left" w:pos="6978"/>
                                  <w:tab w:val="left" w:pos="7451"/>
                                  <w:tab w:val="left" w:pos="7925"/>
                                </w:tabs>
                                <w:spacing w:before="5" w:line="143" w:lineRule="exact"/>
                                <w:ind w:left="337"/>
                                <w:rPr>
                                  <w:rFonts w:ascii="Calibri"/>
                                  <w:b/>
                                  <w:sz w:val="11"/>
                                </w:rPr>
                              </w:pPr>
                              <w:r>
                                <w:rPr>
                                  <w:rFonts w:ascii="Calibri"/>
                                  <w:b/>
                                  <w:spacing w:val="-4"/>
                                  <w:w w:val="105"/>
                                  <w:sz w:val="11"/>
                                </w:rPr>
                                <w:t>2015</w:t>
                              </w:r>
                              <w:r>
                                <w:rPr>
                                  <w:rFonts w:ascii="Calibri"/>
                                  <w:b/>
                                  <w:sz w:val="11"/>
                                </w:rPr>
                                <w:tab/>
                              </w:r>
                              <w:r>
                                <w:rPr>
                                  <w:rFonts w:ascii="Calibri"/>
                                  <w:b/>
                                  <w:spacing w:val="-4"/>
                                  <w:w w:val="105"/>
                                  <w:sz w:val="11"/>
                                </w:rPr>
                                <w:t>2016</w:t>
                              </w:r>
                              <w:r>
                                <w:rPr>
                                  <w:rFonts w:ascii="Calibri"/>
                                  <w:b/>
                                  <w:sz w:val="11"/>
                                </w:rPr>
                                <w:tab/>
                              </w:r>
                              <w:r>
                                <w:rPr>
                                  <w:rFonts w:ascii="Calibri"/>
                                  <w:b/>
                                  <w:spacing w:val="-4"/>
                                  <w:w w:val="105"/>
                                  <w:sz w:val="11"/>
                                </w:rPr>
                                <w:t>2017</w:t>
                              </w:r>
                              <w:r>
                                <w:rPr>
                                  <w:rFonts w:ascii="Calibri"/>
                                  <w:b/>
                                  <w:sz w:val="11"/>
                                </w:rPr>
                                <w:tab/>
                              </w:r>
                              <w:r>
                                <w:rPr>
                                  <w:rFonts w:ascii="Calibri"/>
                                  <w:b/>
                                  <w:spacing w:val="-4"/>
                                  <w:w w:val="105"/>
                                  <w:sz w:val="11"/>
                                </w:rPr>
                                <w:t>2018</w:t>
                              </w:r>
                              <w:r>
                                <w:rPr>
                                  <w:rFonts w:ascii="Calibri"/>
                                  <w:b/>
                                  <w:sz w:val="11"/>
                                </w:rPr>
                                <w:tab/>
                              </w:r>
                              <w:r>
                                <w:rPr>
                                  <w:rFonts w:ascii="Calibri"/>
                                  <w:b/>
                                  <w:spacing w:val="-4"/>
                                  <w:w w:val="105"/>
                                  <w:sz w:val="11"/>
                                </w:rPr>
                                <w:t>2019</w:t>
                              </w:r>
                              <w:r>
                                <w:rPr>
                                  <w:rFonts w:ascii="Calibri"/>
                                  <w:b/>
                                  <w:sz w:val="11"/>
                                </w:rPr>
                                <w:tab/>
                              </w:r>
                              <w:r>
                                <w:rPr>
                                  <w:rFonts w:ascii="Calibri"/>
                                  <w:b/>
                                  <w:spacing w:val="-4"/>
                                  <w:w w:val="105"/>
                                  <w:sz w:val="11"/>
                                </w:rPr>
                                <w:t>2020</w:t>
                              </w:r>
                              <w:r>
                                <w:rPr>
                                  <w:rFonts w:ascii="Calibri"/>
                                  <w:b/>
                                  <w:sz w:val="11"/>
                                </w:rPr>
                                <w:tab/>
                              </w:r>
                              <w:r>
                                <w:rPr>
                                  <w:rFonts w:ascii="Calibri"/>
                                  <w:b/>
                                  <w:spacing w:val="-4"/>
                                  <w:w w:val="105"/>
                                  <w:sz w:val="11"/>
                                </w:rPr>
                                <w:t>2021</w:t>
                              </w:r>
                              <w:r>
                                <w:rPr>
                                  <w:rFonts w:ascii="Calibri"/>
                                  <w:b/>
                                  <w:sz w:val="11"/>
                                </w:rPr>
                                <w:tab/>
                              </w:r>
                              <w:r>
                                <w:rPr>
                                  <w:rFonts w:ascii="Calibri"/>
                                  <w:b/>
                                  <w:spacing w:val="-4"/>
                                  <w:w w:val="105"/>
                                  <w:sz w:val="11"/>
                                </w:rPr>
                                <w:t>2022</w:t>
                              </w:r>
                              <w:r>
                                <w:rPr>
                                  <w:rFonts w:ascii="Calibri"/>
                                  <w:b/>
                                  <w:sz w:val="11"/>
                                </w:rPr>
                                <w:tab/>
                              </w:r>
                              <w:r>
                                <w:rPr>
                                  <w:rFonts w:ascii="Calibri"/>
                                  <w:b/>
                                  <w:spacing w:val="-4"/>
                                  <w:w w:val="105"/>
                                  <w:position w:val="1"/>
                                  <w:sz w:val="11"/>
                                </w:rPr>
                                <w:t>2015</w:t>
                              </w:r>
                              <w:r>
                                <w:rPr>
                                  <w:rFonts w:ascii="Calibri"/>
                                  <w:b/>
                                  <w:position w:val="1"/>
                                  <w:sz w:val="11"/>
                                </w:rPr>
                                <w:tab/>
                              </w:r>
                              <w:r>
                                <w:rPr>
                                  <w:rFonts w:ascii="Calibri"/>
                                  <w:b/>
                                  <w:spacing w:val="-4"/>
                                  <w:w w:val="105"/>
                                  <w:position w:val="1"/>
                                  <w:sz w:val="11"/>
                                </w:rPr>
                                <w:t>2016</w:t>
                              </w:r>
                              <w:r>
                                <w:rPr>
                                  <w:rFonts w:ascii="Calibri"/>
                                  <w:b/>
                                  <w:position w:val="1"/>
                                  <w:sz w:val="11"/>
                                </w:rPr>
                                <w:tab/>
                              </w:r>
                              <w:r>
                                <w:rPr>
                                  <w:rFonts w:ascii="Calibri"/>
                                  <w:b/>
                                  <w:spacing w:val="-4"/>
                                  <w:w w:val="105"/>
                                  <w:position w:val="1"/>
                                  <w:sz w:val="11"/>
                                </w:rPr>
                                <w:t>2017</w:t>
                              </w:r>
                              <w:r>
                                <w:rPr>
                                  <w:rFonts w:ascii="Calibri"/>
                                  <w:b/>
                                  <w:position w:val="1"/>
                                  <w:sz w:val="11"/>
                                </w:rPr>
                                <w:tab/>
                              </w:r>
                              <w:r>
                                <w:rPr>
                                  <w:rFonts w:ascii="Calibri"/>
                                  <w:b/>
                                  <w:spacing w:val="-4"/>
                                  <w:w w:val="105"/>
                                  <w:position w:val="1"/>
                                  <w:sz w:val="11"/>
                                </w:rPr>
                                <w:t>2018</w:t>
                              </w:r>
                              <w:r>
                                <w:rPr>
                                  <w:rFonts w:ascii="Calibri"/>
                                  <w:b/>
                                  <w:position w:val="1"/>
                                  <w:sz w:val="11"/>
                                </w:rPr>
                                <w:tab/>
                              </w:r>
                              <w:r>
                                <w:rPr>
                                  <w:rFonts w:ascii="Calibri"/>
                                  <w:b/>
                                  <w:spacing w:val="-4"/>
                                  <w:w w:val="105"/>
                                  <w:position w:val="1"/>
                                  <w:sz w:val="11"/>
                                </w:rPr>
                                <w:t>2019</w:t>
                              </w:r>
                              <w:r>
                                <w:rPr>
                                  <w:rFonts w:ascii="Calibri"/>
                                  <w:b/>
                                  <w:position w:val="1"/>
                                  <w:sz w:val="11"/>
                                </w:rPr>
                                <w:tab/>
                              </w:r>
                              <w:r>
                                <w:rPr>
                                  <w:rFonts w:ascii="Calibri"/>
                                  <w:b/>
                                  <w:spacing w:val="-4"/>
                                  <w:w w:val="105"/>
                                  <w:position w:val="1"/>
                                  <w:sz w:val="11"/>
                                </w:rPr>
                                <w:t>2020</w:t>
                              </w:r>
                              <w:r>
                                <w:rPr>
                                  <w:rFonts w:ascii="Calibri"/>
                                  <w:b/>
                                  <w:position w:val="1"/>
                                  <w:sz w:val="11"/>
                                </w:rPr>
                                <w:tab/>
                              </w:r>
                              <w:r>
                                <w:rPr>
                                  <w:rFonts w:ascii="Calibri"/>
                                  <w:b/>
                                  <w:spacing w:val="-4"/>
                                  <w:w w:val="105"/>
                                  <w:position w:val="1"/>
                                  <w:sz w:val="11"/>
                                </w:rPr>
                                <w:t>2021</w:t>
                              </w:r>
                              <w:r>
                                <w:rPr>
                                  <w:rFonts w:ascii="Calibri"/>
                                  <w:b/>
                                  <w:position w:val="1"/>
                                  <w:sz w:val="11"/>
                                </w:rPr>
                                <w:tab/>
                              </w:r>
                              <w:r>
                                <w:rPr>
                                  <w:rFonts w:ascii="Calibri"/>
                                  <w:b/>
                                  <w:spacing w:val="-4"/>
                                  <w:w w:val="105"/>
                                  <w:position w:val="1"/>
                                  <w:sz w:val="11"/>
                                </w:rPr>
                                <w:t>2022</w:t>
                              </w:r>
                            </w:p>
                          </w:txbxContent>
                        </wps:txbx>
                        <wps:bodyPr wrap="square" lIns="0" tIns="0" rIns="0" bIns="0" rtlCol="0">
                          <a:noAutofit/>
                        </wps:bodyPr>
                      </wps:wsp>
                      <wps:wsp>
                        <wps:cNvPr id="234" name="Textbox 234"/>
                        <wps:cNvSpPr txBox="1"/>
                        <wps:spPr>
                          <a:xfrm>
                            <a:off x="260153" y="1402663"/>
                            <a:ext cx="734060" cy="73025"/>
                          </a:xfrm>
                          <a:prstGeom prst="rect">
                            <a:avLst/>
                          </a:prstGeom>
                        </wps:spPr>
                        <wps:txbx>
                          <w:txbxContent>
                            <w:p w14:paraId="427BD724" w14:textId="77777777" w:rsidR="00E6279B" w:rsidRDefault="00E6279B" w:rsidP="00E6279B">
                              <w:pPr>
                                <w:tabs>
                                  <w:tab w:val="left" w:pos="350"/>
                                  <w:tab w:val="left" w:pos="863"/>
                                </w:tabs>
                                <w:spacing w:line="115" w:lineRule="exact"/>
                                <w:rPr>
                                  <w:rFonts w:ascii="Calibri"/>
                                  <w:sz w:val="11"/>
                                </w:rPr>
                              </w:pPr>
                              <w:r>
                                <w:rPr>
                                  <w:rFonts w:ascii="Calibri"/>
                                  <w:spacing w:val="-5"/>
                                  <w:w w:val="105"/>
                                  <w:sz w:val="11"/>
                                </w:rPr>
                                <w:t>EU</w:t>
                              </w:r>
                              <w:r>
                                <w:rPr>
                                  <w:rFonts w:ascii="Calibri"/>
                                  <w:sz w:val="11"/>
                                </w:rPr>
                                <w:tab/>
                              </w:r>
                              <w:r>
                                <w:rPr>
                                  <w:rFonts w:ascii="Calibri"/>
                                  <w:spacing w:val="-2"/>
                                  <w:w w:val="105"/>
                                  <w:sz w:val="11"/>
                                </w:rPr>
                                <w:t>CEFTA</w:t>
                              </w:r>
                              <w:r>
                                <w:rPr>
                                  <w:rFonts w:ascii="Calibri"/>
                                  <w:sz w:val="11"/>
                                </w:rPr>
                                <w:tab/>
                              </w:r>
                              <w:r>
                                <w:rPr>
                                  <w:rFonts w:ascii="Calibri"/>
                                  <w:spacing w:val="-4"/>
                                  <w:w w:val="105"/>
                                  <w:sz w:val="11"/>
                                </w:rPr>
                                <w:t>Other</w:t>
                              </w:r>
                            </w:p>
                          </w:txbxContent>
                        </wps:txbx>
                        <wps:bodyPr wrap="square" lIns="0" tIns="0" rIns="0" bIns="0" rtlCol="0">
                          <a:noAutofit/>
                        </wps:bodyPr>
                      </wps:wsp>
                      <wps:wsp>
                        <wps:cNvPr id="235" name="Textbox 235"/>
                        <wps:cNvSpPr txBox="1"/>
                        <wps:spPr>
                          <a:xfrm>
                            <a:off x="2102904" y="1424877"/>
                            <a:ext cx="461645" cy="106680"/>
                          </a:xfrm>
                          <a:prstGeom prst="rect">
                            <a:avLst/>
                          </a:prstGeom>
                        </wps:spPr>
                        <wps:txbx>
                          <w:txbxContent>
                            <w:p w14:paraId="307CB839" w14:textId="77777777" w:rsidR="00E6279B" w:rsidRDefault="00E6279B" w:rsidP="00E6279B">
                              <w:pPr>
                                <w:spacing w:before="1"/>
                                <w:ind w:left="20"/>
                                <w:rPr>
                                  <w:rFonts w:ascii="Calibri"/>
                                  <w:i/>
                                  <w:sz w:val="12"/>
                                </w:rPr>
                              </w:pPr>
                              <w:r>
                                <w:rPr>
                                  <w:rFonts w:ascii="Calibri"/>
                                  <w:i/>
                                  <w:w w:val="105"/>
                                  <w:sz w:val="11"/>
                                </w:rPr>
                                <w:t>Source</w:t>
                              </w:r>
                              <w:r>
                                <w:rPr>
                                  <w:rFonts w:ascii="Calibri"/>
                                  <w:i/>
                                  <w:w w:val="105"/>
                                  <w:sz w:val="12"/>
                                </w:rPr>
                                <w:t>:</w:t>
                              </w:r>
                              <w:r>
                                <w:rPr>
                                  <w:rFonts w:ascii="Calibri"/>
                                  <w:i/>
                                  <w:spacing w:val="-5"/>
                                  <w:w w:val="105"/>
                                  <w:sz w:val="12"/>
                                </w:rPr>
                                <w:t xml:space="preserve"> </w:t>
                              </w:r>
                              <w:proofErr w:type="spellStart"/>
                              <w:r>
                                <w:rPr>
                                  <w:rFonts w:ascii="Calibri"/>
                                  <w:i/>
                                  <w:spacing w:val="-4"/>
                                  <w:w w:val="105"/>
                                  <w:sz w:val="12"/>
                                </w:rPr>
                                <w:t>WiiW</w:t>
                              </w:r>
                              <w:proofErr w:type="spellEnd"/>
                            </w:p>
                          </w:txbxContent>
                        </wps:txbx>
                        <wps:bodyPr wrap="square" lIns="0" tIns="0" rIns="0" bIns="0" rtlCol="0">
                          <a:noAutofit/>
                        </wps:bodyPr>
                      </wps:wsp>
                      <wps:wsp>
                        <wps:cNvPr id="236" name="Textbox 236"/>
                        <wps:cNvSpPr txBox="1"/>
                        <wps:spPr>
                          <a:xfrm>
                            <a:off x="2958668" y="1405121"/>
                            <a:ext cx="746760" cy="73025"/>
                          </a:xfrm>
                          <a:prstGeom prst="rect">
                            <a:avLst/>
                          </a:prstGeom>
                        </wps:spPr>
                        <wps:txbx>
                          <w:txbxContent>
                            <w:p w14:paraId="0D66AE51" w14:textId="77777777" w:rsidR="00E6279B" w:rsidRDefault="00E6279B" w:rsidP="00E6279B">
                              <w:pPr>
                                <w:tabs>
                                  <w:tab w:val="left" w:pos="360"/>
                                  <w:tab w:val="left" w:pos="883"/>
                                </w:tabs>
                                <w:spacing w:line="115" w:lineRule="exact"/>
                                <w:rPr>
                                  <w:rFonts w:ascii="Calibri"/>
                                  <w:sz w:val="11"/>
                                </w:rPr>
                              </w:pPr>
                              <w:r>
                                <w:rPr>
                                  <w:rFonts w:ascii="Calibri"/>
                                  <w:spacing w:val="-5"/>
                                  <w:w w:val="105"/>
                                  <w:sz w:val="11"/>
                                </w:rPr>
                                <w:t>EU</w:t>
                              </w:r>
                              <w:r>
                                <w:rPr>
                                  <w:rFonts w:ascii="Calibri"/>
                                  <w:sz w:val="11"/>
                                </w:rPr>
                                <w:tab/>
                              </w:r>
                              <w:r>
                                <w:rPr>
                                  <w:rFonts w:ascii="Calibri"/>
                                  <w:spacing w:val="-2"/>
                                  <w:w w:val="105"/>
                                  <w:sz w:val="11"/>
                                </w:rPr>
                                <w:t>CEFTA</w:t>
                              </w:r>
                              <w:r>
                                <w:rPr>
                                  <w:rFonts w:ascii="Calibri"/>
                                  <w:sz w:val="11"/>
                                </w:rPr>
                                <w:tab/>
                              </w:r>
                              <w:r>
                                <w:rPr>
                                  <w:rFonts w:ascii="Calibri"/>
                                  <w:spacing w:val="-4"/>
                                  <w:w w:val="105"/>
                                  <w:sz w:val="11"/>
                                </w:rPr>
                                <w:t>Other</w:t>
                              </w:r>
                            </w:p>
                          </w:txbxContent>
                        </wps:txbx>
                        <wps:bodyPr wrap="square" lIns="0" tIns="0" rIns="0" bIns="0" rtlCol="0">
                          <a:noAutofit/>
                        </wps:bodyPr>
                      </wps:wsp>
                      <wps:wsp>
                        <wps:cNvPr id="237" name="Textbox 237"/>
                        <wps:cNvSpPr txBox="1"/>
                        <wps:spPr>
                          <a:xfrm>
                            <a:off x="4849404" y="1429671"/>
                            <a:ext cx="461645" cy="106680"/>
                          </a:xfrm>
                          <a:prstGeom prst="rect">
                            <a:avLst/>
                          </a:prstGeom>
                        </wps:spPr>
                        <wps:txbx>
                          <w:txbxContent>
                            <w:p w14:paraId="4BF08A5A" w14:textId="77777777" w:rsidR="00E6279B" w:rsidRDefault="00E6279B" w:rsidP="00E6279B">
                              <w:pPr>
                                <w:spacing w:before="1"/>
                                <w:ind w:left="20"/>
                                <w:rPr>
                                  <w:rFonts w:ascii="Calibri"/>
                                  <w:i/>
                                  <w:sz w:val="12"/>
                                </w:rPr>
                              </w:pPr>
                              <w:r>
                                <w:rPr>
                                  <w:rFonts w:ascii="Calibri"/>
                                  <w:i/>
                                  <w:w w:val="105"/>
                                  <w:sz w:val="11"/>
                                </w:rPr>
                                <w:t>Source</w:t>
                              </w:r>
                              <w:r>
                                <w:rPr>
                                  <w:rFonts w:ascii="Calibri"/>
                                  <w:i/>
                                  <w:w w:val="105"/>
                                  <w:sz w:val="12"/>
                                </w:rPr>
                                <w:t>:</w:t>
                              </w:r>
                              <w:r>
                                <w:rPr>
                                  <w:rFonts w:ascii="Calibri"/>
                                  <w:i/>
                                  <w:spacing w:val="-5"/>
                                  <w:w w:val="105"/>
                                  <w:sz w:val="12"/>
                                </w:rPr>
                                <w:t xml:space="preserve"> </w:t>
                              </w:r>
                              <w:proofErr w:type="spellStart"/>
                              <w:r>
                                <w:rPr>
                                  <w:rFonts w:ascii="Calibri"/>
                                  <w:i/>
                                  <w:spacing w:val="-4"/>
                                  <w:w w:val="105"/>
                                  <w:sz w:val="12"/>
                                </w:rPr>
                                <w:t>WiiW</w:t>
                              </w:r>
                              <w:proofErr w:type="spellEnd"/>
                            </w:p>
                          </w:txbxContent>
                        </wps:txbx>
                        <wps:bodyPr wrap="square" lIns="0" tIns="0" rIns="0" bIns="0" rtlCol="0">
                          <a:noAutofit/>
                        </wps:bodyPr>
                      </wps:wsp>
                    </wpg:wgp>
                  </a:graphicData>
                </a:graphic>
              </wp:anchor>
            </w:drawing>
          </mc:Choice>
          <mc:Fallback>
            <w:pict>
              <v:group w14:anchorId="6BAC754C" id="Group 190" o:spid="_x0000_s1141" style="position:absolute;margin-left:72.05pt;margin-top:6.05pt;width:430.85pt;height:123.05pt;z-index:-251642880;mso-wrap-distance-left:0;mso-wrap-distance-right:0;mso-position-horizontal-relative:page" coordsize="54717,15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">
                <v:shape id="Graphic 191" o:spid="_x0000_s1142" style="position:absolute;left:3164;top:8392;width:21634;height:3213;visibility:visible;mso-wrap-style:square;v-text-anchor:top" coordsize="2163445,32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" path="m116865,77254l,77254,,321259r116865,l116865,77254xem409460,74612r-117741,l291719,321259r117741,l409460,74612xem701167,61442r-116866,l584301,321259r116866,l701167,61442xem993762,44767r-116866,l876896,321259r116866,l993762,44767xem1286344,62331r-116865,l1169479,321259r116865,l1286344,62331xem1578940,84264r-116866,l1462074,321259r116866,l1578940,84264xem1870646,45643r-116865,l1753781,321259r116865,l1870646,45643xem2163241,l2046376,r,321259l2163241,321259,2163241,xe" fillcolor="#ffd623" stroked="f">
                  <v:path arrowok="t"/>
                </v:shape>
                <v:shape id="Graphic 192" o:spid="_x0000_s1143" style="position:absolute;left:3164;top:8392;width:21634;height:3213;visibility:visible;mso-wrap-style:square;v-text-anchor:top" coordsize="2163445,32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" path="m,77242r116860,l116860,321258,,321258,,77242xem291711,74609r117739,l409450,321258r-117739,l291711,74609xem584301,61442r116860,l701161,321258r-116860,l584301,61442xem876890,44765r116861,l993751,321258r-116861,l876890,44765xem1169480,62320r116861,l1286341,321258r-116861,l1169480,62320xem1462070,84264r116861,l1578931,321258r-116861,l1462070,84264xem1753781,45643r116861,l1870642,321258r-116861,l1753781,45643xem2046371,r116861,l2163232,321258r-116861,l2046371,xe" filled="f" strokecolor="#ffc000" strokeweight=".15244mm">
                  <v:path arrowok="t"/>
                </v:shape>
                <v:shape id="Graphic 193" o:spid="_x0000_s1144" style="position:absolute;left:3164;top:7663;width:21634;height:1575;visibility:visible;mso-wrap-style:square;v-text-anchor:top" coordsize="2163445,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" path="m116865,103568l,103568r,46533l116865,150101r,-46533xem409460,104457r-117741,l291719,147459r117741,l409460,104457xem701179,84264r-116865,l584314,134302r116865,l701179,84264xem993775,58813r-116866,l876909,117614r116866,l993775,58813xem1286370,77241r-116866,l1169504,135178r116866,l1286370,77241xem1578965,100939r-116865,l1462100,157111r116865,l1578965,100939xem1870671,47396r-116852,l1753819,118491r116852,l1870671,47396xem2163267,l2046414,r,72847l2163267,72847r,-72847xe" fillcolor="#353a73" stroked="f">
                  <v:path arrowok="t"/>
                </v:shape>
                <v:shape id="Graphic 194" o:spid="_x0000_s1145" style="position:absolute;left:3164;top:7233;width:21634;height:1480;visibility:visible;mso-wrap-style:square;v-text-anchor:top" coordsize="216344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" path="m116865,112356l,112356r,34227l116865,146583r,-34227xem409460,120256r-117741,l291719,147459r117741,l409460,120256xem701179,99187r-116865,l584314,127279r116865,l701179,99187xem993775,73736r-116866,l876909,101815r116866,l993775,73736xem1286370,98310r-116866,l1169504,120256r116866,l1286370,98310xem1578965,120256r-116865,l1462100,143954r116865,l1578965,120256xem1870671,56172r-116852,l1753819,90411r116852,l1870671,56172xem2163267,l2046414,r,43014l2163267,43014r,-43014xe" fillcolor="#2e9afa" stroked="f">
                  <v:path arrowok="t"/>
                </v:shape>
                <v:shape id="Graphic 195" o:spid="_x0000_s1146" style="position:absolute;left:3164;top:7233;width:21634;height:1480;visibility:visible;mso-wrap-style:square;v-text-anchor:top" coordsize="216344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" path="m,112351r116861,l116861,146583,,146583,,112351xem291715,120251r117741,l409456,147461r-117741,l291715,120251xem584309,99185r116862,l701171,127273r-116862,l584309,99185xem876904,73730r116862,l993766,101818r-116862,l876904,73730xem1169498,98307r116862,l1286360,120251r-116862,l1169498,98307xem1462092,120251r116862,l1578954,143950r-116862,l1462092,120251xem1753808,56175r116862,l1870670,90408r-116862,l1753808,56175xem2046402,r116862,l2163264,43009r-116862,l2046402,xe" filled="f" strokecolor="#006fc0" strokeweight=".15244mm">
                  <v:path arrowok="t"/>
                </v:shape>
                <v:shape id="Graphic 196" o:spid="_x0000_s1147" style="position:absolute;left:2285;top:2019;width:13;height:9589;visibility:visible;mso-wrap-style:square;v-text-anchor:top" coordsize="1270,95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" path="m,958512l,e" filled="f" strokecolor="#858585" strokeweight=".15253mm">
                  <v:path arrowok="t"/>
                </v:shape>
                <v:shape id="Graphic 197" o:spid="_x0000_s1148" style="position:absolute;left:2048;top:2019;width:241;height:9589;visibility:visible;mso-wrap-style:square;v-text-anchor:top" coordsize="24130,95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" path="m,958512r23724,em,766283r23724,em,574932r23724,em,383580r23724,em,192229r23724,em,l23724,e" filled="f" strokecolor="#858585" strokeweight=".15244mm">
                  <v:path arrowok="t"/>
                </v:shape>
                <v:shape id="Graphic 198" o:spid="_x0000_s1149" style="position:absolute;left:2285;top:11604;width:23393;height:13;visibility:visible;mso-wrap-style:square;v-text-anchor:top" coordsize="2339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" path="m,l2338995,e" filled="f" strokecolor="#858585" strokeweight=".15239mm">
                  <v:path arrowok="t"/>
                </v:shape>
                <v:shape id="Graphic 199" o:spid="_x0000_s1150" style="position:absolute;left:2285;top:11367;width:23393;height:470;visibility:visible;mso-wrap-style:square;v-text-anchor:top" coordsize="2339340,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" path="m,l,46521em292594,r,46521em584309,r,46521em876903,r,46521em1169497,r,46521em1462092,r,46521em1754686,r,46521em2046401,r,46521em2338995,r,46521e" filled="f" strokecolor="#858585" strokeweight=".15244mm">
                  <v:path arrowok="t"/>
                </v:shape>
                <v:shape id="Graphic 200" o:spid="_x0000_s1151" style="position:absolute;left:2021;top:14168;width:407;height:400;visibility:visible;mso-wrap-style:square;v-text-anchor:top" coordsize="40640,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" path="m40420,39512l,39512,,,40420,r,39512xe" fillcolor="#ffd623" stroked="f">
                  <v:path arrowok="t"/>
                </v:shape>
                <v:shape id="Graphic 201" o:spid="_x0000_s1152" style="position:absolute;left:2021;top:14168;width:407;height:400;visibility:visible;mso-wrap-style:square;v-text-anchor:top" coordsize="40640,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" path="m,l40420,r,39512l,39512,,xe" filled="f" strokecolor="#ffc000" strokeweight=".15247mm">
                  <v:path arrowok="t"/>
                </v:shape>
                <v:shape id="Graphic 202" o:spid="_x0000_s1153" style="position:absolute;left:4244;top:14168;width:407;height:400;visibility:visible;mso-wrap-style:square;v-text-anchor:top" coordsize="40640,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" path="m40420,39512l,39512,,,40420,r,39512xe" fillcolor="#353a73" stroked="f">
                  <v:path arrowok="t"/>
                </v:shape>
                <v:shape id="Graphic 203" o:spid="_x0000_s1154" style="position:absolute;left:4244;top:14168;width:407;height:400;visibility:visible;mso-wrap-style:square;v-text-anchor:top" coordsize="40640,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" path="m,l40420,r,39512l,39512,,xe" filled="f" strokecolor="#353a73" strokeweight=".15247mm">
                  <v:path arrowok="t"/>
                </v:shape>
                <v:shape id="Graphic 204" o:spid="_x0000_s1155" style="position:absolute;left:7513;top:14168;width:400;height:400;visibility:visible;mso-wrap-style:square;v-text-anchor:top" coordsize="40005,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" path="m39541,39512l,39512,,,39541,r,39512xe" fillcolor="#2e9afa" stroked="f">
                  <v:path arrowok="t"/>
                </v:shape>
                <v:shape id="Graphic 205" o:spid="_x0000_s1156" style="position:absolute;left:7513;top:14168;width:400;height:400;visibility:visible;mso-wrap-style:square;v-text-anchor:top" coordsize="40005,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" path="m,l39541,r,39512l,39512,,xe" filled="f" strokecolor="#006fc0" strokeweight=".15247mm">
                  <v:path arrowok="t"/>
                </v:shape>
                <v:shape id="Graphic 206" o:spid="_x0000_s1157" style="position:absolute;left:27;top:27;width:26879;height:15551;visibility:visible;mso-wrap-style:square;v-text-anchor:top" coordsize="2687955,155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" path="m,l2687788,r,1554488l,1554488,,xe" filled="f" strokecolor="#858585" strokeweight=".15242mm">
                  <v:path arrowok="t"/>
                </v:shape>
                <v:shape id="Graphic 207" o:spid="_x0000_s1158" style="position:absolute;left:30297;top:6900;width:22231;height:4661;visibility:visible;mso-wrap-style:square;v-text-anchor:top" coordsize="2223135,466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" path="m120370,28079l,28079,,466077r120370,l120370,28079xem420865,l300494,r,466077l420865,466077,420865,xem721372,876r-120383,l600989,466077r120383,l721372,876xem1021867,20180r-120371,l901496,466077r120371,l1021867,20180xem1321485,47396r-119494,l1201991,466077r119494,l1321485,47396xem1621980,62318r-119494,l1502486,466077r119494,l1621980,62318xem1922487,21056r-119507,l1802980,466077r119507,l1922487,21056xem2222982,29845r-119494,l2103488,466077r119494,l2222982,29845xe" fillcolor="#ffd623" stroked="f">
                  <v:path arrowok="t"/>
                </v:shape>
                <v:shape id="Graphic 208" o:spid="_x0000_s1159" style="position:absolute;left:30297;top:6900;width:22231;height:4661;visibility:visible;mso-wrap-style:square;v-text-anchor:top" coordsize="2223135,466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" path="m,28087r120375,l120375,466083,,466083,,28087xem300498,l420873,r,466083l300498,466083,300498,xem600996,877r120375,l721371,466083r-120375,l600996,877xem901494,20188r120375,l1021869,466083r-120375,l901494,20188xem1201992,47398r119497,l1321489,466083r-119497,l1201992,47398xem1502490,62319r119497,l1621987,466083r-119497,l1502490,62319xem1802989,21065r119496,l1922485,466083r-119496,l1802989,21065xem2103487,29843r119496,l2222983,466083r-119496,l2103487,29843xe" filled="f" strokecolor="#ffc000" strokeweight=".15244mm">
                  <v:path arrowok="t"/>
                </v:shape>
                <v:shape id="Graphic 209" o:spid="_x0000_s1160" style="position:absolute;left:30297;top:6303;width:22231;height:1225;visibility:visible;mso-wrap-style:square;v-text-anchor:top" coordsize="2223135,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" path="m120370,33362l,33362,,87782r120370,l120370,33362xem420878,10541r-120371,l300507,59690r120371,l420878,10541xem721385,l601002,r,60566l721385,60566,721385,xem1021880,27216r-120371,l901509,79883r120371,l1021880,27216xem1321511,57061r-119507,l1202004,107086r119507,l1321511,57061xem1622005,69342r-119494,l1502511,122008r119494,l1622005,69342xem1922513,13169r-119494,l1803019,80759r119494,l1922513,13169xem2223008,25463r-119495,l2103513,89535r119495,l2223008,25463xe" fillcolor="#353a73" stroked="f">
                  <v:path arrowok="t"/>
                </v:shape>
                <v:shape id="Graphic 210" o:spid="_x0000_s1161" style="position:absolute;left:30297;top:3117;width:22231;height:3880;visibility:visible;mso-wrap-style:square;v-text-anchor:top" coordsize="2223135,387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" path="m120370,123761l,123761,,351980r120370,l120370,123761xem420878,98298r-120371,l300507,329158r120371,l420878,98298xem721385,78117r-120383,l601002,318617r120383,l721385,78117xem1021880,100939r-120371,l901509,345833r120371,l1021880,100939xem1321511,116738r-119507,l1202004,375678r119507,l1321511,116738xem1622005,147459r-119494,l1502511,387959r119494,l1622005,147459xem1922513,26327r-119494,l1803019,331787r119494,l1922513,26327xem2223008,l2103513,r,344081l2223008,344081,2223008,xe" fillcolor="#2e9afa" stroked="f">
                  <v:path arrowok="t"/>
                </v:shape>
                <v:shape id="Graphic 211" o:spid="_x0000_s1162" style="position:absolute;left:30297;top:3117;width:22231;height:3879;visibility:visible;mso-wrap-style:square;v-text-anchor:top" coordsize="2223135,387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" path="m,123763r120376,l120376,351980,,351980,,123763xem300502,98308r120377,l420879,329158r-120377,l300502,98308xem601004,78120r120377,l721381,318625r-120377,l601004,78120xem901506,100941r120377,l1021883,345835r-120377,l901506,100941xem1202009,116741r119498,l1321507,375679r-119498,l1202009,116741xem1502511,147462r119498,l1622009,387967r-119498,l1502511,147462xem1803014,26332r119498,l1922512,331791r-119498,l1803014,26332xem2103516,r119498,l2223014,344080r-119498,l2103516,xe" filled="f" strokecolor="#006fc0" strokeweight=".15244mm">
                  <v:path arrowok="t"/>
                </v:shape>
                <v:shape id="Graphic 212" o:spid="_x0000_s1163" style="position:absolute;left:29392;top:2072;width:12;height:9493;visibility:visible;mso-wrap-style:square;v-text-anchor:top" coordsize="1270,949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" path="m,948857l,e" filled="f" strokecolor="#858585" strokeweight=".15253mm">
                  <v:path arrowok="t"/>
                </v:shape>
                <v:shape id="Graphic 213" o:spid="_x0000_s1164" style="position:absolute;left:29163;top:2072;width:229;height:9493;visibility:visible;mso-wrap-style:square;v-text-anchor:top" coordsize="22860,949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" path="m,948857r22845,em,759261r22845,em,569665r22845,em,380069r22845,em,189595r22845,em,l22845,e" filled="f" strokecolor="#858585" strokeweight=".15244mm">
                  <v:path arrowok="t"/>
                </v:shape>
                <v:shape id="Graphic 214" o:spid="_x0000_s1165" style="position:absolute;left:29392;top:11561;width:24041;height:12;visibility:visible;mso-wrap-style:square;v-text-anchor:top" coordsize="24041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" path="m,l2403979,e" filled="f" strokecolor="#858585" strokeweight=".15236mm">
                  <v:path arrowok="t"/>
                </v:shape>
                <v:shape id="Graphic 215" o:spid="_x0000_s1166" style="position:absolute;left:29392;top:11324;width:24041;height:470;visibility:visible;mso-wrap-style:square;v-text-anchor:top" coordsize="2404110,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" path="m,l,46521em300497,r,46521em600994,r,46521em901492,r,46521em1201989,r,46521em1502487,r,46521em1802984,r,46521em2103481,r,46521em2403979,r,46521e" filled="f" strokecolor="#858585" strokeweight=".15244mm">
                  <v:path arrowok="t"/>
                </v:shape>
                <v:shape id="Graphic 216" o:spid="_x0000_s1167" style="position:absolute;left:29014;top:14194;width:400;height:400;visibility:visible;mso-wrap-style:square;v-text-anchor:top" coordsize="40005,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" path="m39541,39512l,39512,,,39541,r,39512xe" fillcolor="#ffd623" stroked="f">
                  <v:path arrowok="t"/>
                </v:shape>
                <v:shape id="Graphic 217" o:spid="_x0000_s1168" style="position:absolute;left:29014;top:14194;width:400;height:400;visibility:visible;mso-wrap-style:square;v-text-anchor:top" coordsize="40005,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" path="m,l39541,r,39512l,39512,,xe" filled="f" strokecolor="#ffc000" strokeweight=".15247mm">
                  <v:path arrowok="t"/>
                </v:shape>
                <v:shape id="Graphic 218" o:spid="_x0000_s1169" style="position:absolute;left:31298;top:14194;width:407;height:400;visibility:visible;mso-wrap-style:square;v-text-anchor:top" coordsize="40640,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" path="m40420,39512l,39512,,,40420,r,39512xe" fillcolor="#353a73" stroked="f">
                  <v:path arrowok="t"/>
                </v:shape>
                <v:shape id="Graphic 219" o:spid="_x0000_s1170" style="position:absolute;left:31298;top:14194;width:407;height:400;visibility:visible;mso-wrap-style:square;v-text-anchor:top" coordsize="40640,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" path="m,l40420,r,39512l,39512,,xe" filled="f" strokecolor="#353a73" strokeweight=".15247mm">
                  <v:path arrowok="t"/>
                </v:shape>
                <v:shape id="Graphic 220" o:spid="_x0000_s1171" style="position:absolute;left:34620;top:14194;width:406;height:400;visibility:visible;mso-wrap-style:square;v-text-anchor:top" coordsize="40640,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" path="m40420,39512l,39512,,,40420,r,39512xe" fillcolor="#2e9afa" stroked="f">
                  <v:path arrowok="t"/>
                </v:shape>
                <v:shape id="Graphic 221" o:spid="_x0000_s1172" style="position:absolute;left:34620;top:14194;width:406;height:400;visibility:visible;mso-wrap-style:square;v-text-anchor:top" coordsize="40640,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" path="m,l40420,r,39512l,39512,,xe" filled="f" strokecolor="#006fc0" strokeweight=".15247mm">
                  <v:path arrowok="t"/>
                </v:shape>
                <v:shape id="Graphic 222" o:spid="_x0000_s1173" style="position:absolute;left:27072;top:88;width:27616;height:15513;visibility:visible;mso-wrap-style:square;v-text-anchor:top" coordsize="2761615,155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" path="m,l2761598,r,1550987l,1550987,,xe" filled="f" strokecolor="#858585" strokeweight=".15242mm">
                  <v:path arrowok="t"/>
                </v:shape>
                <v:shape id="Textbox 223" o:spid="_x0000_s1174" type="#_x0000_t202" style="position:absolute;left:862;top:1682;width:870;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KExQAAANwAAAAPAAAAZHJzL2Rvd25yZXYueG1sRI9Ba8JA&#10;FITvBf/D8oTe6sYU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ABnPKExQAAANwAAAAP&#10;AAAAAAAAAAAAAAAAAAcCAABkcnMvZG93bnJldi54bWxQSwUGAAAAAAMAAwC3AAAA+QIAAAAA&#10;" filled="f" stroked="f">
                  <v:textbox inset="0,0,0,0">
                    <w:txbxContent>
                      <w:p w14:paraId="0F881A92" w14:textId="77777777" w:rsidR="00E6279B" w:rsidRDefault="00E6279B" w:rsidP="00E6279B">
                        <w:pPr>
                          <w:spacing w:line="115" w:lineRule="exact"/>
                          <w:rPr>
                            <w:rFonts w:ascii="Calibri"/>
                            <w:sz w:val="11"/>
                          </w:rPr>
                        </w:pPr>
                        <w:r>
                          <w:rPr>
                            <w:rFonts w:ascii="Calibri"/>
                            <w:spacing w:val="-5"/>
                            <w:w w:val="105"/>
                            <w:sz w:val="11"/>
                          </w:rPr>
                          <w:t>50</w:t>
                        </w:r>
                      </w:p>
                    </w:txbxContent>
                  </v:textbox>
                </v:shape>
                <v:shape id="Textbox 224" o:spid="_x0000_s1175" type="#_x0000_t202" style="position:absolute;left:2615;top:465;width:17100;height:2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14:paraId="29CB3DBE" w14:textId="77777777" w:rsidR="00E6279B" w:rsidRDefault="00E6279B" w:rsidP="00E6279B">
                        <w:pPr>
                          <w:spacing w:line="153" w:lineRule="exact"/>
                          <w:ind w:left="377"/>
                          <w:rPr>
                            <w:b/>
                            <w:sz w:val="14"/>
                          </w:rPr>
                        </w:pPr>
                        <w:r>
                          <w:rPr>
                            <w:i/>
                            <w:sz w:val="14"/>
                          </w:rPr>
                          <w:t>Graph</w:t>
                        </w:r>
                        <w:r>
                          <w:rPr>
                            <w:i/>
                            <w:spacing w:val="-8"/>
                            <w:sz w:val="14"/>
                          </w:rPr>
                          <w:t xml:space="preserve"> </w:t>
                        </w:r>
                        <w:r>
                          <w:rPr>
                            <w:i/>
                            <w:sz w:val="14"/>
                          </w:rPr>
                          <w:t>1.5a:</w:t>
                        </w:r>
                        <w:r>
                          <w:rPr>
                            <w:i/>
                            <w:spacing w:val="-8"/>
                            <w:sz w:val="14"/>
                          </w:rPr>
                          <w:t xml:space="preserve"> </w:t>
                        </w:r>
                        <w:r>
                          <w:rPr>
                            <w:b/>
                            <w:sz w:val="14"/>
                          </w:rPr>
                          <w:t>Albania</w:t>
                        </w:r>
                        <w:r>
                          <w:rPr>
                            <w:b/>
                            <w:spacing w:val="-9"/>
                            <w:sz w:val="14"/>
                          </w:rPr>
                          <w:t xml:space="preserve"> </w:t>
                        </w:r>
                        <w:r>
                          <w:rPr>
                            <w:b/>
                            <w:sz w:val="14"/>
                          </w:rPr>
                          <w:t>-</w:t>
                        </w:r>
                        <w:r>
                          <w:rPr>
                            <w:b/>
                            <w:spacing w:val="-7"/>
                            <w:sz w:val="14"/>
                          </w:rPr>
                          <w:t xml:space="preserve"> </w:t>
                        </w:r>
                        <w:r>
                          <w:rPr>
                            <w:b/>
                            <w:sz w:val="14"/>
                          </w:rPr>
                          <w:t>Exports</w:t>
                        </w:r>
                        <w:r>
                          <w:rPr>
                            <w:b/>
                            <w:spacing w:val="-8"/>
                            <w:sz w:val="14"/>
                          </w:rPr>
                          <w:t xml:space="preserve"> </w:t>
                        </w:r>
                        <w:r>
                          <w:rPr>
                            <w:b/>
                            <w:sz w:val="14"/>
                          </w:rPr>
                          <w:t>of</w:t>
                        </w:r>
                        <w:r>
                          <w:rPr>
                            <w:b/>
                            <w:spacing w:val="-8"/>
                            <w:sz w:val="14"/>
                          </w:rPr>
                          <w:t xml:space="preserve"> </w:t>
                        </w:r>
                        <w:r>
                          <w:rPr>
                            <w:b/>
                            <w:spacing w:val="-2"/>
                            <w:sz w:val="14"/>
                          </w:rPr>
                          <w:t>goods</w:t>
                        </w:r>
                      </w:p>
                      <w:p w14:paraId="750C6348" w14:textId="77777777" w:rsidR="00E6279B" w:rsidRDefault="00E6279B" w:rsidP="00E6279B">
                        <w:pPr>
                          <w:spacing w:before="82" w:line="146" w:lineRule="exact"/>
                          <w:rPr>
                            <w:rFonts w:ascii="Calibri"/>
                            <w:sz w:val="12"/>
                          </w:rPr>
                        </w:pPr>
                        <w:r>
                          <w:rPr>
                            <w:rFonts w:ascii="Calibri"/>
                            <w:w w:val="105"/>
                            <w:sz w:val="12"/>
                          </w:rPr>
                          <w:t>%</w:t>
                        </w:r>
                        <w:r>
                          <w:rPr>
                            <w:rFonts w:ascii="Calibri"/>
                            <w:spacing w:val="-1"/>
                            <w:w w:val="105"/>
                            <w:sz w:val="12"/>
                          </w:rPr>
                          <w:t xml:space="preserve"> </w:t>
                        </w:r>
                        <w:r>
                          <w:rPr>
                            <w:rFonts w:ascii="Calibri"/>
                            <w:w w:val="105"/>
                            <w:sz w:val="12"/>
                          </w:rPr>
                          <w:t xml:space="preserve">of </w:t>
                        </w:r>
                        <w:r>
                          <w:rPr>
                            <w:rFonts w:ascii="Calibri"/>
                            <w:spacing w:val="-5"/>
                            <w:w w:val="105"/>
                            <w:sz w:val="12"/>
                          </w:rPr>
                          <w:t>GDP</w:t>
                        </w:r>
                      </w:p>
                    </w:txbxContent>
                  </v:textbox>
                </v:shape>
                <v:shape id="Textbox 225" o:spid="_x0000_s1176" type="#_x0000_t202" style="position:absolute;left:33126;top:449;width:14751;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9rxQAAANwAAAAPAAAAZHJzL2Rvd25yZXYueG1sRI9Ba8JA&#10;FITvBf/D8oTe6sZApU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DhOc9rxQAAANwAAAAP&#10;AAAAAAAAAAAAAAAAAAcCAABkcnMvZG93bnJldi54bWxQSwUGAAAAAAMAAwC3AAAA+QIAAAAA&#10;" filled="f" stroked="f">
                  <v:textbox inset="0,0,0,0">
                    <w:txbxContent>
                      <w:p w14:paraId="64BF4A67" w14:textId="77777777" w:rsidR="00E6279B" w:rsidRDefault="00E6279B" w:rsidP="00E6279B">
                        <w:pPr>
                          <w:spacing w:line="153" w:lineRule="exact"/>
                          <w:rPr>
                            <w:b/>
                            <w:sz w:val="14"/>
                          </w:rPr>
                        </w:pPr>
                        <w:r>
                          <w:rPr>
                            <w:i/>
                            <w:sz w:val="14"/>
                          </w:rPr>
                          <w:t>Graph</w:t>
                        </w:r>
                        <w:r>
                          <w:rPr>
                            <w:i/>
                            <w:spacing w:val="-9"/>
                            <w:sz w:val="14"/>
                          </w:rPr>
                          <w:t xml:space="preserve"> </w:t>
                        </w:r>
                        <w:r>
                          <w:rPr>
                            <w:i/>
                            <w:sz w:val="14"/>
                          </w:rPr>
                          <w:t>1.5b:</w:t>
                        </w:r>
                        <w:r>
                          <w:rPr>
                            <w:i/>
                            <w:spacing w:val="-8"/>
                            <w:sz w:val="14"/>
                          </w:rPr>
                          <w:t xml:space="preserve"> </w:t>
                        </w:r>
                        <w:r>
                          <w:rPr>
                            <w:b/>
                            <w:sz w:val="14"/>
                          </w:rPr>
                          <w:t>Albania</w:t>
                        </w:r>
                        <w:r>
                          <w:rPr>
                            <w:b/>
                            <w:spacing w:val="-8"/>
                            <w:sz w:val="14"/>
                          </w:rPr>
                          <w:t xml:space="preserve"> </w:t>
                        </w:r>
                        <w:r>
                          <w:rPr>
                            <w:b/>
                            <w:sz w:val="14"/>
                          </w:rPr>
                          <w:t>-</w:t>
                        </w:r>
                        <w:r>
                          <w:rPr>
                            <w:b/>
                            <w:spacing w:val="-8"/>
                            <w:sz w:val="14"/>
                          </w:rPr>
                          <w:t xml:space="preserve"> </w:t>
                        </w:r>
                        <w:r>
                          <w:rPr>
                            <w:b/>
                            <w:sz w:val="14"/>
                          </w:rPr>
                          <w:t>Imports</w:t>
                        </w:r>
                        <w:r>
                          <w:rPr>
                            <w:b/>
                            <w:spacing w:val="-6"/>
                            <w:sz w:val="14"/>
                          </w:rPr>
                          <w:t xml:space="preserve"> </w:t>
                        </w:r>
                        <w:r>
                          <w:rPr>
                            <w:b/>
                            <w:sz w:val="14"/>
                          </w:rPr>
                          <w:t>of</w:t>
                        </w:r>
                        <w:r>
                          <w:rPr>
                            <w:b/>
                            <w:spacing w:val="-8"/>
                            <w:sz w:val="14"/>
                          </w:rPr>
                          <w:t xml:space="preserve"> </w:t>
                        </w:r>
                        <w:r>
                          <w:rPr>
                            <w:b/>
                            <w:spacing w:val="-2"/>
                            <w:sz w:val="14"/>
                          </w:rPr>
                          <w:t>goods</w:t>
                        </w:r>
                      </w:p>
                    </w:txbxContent>
                  </v:textbox>
                </v:shape>
                <v:shape id="Textbox 226" o:spid="_x0000_s1177" type="#_x0000_t202" style="position:absolute;left:27972;top:1736;width:870;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Ec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jSD+5l4BOT8HwAA//8DAFBLAQItABQABgAIAAAAIQDb4fbL7gAAAIUBAAATAAAAAAAAAAAA&#10;AAAAAAAAAABbQ29udGVudF9UeXBlc10ueG1sUEsBAi0AFAAGAAgAAAAhAFr0LFu/AAAAFQEAAAsA&#10;AAAAAAAAAAAAAAAAHwEAAF9yZWxzLy5yZWxzUEsBAi0AFAAGAAgAAAAhABHrURzEAAAA3AAAAA8A&#10;AAAAAAAAAAAAAAAABwIAAGRycy9kb3ducmV2LnhtbFBLBQYAAAAAAwADALcAAAD4AgAAAAA=&#10;" filled="f" stroked="f">
                  <v:textbox inset="0,0,0,0">
                    <w:txbxContent>
                      <w:p w14:paraId="35F71BBF" w14:textId="77777777" w:rsidR="00E6279B" w:rsidRDefault="00E6279B" w:rsidP="00E6279B">
                        <w:pPr>
                          <w:spacing w:line="115" w:lineRule="exact"/>
                          <w:rPr>
                            <w:rFonts w:ascii="Calibri"/>
                            <w:sz w:val="11"/>
                          </w:rPr>
                        </w:pPr>
                        <w:r>
                          <w:rPr>
                            <w:rFonts w:ascii="Calibri"/>
                            <w:spacing w:val="-5"/>
                            <w:w w:val="105"/>
                            <w:sz w:val="11"/>
                          </w:rPr>
                          <w:t>50</w:t>
                        </w:r>
                      </w:p>
                    </w:txbxContent>
                  </v:textbox>
                </v:shape>
                <v:shape id="Textbox 227" o:spid="_x0000_s1178" type="#_x0000_t202" style="position:absolute;left:29934;top:2121;width:3169;height: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" filled="f" stroked="f">
                  <v:textbox inset="0,0,0,0">
                    <w:txbxContent>
                      <w:p w14:paraId="12777D1C" w14:textId="77777777" w:rsidR="00E6279B" w:rsidRDefault="00E6279B" w:rsidP="00E6279B">
                        <w:pPr>
                          <w:spacing w:line="127" w:lineRule="exact"/>
                          <w:rPr>
                            <w:rFonts w:ascii="Calibri"/>
                            <w:sz w:val="12"/>
                          </w:rPr>
                        </w:pPr>
                        <w:r>
                          <w:rPr>
                            <w:rFonts w:ascii="Calibri"/>
                            <w:w w:val="105"/>
                            <w:sz w:val="12"/>
                          </w:rPr>
                          <w:t>%</w:t>
                        </w:r>
                        <w:r>
                          <w:rPr>
                            <w:rFonts w:ascii="Calibri"/>
                            <w:spacing w:val="-1"/>
                            <w:w w:val="105"/>
                            <w:sz w:val="12"/>
                          </w:rPr>
                          <w:t xml:space="preserve"> </w:t>
                        </w:r>
                        <w:r>
                          <w:rPr>
                            <w:rFonts w:ascii="Calibri"/>
                            <w:w w:val="105"/>
                            <w:sz w:val="12"/>
                          </w:rPr>
                          <w:t xml:space="preserve">of </w:t>
                        </w:r>
                        <w:r>
                          <w:rPr>
                            <w:rFonts w:ascii="Calibri"/>
                            <w:spacing w:val="-5"/>
                            <w:w w:val="105"/>
                            <w:sz w:val="12"/>
                          </w:rPr>
                          <w:t>GDP</w:t>
                        </w:r>
                      </w:p>
                    </w:txbxContent>
                  </v:textbox>
                </v:shape>
                <v:shape id="Textbox 228" o:spid="_x0000_s1179" type="#_x0000_t202" style="position:absolute;left:862;top:3598;width:27978;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" filled="f" stroked="f">
                  <v:textbox inset="0,0,0,0">
                    <w:txbxContent>
                      <w:p w14:paraId="6DC577F0" w14:textId="77777777" w:rsidR="00E6279B" w:rsidRDefault="00E6279B" w:rsidP="00E6279B">
                        <w:pPr>
                          <w:tabs>
                            <w:tab w:val="left" w:pos="4269"/>
                          </w:tabs>
                          <w:spacing w:line="120" w:lineRule="exact"/>
                          <w:rPr>
                            <w:rFonts w:ascii="Calibri"/>
                            <w:sz w:val="11"/>
                          </w:rPr>
                        </w:pPr>
                        <w:r>
                          <w:rPr>
                            <w:rFonts w:ascii="Calibri"/>
                            <w:spacing w:val="-5"/>
                            <w:w w:val="105"/>
                            <w:position w:val="1"/>
                            <w:sz w:val="11"/>
                          </w:rPr>
                          <w:t>40</w:t>
                        </w:r>
                        <w:r>
                          <w:rPr>
                            <w:rFonts w:ascii="Calibri"/>
                            <w:position w:val="1"/>
                            <w:sz w:val="11"/>
                          </w:rPr>
                          <w:tab/>
                        </w:r>
                        <w:r>
                          <w:rPr>
                            <w:rFonts w:ascii="Calibri"/>
                            <w:spacing w:val="-7"/>
                            <w:w w:val="105"/>
                            <w:sz w:val="11"/>
                          </w:rPr>
                          <w:t>40</w:t>
                        </w:r>
                      </w:p>
                    </w:txbxContent>
                  </v:textbox>
                </v:shape>
                <v:shape id="Textbox 229" o:spid="_x0000_s1180" type="#_x0000_t202" style="position:absolute;left:862;top:5514;width:870;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" filled="f" stroked="f">
                  <v:textbox inset="0,0,0,0">
                    <w:txbxContent>
                      <w:p w14:paraId="008C4E11" w14:textId="77777777" w:rsidR="00E6279B" w:rsidRDefault="00E6279B" w:rsidP="00E6279B">
                        <w:pPr>
                          <w:spacing w:line="115" w:lineRule="exact"/>
                          <w:rPr>
                            <w:rFonts w:ascii="Calibri"/>
                            <w:sz w:val="11"/>
                          </w:rPr>
                        </w:pPr>
                        <w:r>
                          <w:rPr>
                            <w:rFonts w:ascii="Calibri"/>
                            <w:spacing w:val="-5"/>
                            <w:w w:val="105"/>
                            <w:sz w:val="11"/>
                          </w:rPr>
                          <w:t>30</w:t>
                        </w:r>
                      </w:p>
                    </w:txbxContent>
                  </v:textbox>
                </v:shape>
                <v:shape id="Textbox 230" o:spid="_x0000_s1181" type="#_x0000_t202" style="position:absolute;left:27972;top:5529;width:870;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ouwQAAANwAAAAPAAAAZHJzL2Rvd25yZXYueG1sRE9Ni8Iw&#10;EL0v+B/CCN7WVAV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HSX+i7BAAAA3AAAAA8AAAAA&#10;AAAAAAAAAAAABwIAAGRycy9kb3ducmV2LnhtbFBLBQYAAAAAAwADALcAAAD1AgAAAAA=&#10;" filled="f" stroked="f">
                  <v:textbox inset="0,0,0,0">
                    <w:txbxContent>
                      <w:p w14:paraId="65847EF9" w14:textId="77777777" w:rsidR="00E6279B" w:rsidRDefault="00E6279B" w:rsidP="00E6279B">
                        <w:pPr>
                          <w:spacing w:line="115" w:lineRule="exact"/>
                          <w:rPr>
                            <w:rFonts w:ascii="Calibri"/>
                            <w:sz w:val="11"/>
                          </w:rPr>
                        </w:pPr>
                        <w:r>
                          <w:rPr>
                            <w:rFonts w:ascii="Calibri"/>
                            <w:spacing w:val="-5"/>
                            <w:w w:val="105"/>
                            <w:sz w:val="11"/>
                          </w:rPr>
                          <w:t>30</w:t>
                        </w:r>
                      </w:p>
                    </w:txbxContent>
                  </v:textbox>
                </v:shape>
                <v:shape id="Textbox 231" o:spid="_x0000_s1182" type="#_x0000_t202" style="position:absolute;left:862;top:7430;width:870;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1xAAAANwAAAAPAAAAZHJzL2Rvd25yZXYueG1sRI9Ba8JA&#10;FITvgv9heYI33agg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BvbX7XEAAAA3AAAAA8A&#10;AAAAAAAAAAAAAAAABwIAAGRycy9kb3ducmV2LnhtbFBLBQYAAAAAAwADALcAAAD4AgAAAAA=&#10;" filled="f" stroked="f">
                  <v:textbox inset="0,0,0,0">
                    <w:txbxContent>
                      <w:p w14:paraId="79C0B0F7" w14:textId="77777777" w:rsidR="00E6279B" w:rsidRDefault="00E6279B" w:rsidP="00E6279B">
                        <w:pPr>
                          <w:spacing w:line="115" w:lineRule="exact"/>
                          <w:rPr>
                            <w:rFonts w:ascii="Calibri"/>
                            <w:sz w:val="11"/>
                          </w:rPr>
                        </w:pPr>
                        <w:r>
                          <w:rPr>
                            <w:rFonts w:ascii="Calibri"/>
                            <w:spacing w:val="-5"/>
                            <w:w w:val="105"/>
                            <w:sz w:val="11"/>
                          </w:rPr>
                          <w:t>20</w:t>
                        </w:r>
                      </w:p>
                    </w:txbxContent>
                  </v:textbox>
                </v:shape>
                <v:shape id="Textbox 232" o:spid="_x0000_s1183" type="#_x0000_t202" style="position:absolute;left:27972;top:7426;width:870;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H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DrCcHCxQAAANwAAAAP&#10;AAAAAAAAAAAAAAAAAAcCAABkcnMvZG93bnJldi54bWxQSwUGAAAAAAMAAwC3AAAA+QIAAAAA&#10;" filled="f" stroked="f">
                  <v:textbox inset="0,0,0,0">
                    <w:txbxContent>
                      <w:p w14:paraId="11AEF918" w14:textId="77777777" w:rsidR="00E6279B" w:rsidRDefault="00E6279B" w:rsidP="00E6279B">
                        <w:pPr>
                          <w:spacing w:line="115" w:lineRule="exact"/>
                          <w:rPr>
                            <w:rFonts w:ascii="Calibri"/>
                            <w:sz w:val="11"/>
                          </w:rPr>
                        </w:pPr>
                        <w:r>
                          <w:rPr>
                            <w:rFonts w:ascii="Calibri"/>
                            <w:spacing w:val="-5"/>
                            <w:w w:val="105"/>
                            <w:sz w:val="11"/>
                          </w:rPr>
                          <w:t>20</w:t>
                        </w:r>
                      </w:p>
                    </w:txbxContent>
                  </v:textbox>
                </v:shape>
                <v:shape id="Textbox 233" o:spid="_x0000_s1184" type="#_x0000_t202" style="position:absolute;left:862;top:9323;width:51937;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WR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ERWRZxQAAANwAAAAP&#10;AAAAAAAAAAAAAAAAAAcCAABkcnMvZG93bnJldi54bWxQSwUGAAAAAAMAAwC3AAAA+QIAAAAA&#10;" filled="f" stroked="f">
                  <v:textbox inset="0,0,0,0">
                    <w:txbxContent>
                      <w:p w14:paraId="32DA68B3" w14:textId="77777777" w:rsidR="00E6279B" w:rsidRDefault="00E6279B" w:rsidP="00E6279B">
                        <w:pPr>
                          <w:tabs>
                            <w:tab w:val="left" w:pos="4269"/>
                          </w:tabs>
                          <w:spacing w:line="119" w:lineRule="exact"/>
                          <w:rPr>
                            <w:rFonts w:ascii="Calibri"/>
                            <w:sz w:val="11"/>
                          </w:rPr>
                        </w:pPr>
                        <w:r>
                          <w:rPr>
                            <w:rFonts w:ascii="Calibri"/>
                            <w:spacing w:val="-5"/>
                            <w:w w:val="105"/>
                            <w:sz w:val="11"/>
                          </w:rPr>
                          <w:t>10</w:t>
                        </w:r>
                        <w:r>
                          <w:rPr>
                            <w:rFonts w:ascii="Calibri"/>
                            <w:sz w:val="11"/>
                          </w:rPr>
                          <w:tab/>
                        </w:r>
                        <w:r>
                          <w:rPr>
                            <w:rFonts w:ascii="Calibri"/>
                            <w:spacing w:val="-7"/>
                            <w:w w:val="105"/>
                            <w:sz w:val="11"/>
                          </w:rPr>
                          <w:t>10</w:t>
                        </w:r>
                      </w:p>
                      <w:p w14:paraId="7FEF63A1" w14:textId="77777777" w:rsidR="00E6279B" w:rsidRDefault="00E6279B" w:rsidP="00E6279B">
                        <w:pPr>
                          <w:spacing w:before="23"/>
                          <w:rPr>
                            <w:rFonts w:ascii="Calibri"/>
                            <w:sz w:val="11"/>
                          </w:rPr>
                        </w:pPr>
                      </w:p>
                      <w:p w14:paraId="1DCE2392" w14:textId="77777777" w:rsidR="00E6279B" w:rsidRDefault="00E6279B" w:rsidP="00E6279B">
                        <w:pPr>
                          <w:tabs>
                            <w:tab w:val="left" w:pos="4327"/>
                          </w:tabs>
                          <w:ind w:left="58"/>
                          <w:rPr>
                            <w:rFonts w:ascii="Calibri"/>
                            <w:sz w:val="11"/>
                          </w:rPr>
                        </w:pPr>
                        <w:r>
                          <w:rPr>
                            <w:rFonts w:ascii="Calibri"/>
                            <w:spacing w:val="-10"/>
                            <w:w w:val="105"/>
                            <w:sz w:val="11"/>
                          </w:rPr>
                          <w:t>0</w:t>
                        </w:r>
                        <w:r>
                          <w:rPr>
                            <w:rFonts w:ascii="Calibri"/>
                            <w:sz w:val="11"/>
                          </w:rPr>
                          <w:tab/>
                        </w:r>
                        <w:r>
                          <w:rPr>
                            <w:rFonts w:ascii="Calibri"/>
                            <w:spacing w:val="-10"/>
                            <w:w w:val="105"/>
                            <w:position w:val="1"/>
                            <w:sz w:val="11"/>
                          </w:rPr>
                          <w:t>0</w:t>
                        </w:r>
                      </w:p>
                      <w:p w14:paraId="08374E84" w14:textId="77777777" w:rsidR="00E6279B" w:rsidRDefault="00E6279B" w:rsidP="00E6279B">
                        <w:pPr>
                          <w:tabs>
                            <w:tab w:val="left" w:pos="797"/>
                            <w:tab w:val="left" w:pos="1258"/>
                            <w:tab w:val="left" w:pos="1718"/>
                            <w:tab w:val="left" w:pos="2178"/>
                            <w:tab w:val="left" w:pos="2639"/>
                            <w:tab w:val="left" w:pos="3099"/>
                            <w:tab w:val="left" w:pos="3560"/>
                            <w:tab w:val="left" w:pos="4612"/>
                            <w:tab w:val="left" w:pos="5085"/>
                            <w:tab w:val="left" w:pos="5559"/>
                            <w:tab w:val="left" w:pos="6032"/>
                            <w:tab w:val="left" w:pos="6505"/>
                            <w:tab w:val="left" w:pos="6978"/>
                            <w:tab w:val="left" w:pos="7451"/>
                            <w:tab w:val="left" w:pos="7925"/>
                          </w:tabs>
                          <w:spacing w:before="5" w:line="143" w:lineRule="exact"/>
                          <w:ind w:left="337"/>
                          <w:rPr>
                            <w:rFonts w:ascii="Calibri"/>
                            <w:b/>
                            <w:sz w:val="11"/>
                          </w:rPr>
                        </w:pPr>
                        <w:r>
                          <w:rPr>
                            <w:rFonts w:ascii="Calibri"/>
                            <w:b/>
                            <w:spacing w:val="-4"/>
                            <w:w w:val="105"/>
                            <w:sz w:val="11"/>
                          </w:rPr>
                          <w:t>2015</w:t>
                        </w:r>
                        <w:r>
                          <w:rPr>
                            <w:rFonts w:ascii="Calibri"/>
                            <w:b/>
                            <w:sz w:val="11"/>
                          </w:rPr>
                          <w:tab/>
                        </w:r>
                        <w:r>
                          <w:rPr>
                            <w:rFonts w:ascii="Calibri"/>
                            <w:b/>
                            <w:spacing w:val="-4"/>
                            <w:w w:val="105"/>
                            <w:sz w:val="11"/>
                          </w:rPr>
                          <w:t>2016</w:t>
                        </w:r>
                        <w:r>
                          <w:rPr>
                            <w:rFonts w:ascii="Calibri"/>
                            <w:b/>
                            <w:sz w:val="11"/>
                          </w:rPr>
                          <w:tab/>
                        </w:r>
                        <w:r>
                          <w:rPr>
                            <w:rFonts w:ascii="Calibri"/>
                            <w:b/>
                            <w:spacing w:val="-4"/>
                            <w:w w:val="105"/>
                            <w:sz w:val="11"/>
                          </w:rPr>
                          <w:t>2017</w:t>
                        </w:r>
                        <w:r>
                          <w:rPr>
                            <w:rFonts w:ascii="Calibri"/>
                            <w:b/>
                            <w:sz w:val="11"/>
                          </w:rPr>
                          <w:tab/>
                        </w:r>
                        <w:r>
                          <w:rPr>
                            <w:rFonts w:ascii="Calibri"/>
                            <w:b/>
                            <w:spacing w:val="-4"/>
                            <w:w w:val="105"/>
                            <w:sz w:val="11"/>
                          </w:rPr>
                          <w:t>2018</w:t>
                        </w:r>
                        <w:r>
                          <w:rPr>
                            <w:rFonts w:ascii="Calibri"/>
                            <w:b/>
                            <w:sz w:val="11"/>
                          </w:rPr>
                          <w:tab/>
                        </w:r>
                        <w:r>
                          <w:rPr>
                            <w:rFonts w:ascii="Calibri"/>
                            <w:b/>
                            <w:spacing w:val="-4"/>
                            <w:w w:val="105"/>
                            <w:sz w:val="11"/>
                          </w:rPr>
                          <w:t>2019</w:t>
                        </w:r>
                        <w:r>
                          <w:rPr>
                            <w:rFonts w:ascii="Calibri"/>
                            <w:b/>
                            <w:sz w:val="11"/>
                          </w:rPr>
                          <w:tab/>
                        </w:r>
                        <w:r>
                          <w:rPr>
                            <w:rFonts w:ascii="Calibri"/>
                            <w:b/>
                            <w:spacing w:val="-4"/>
                            <w:w w:val="105"/>
                            <w:sz w:val="11"/>
                          </w:rPr>
                          <w:t>2020</w:t>
                        </w:r>
                        <w:r>
                          <w:rPr>
                            <w:rFonts w:ascii="Calibri"/>
                            <w:b/>
                            <w:sz w:val="11"/>
                          </w:rPr>
                          <w:tab/>
                        </w:r>
                        <w:r>
                          <w:rPr>
                            <w:rFonts w:ascii="Calibri"/>
                            <w:b/>
                            <w:spacing w:val="-4"/>
                            <w:w w:val="105"/>
                            <w:sz w:val="11"/>
                          </w:rPr>
                          <w:t>2021</w:t>
                        </w:r>
                        <w:r>
                          <w:rPr>
                            <w:rFonts w:ascii="Calibri"/>
                            <w:b/>
                            <w:sz w:val="11"/>
                          </w:rPr>
                          <w:tab/>
                        </w:r>
                        <w:r>
                          <w:rPr>
                            <w:rFonts w:ascii="Calibri"/>
                            <w:b/>
                            <w:spacing w:val="-4"/>
                            <w:w w:val="105"/>
                            <w:sz w:val="11"/>
                          </w:rPr>
                          <w:t>2022</w:t>
                        </w:r>
                        <w:r>
                          <w:rPr>
                            <w:rFonts w:ascii="Calibri"/>
                            <w:b/>
                            <w:sz w:val="11"/>
                          </w:rPr>
                          <w:tab/>
                        </w:r>
                        <w:r>
                          <w:rPr>
                            <w:rFonts w:ascii="Calibri"/>
                            <w:b/>
                            <w:spacing w:val="-4"/>
                            <w:w w:val="105"/>
                            <w:position w:val="1"/>
                            <w:sz w:val="11"/>
                          </w:rPr>
                          <w:t>2015</w:t>
                        </w:r>
                        <w:r>
                          <w:rPr>
                            <w:rFonts w:ascii="Calibri"/>
                            <w:b/>
                            <w:position w:val="1"/>
                            <w:sz w:val="11"/>
                          </w:rPr>
                          <w:tab/>
                        </w:r>
                        <w:r>
                          <w:rPr>
                            <w:rFonts w:ascii="Calibri"/>
                            <w:b/>
                            <w:spacing w:val="-4"/>
                            <w:w w:val="105"/>
                            <w:position w:val="1"/>
                            <w:sz w:val="11"/>
                          </w:rPr>
                          <w:t>2016</w:t>
                        </w:r>
                        <w:r>
                          <w:rPr>
                            <w:rFonts w:ascii="Calibri"/>
                            <w:b/>
                            <w:position w:val="1"/>
                            <w:sz w:val="11"/>
                          </w:rPr>
                          <w:tab/>
                        </w:r>
                        <w:r>
                          <w:rPr>
                            <w:rFonts w:ascii="Calibri"/>
                            <w:b/>
                            <w:spacing w:val="-4"/>
                            <w:w w:val="105"/>
                            <w:position w:val="1"/>
                            <w:sz w:val="11"/>
                          </w:rPr>
                          <w:t>2017</w:t>
                        </w:r>
                        <w:r>
                          <w:rPr>
                            <w:rFonts w:ascii="Calibri"/>
                            <w:b/>
                            <w:position w:val="1"/>
                            <w:sz w:val="11"/>
                          </w:rPr>
                          <w:tab/>
                        </w:r>
                        <w:r>
                          <w:rPr>
                            <w:rFonts w:ascii="Calibri"/>
                            <w:b/>
                            <w:spacing w:val="-4"/>
                            <w:w w:val="105"/>
                            <w:position w:val="1"/>
                            <w:sz w:val="11"/>
                          </w:rPr>
                          <w:t>2018</w:t>
                        </w:r>
                        <w:r>
                          <w:rPr>
                            <w:rFonts w:ascii="Calibri"/>
                            <w:b/>
                            <w:position w:val="1"/>
                            <w:sz w:val="11"/>
                          </w:rPr>
                          <w:tab/>
                        </w:r>
                        <w:r>
                          <w:rPr>
                            <w:rFonts w:ascii="Calibri"/>
                            <w:b/>
                            <w:spacing w:val="-4"/>
                            <w:w w:val="105"/>
                            <w:position w:val="1"/>
                            <w:sz w:val="11"/>
                          </w:rPr>
                          <w:t>2019</w:t>
                        </w:r>
                        <w:r>
                          <w:rPr>
                            <w:rFonts w:ascii="Calibri"/>
                            <w:b/>
                            <w:position w:val="1"/>
                            <w:sz w:val="11"/>
                          </w:rPr>
                          <w:tab/>
                        </w:r>
                        <w:r>
                          <w:rPr>
                            <w:rFonts w:ascii="Calibri"/>
                            <w:b/>
                            <w:spacing w:val="-4"/>
                            <w:w w:val="105"/>
                            <w:position w:val="1"/>
                            <w:sz w:val="11"/>
                          </w:rPr>
                          <w:t>2020</w:t>
                        </w:r>
                        <w:r>
                          <w:rPr>
                            <w:rFonts w:ascii="Calibri"/>
                            <w:b/>
                            <w:position w:val="1"/>
                            <w:sz w:val="11"/>
                          </w:rPr>
                          <w:tab/>
                        </w:r>
                        <w:r>
                          <w:rPr>
                            <w:rFonts w:ascii="Calibri"/>
                            <w:b/>
                            <w:spacing w:val="-4"/>
                            <w:w w:val="105"/>
                            <w:position w:val="1"/>
                            <w:sz w:val="11"/>
                          </w:rPr>
                          <w:t>2021</w:t>
                        </w:r>
                        <w:r>
                          <w:rPr>
                            <w:rFonts w:ascii="Calibri"/>
                            <w:b/>
                            <w:position w:val="1"/>
                            <w:sz w:val="11"/>
                          </w:rPr>
                          <w:tab/>
                        </w:r>
                        <w:r>
                          <w:rPr>
                            <w:rFonts w:ascii="Calibri"/>
                            <w:b/>
                            <w:spacing w:val="-4"/>
                            <w:w w:val="105"/>
                            <w:position w:val="1"/>
                            <w:sz w:val="11"/>
                          </w:rPr>
                          <w:t>2022</w:t>
                        </w:r>
                      </w:p>
                    </w:txbxContent>
                  </v:textbox>
                </v:shape>
                <v:shape id="Textbox 234" o:spid="_x0000_s1185" type="#_x0000_t202" style="position:absolute;left:2601;top:14026;width:7341;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v:textbox inset="0,0,0,0">
                    <w:txbxContent>
                      <w:p w14:paraId="427BD724" w14:textId="77777777" w:rsidR="00E6279B" w:rsidRDefault="00E6279B" w:rsidP="00E6279B">
                        <w:pPr>
                          <w:tabs>
                            <w:tab w:val="left" w:pos="350"/>
                            <w:tab w:val="left" w:pos="863"/>
                          </w:tabs>
                          <w:spacing w:line="115" w:lineRule="exact"/>
                          <w:rPr>
                            <w:rFonts w:ascii="Calibri"/>
                            <w:sz w:val="11"/>
                          </w:rPr>
                        </w:pPr>
                        <w:r>
                          <w:rPr>
                            <w:rFonts w:ascii="Calibri"/>
                            <w:spacing w:val="-5"/>
                            <w:w w:val="105"/>
                            <w:sz w:val="11"/>
                          </w:rPr>
                          <w:t>EU</w:t>
                        </w:r>
                        <w:r>
                          <w:rPr>
                            <w:rFonts w:ascii="Calibri"/>
                            <w:sz w:val="11"/>
                          </w:rPr>
                          <w:tab/>
                        </w:r>
                        <w:r>
                          <w:rPr>
                            <w:rFonts w:ascii="Calibri"/>
                            <w:spacing w:val="-2"/>
                            <w:w w:val="105"/>
                            <w:sz w:val="11"/>
                          </w:rPr>
                          <w:t>CEFTA</w:t>
                        </w:r>
                        <w:r>
                          <w:rPr>
                            <w:rFonts w:ascii="Calibri"/>
                            <w:sz w:val="11"/>
                          </w:rPr>
                          <w:tab/>
                        </w:r>
                        <w:r>
                          <w:rPr>
                            <w:rFonts w:ascii="Calibri"/>
                            <w:spacing w:val="-4"/>
                            <w:w w:val="105"/>
                            <w:sz w:val="11"/>
                          </w:rPr>
                          <w:t>Other</w:t>
                        </w:r>
                      </w:p>
                    </w:txbxContent>
                  </v:textbox>
                </v:shape>
                <v:shape id="Textbox 235" o:spid="_x0000_s1186" type="#_x0000_t202" style="position:absolute;left:21029;top:14248;width:4616;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Fm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ZOBZtsYAAADcAAAA&#10;DwAAAAAAAAAAAAAAAAAHAgAAZHJzL2Rvd25yZXYueG1sUEsFBgAAAAADAAMAtwAAAPoCAAAAAA==&#10;" filled="f" stroked="f">
                  <v:textbox inset="0,0,0,0">
                    <w:txbxContent>
                      <w:p w14:paraId="307CB839" w14:textId="77777777" w:rsidR="00E6279B" w:rsidRDefault="00E6279B" w:rsidP="00E6279B">
                        <w:pPr>
                          <w:spacing w:before="1"/>
                          <w:ind w:left="20"/>
                          <w:rPr>
                            <w:rFonts w:ascii="Calibri"/>
                            <w:i/>
                            <w:sz w:val="12"/>
                          </w:rPr>
                        </w:pPr>
                        <w:r>
                          <w:rPr>
                            <w:rFonts w:ascii="Calibri"/>
                            <w:i/>
                            <w:w w:val="105"/>
                            <w:sz w:val="11"/>
                          </w:rPr>
                          <w:t>Source</w:t>
                        </w:r>
                        <w:r>
                          <w:rPr>
                            <w:rFonts w:ascii="Calibri"/>
                            <w:i/>
                            <w:w w:val="105"/>
                            <w:sz w:val="12"/>
                          </w:rPr>
                          <w:t>:</w:t>
                        </w:r>
                        <w:r>
                          <w:rPr>
                            <w:rFonts w:ascii="Calibri"/>
                            <w:i/>
                            <w:spacing w:val="-5"/>
                            <w:w w:val="105"/>
                            <w:sz w:val="12"/>
                          </w:rPr>
                          <w:t xml:space="preserve"> </w:t>
                        </w:r>
                        <w:proofErr w:type="spellStart"/>
                        <w:r>
                          <w:rPr>
                            <w:rFonts w:ascii="Calibri"/>
                            <w:i/>
                            <w:spacing w:val="-4"/>
                            <w:w w:val="105"/>
                            <w:sz w:val="12"/>
                          </w:rPr>
                          <w:t>WiiW</w:t>
                        </w:r>
                        <w:proofErr w:type="spellEnd"/>
                      </w:p>
                    </w:txbxContent>
                  </v:textbox>
                </v:shape>
                <v:shape id="Textbox 236" o:spid="_x0000_s1187" type="#_x0000_t202" style="position:absolute;left:29586;top:14051;width:7468;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f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CUMsfBxQAAANwAAAAP&#10;AAAAAAAAAAAAAAAAAAcCAABkcnMvZG93bnJldi54bWxQSwUGAAAAAAMAAwC3AAAA+QIAAAAA&#10;" filled="f" stroked="f">
                  <v:textbox inset="0,0,0,0">
                    <w:txbxContent>
                      <w:p w14:paraId="0D66AE51" w14:textId="77777777" w:rsidR="00E6279B" w:rsidRDefault="00E6279B" w:rsidP="00E6279B">
                        <w:pPr>
                          <w:tabs>
                            <w:tab w:val="left" w:pos="360"/>
                            <w:tab w:val="left" w:pos="883"/>
                          </w:tabs>
                          <w:spacing w:line="115" w:lineRule="exact"/>
                          <w:rPr>
                            <w:rFonts w:ascii="Calibri"/>
                            <w:sz w:val="11"/>
                          </w:rPr>
                        </w:pPr>
                        <w:r>
                          <w:rPr>
                            <w:rFonts w:ascii="Calibri"/>
                            <w:spacing w:val="-5"/>
                            <w:w w:val="105"/>
                            <w:sz w:val="11"/>
                          </w:rPr>
                          <w:t>EU</w:t>
                        </w:r>
                        <w:r>
                          <w:rPr>
                            <w:rFonts w:ascii="Calibri"/>
                            <w:sz w:val="11"/>
                          </w:rPr>
                          <w:tab/>
                        </w:r>
                        <w:r>
                          <w:rPr>
                            <w:rFonts w:ascii="Calibri"/>
                            <w:spacing w:val="-2"/>
                            <w:w w:val="105"/>
                            <w:sz w:val="11"/>
                          </w:rPr>
                          <w:t>CEFTA</w:t>
                        </w:r>
                        <w:r>
                          <w:rPr>
                            <w:rFonts w:ascii="Calibri"/>
                            <w:sz w:val="11"/>
                          </w:rPr>
                          <w:tab/>
                        </w:r>
                        <w:r>
                          <w:rPr>
                            <w:rFonts w:ascii="Calibri"/>
                            <w:spacing w:val="-4"/>
                            <w:w w:val="105"/>
                            <w:sz w:val="11"/>
                          </w:rPr>
                          <w:t>Other</w:t>
                        </w:r>
                      </w:p>
                    </w:txbxContent>
                  </v:textbox>
                </v:shape>
                <v:shape id="Textbox 237" o:spid="_x0000_s1188" type="#_x0000_t202" style="position:absolute;left:48494;top:14296;width:4616;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mJa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35iWsYAAADcAAAA&#10;DwAAAAAAAAAAAAAAAAAHAgAAZHJzL2Rvd25yZXYueG1sUEsFBgAAAAADAAMAtwAAAPoCAAAAAA==&#10;" filled="f" stroked="f">
                  <v:textbox inset="0,0,0,0">
                    <w:txbxContent>
                      <w:p w14:paraId="4BF08A5A" w14:textId="77777777" w:rsidR="00E6279B" w:rsidRDefault="00E6279B" w:rsidP="00E6279B">
                        <w:pPr>
                          <w:spacing w:before="1"/>
                          <w:ind w:left="20"/>
                          <w:rPr>
                            <w:rFonts w:ascii="Calibri"/>
                            <w:i/>
                            <w:sz w:val="12"/>
                          </w:rPr>
                        </w:pPr>
                        <w:r>
                          <w:rPr>
                            <w:rFonts w:ascii="Calibri"/>
                            <w:i/>
                            <w:w w:val="105"/>
                            <w:sz w:val="11"/>
                          </w:rPr>
                          <w:t>Source</w:t>
                        </w:r>
                        <w:r>
                          <w:rPr>
                            <w:rFonts w:ascii="Calibri"/>
                            <w:i/>
                            <w:w w:val="105"/>
                            <w:sz w:val="12"/>
                          </w:rPr>
                          <w:t>:</w:t>
                        </w:r>
                        <w:r>
                          <w:rPr>
                            <w:rFonts w:ascii="Calibri"/>
                            <w:i/>
                            <w:spacing w:val="-5"/>
                            <w:w w:val="105"/>
                            <w:sz w:val="12"/>
                          </w:rPr>
                          <w:t xml:space="preserve"> </w:t>
                        </w:r>
                        <w:proofErr w:type="spellStart"/>
                        <w:r>
                          <w:rPr>
                            <w:rFonts w:ascii="Calibri"/>
                            <w:i/>
                            <w:spacing w:val="-4"/>
                            <w:w w:val="105"/>
                            <w:sz w:val="12"/>
                          </w:rPr>
                          <w:t>WiiW</w:t>
                        </w:r>
                        <w:proofErr w:type="spellEnd"/>
                      </w:p>
                    </w:txbxContent>
                  </v:textbox>
                </v:shape>
                <w10:wrap type="topAndBottom" anchorx="page"/>
              </v:group>
            </w:pict>
          </mc:Fallback>
        </mc:AlternateContent>
      </w:r>
    </w:p>
    <w:p w14:paraId="539804B7" w14:textId="77777777" w:rsidR="00E6279B" w:rsidRPr="0032048B" w:rsidRDefault="00E6279B" w:rsidP="00E6279B">
      <w:pPr>
        <w:rPr>
          <w:sz w:val="24"/>
          <w:szCs w:val="24"/>
          <w:highlight w:val="yellow"/>
          <w:lang w:val="sq-AL"/>
        </w:rPr>
      </w:pPr>
    </w:p>
    <w:p w14:paraId="09F9C99C" w14:textId="77777777" w:rsidR="00E6279B" w:rsidRPr="0032048B" w:rsidRDefault="00E6279B" w:rsidP="00E6279B">
      <w:pPr>
        <w:spacing w:before="18"/>
        <w:rPr>
          <w:sz w:val="24"/>
          <w:szCs w:val="24"/>
          <w:highlight w:val="yellow"/>
          <w:lang w:val="sq-AL"/>
        </w:rPr>
      </w:pPr>
    </w:p>
    <w:p w14:paraId="4EB81314" w14:textId="77777777" w:rsidR="00E6279B" w:rsidRPr="0032048B" w:rsidRDefault="00E6279B" w:rsidP="00E6279B">
      <w:pPr>
        <w:numPr>
          <w:ilvl w:val="1"/>
          <w:numId w:val="1"/>
        </w:numPr>
        <w:tabs>
          <w:tab w:val="left" w:pos="1328"/>
        </w:tabs>
        <w:rPr>
          <w:b/>
          <w:sz w:val="19"/>
          <w:lang w:val="sq-AL"/>
        </w:rPr>
      </w:pPr>
      <w:bookmarkStart w:id="42" w:name="2.4_Public_Procurement,_Statistics_and_F"/>
      <w:bookmarkStart w:id="43" w:name="_bookmark28"/>
      <w:bookmarkEnd w:id="42"/>
      <w:bookmarkEnd w:id="43"/>
      <w:r w:rsidRPr="0032048B">
        <w:rPr>
          <w:b/>
          <w:spacing w:val="-2"/>
          <w:sz w:val="19"/>
          <w:lang w:val="sq-AL"/>
        </w:rPr>
        <w:t xml:space="preserve">PROKURIMI PUBLIK, STATISTIKAT DHE KONTROLLI FINANCIAR </w:t>
      </w:r>
    </w:p>
    <w:p w14:paraId="63F4CCC2" w14:textId="77777777" w:rsidR="0032048B" w:rsidRDefault="00E6279B" w:rsidP="00E6279B">
      <w:pPr>
        <w:spacing w:before="120"/>
        <w:ind w:left="1040"/>
        <w:jc w:val="both"/>
        <w:outlineLvl w:val="0"/>
        <w:rPr>
          <w:b/>
          <w:bCs/>
          <w:sz w:val="24"/>
          <w:szCs w:val="24"/>
          <w:lang w:val="sq-AL"/>
        </w:rPr>
      </w:pPr>
      <w:bookmarkStart w:id="44" w:name="Chapter_5:_Public_procurement"/>
      <w:bookmarkStart w:id="45" w:name="_bookmark29"/>
      <w:bookmarkEnd w:id="44"/>
      <w:bookmarkEnd w:id="45"/>
      <w:r w:rsidRPr="0032048B">
        <w:rPr>
          <w:b/>
          <w:bCs/>
          <w:sz w:val="24"/>
          <w:szCs w:val="24"/>
          <w:lang w:val="sq-AL"/>
        </w:rPr>
        <w:lastRenderedPageBreak/>
        <w:t>Kapitulli 5: Prokurimi publik</w:t>
      </w:r>
    </w:p>
    <w:p w14:paraId="2A9808EB" w14:textId="77777777" w:rsidR="00E6279B" w:rsidRPr="0032048B" w:rsidRDefault="00E6279B" w:rsidP="00E6279B">
      <w:pPr>
        <w:spacing w:before="62"/>
        <w:ind w:left="980" w:right="977"/>
        <w:jc w:val="both"/>
        <w:rPr>
          <w:i/>
          <w:sz w:val="24"/>
          <w:highlight w:val="yellow"/>
          <w:lang w:val="sq-AL"/>
        </w:rPr>
      </w:pPr>
      <w:r w:rsidRPr="0032048B">
        <w:rPr>
          <w:i/>
          <w:spacing w:val="-2"/>
          <w:sz w:val="24"/>
          <w:lang w:val="sq-AL"/>
        </w:rPr>
        <w:t xml:space="preserve">Rregullat e BE-së sigurojnë që prokurimi publik i mallrave, shërbimeve dhe punës në çdo Vend Anëtar të jetë transparent dhe i hapur për të gjitha shoqëritë e BE-së mbi bazën e trajtimit </w:t>
      </w:r>
      <w:proofErr w:type="spellStart"/>
      <w:r w:rsidRPr="0032048B">
        <w:rPr>
          <w:i/>
          <w:spacing w:val="-2"/>
          <w:sz w:val="24"/>
          <w:lang w:val="sq-AL"/>
        </w:rPr>
        <w:t>mosdiskriminues</w:t>
      </w:r>
      <w:proofErr w:type="spellEnd"/>
      <w:r w:rsidRPr="0032048B">
        <w:rPr>
          <w:i/>
          <w:spacing w:val="-2"/>
          <w:sz w:val="24"/>
          <w:lang w:val="sq-AL"/>
        </w:rPr>
        <w:t xml:space="preserve"> dhe të barabartë.</w:t>
      </w:r>
    </w:p>
    <w:p w14:paraId="259AFBD6" w14:textId="77777777" w:rsidR="00E6279B" w:rsidRPr="0032048B" w:rsidRDefault="00E6279B" w:rsidP="00E6279B">
      <w:pPr>
        <w:spacing w:before="5" w:after="1"/>
        <w:rPr>
          <w:i/>
          <w:sz w:val="10"/>
          <w:szCs w:val="24"/>
          <w:highlight w:val="yellow"/>
          <w:lang w:val="sq-AL"/>
        </w:rPr>
      </w:pP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4"/>
      </w:tblGrid>
      <w:tr w:rsidR="00E6279B" w:rsidRPr="0032048B" w14:paraId="46B2ED25" w14:textId="77777777" w:rsidTr="00456F1B">
        <w:trPr>
          <w:trHeight w:val="4296"/>
        </w:trPr>
        <w:tc>
          <w:tcPr>
            <w:tcW w:w="9254" w:type="dxa"/>
            <w:shd w:val="clear" w:color="auto" w:fill="D9D9D9"/>
          </w:tcPr>
          <w:p w14:paraId="45BBF9C3" w14:textId="77777777" w:rsidR="00E6279B" w:rsidRPr="0032048B" w:rsidRDefault="00E6279B" w:rsidP="00E6279B">
            <w:pPr>
              <w:spacing w:before="19"/>
              <w:ind w:left="113" w:right="100"/>
              <w:jc w:val="both"/>
              <w:rPr>
                <w:sz w:val="24"/>
                <w:lang w:val="sq-AL"/>
              </w:rPr>
            </w:pPr>
            <w:r w:rsidRPr="0032048B">
              <w:rPr>
                <w:spacing w:val="-2"/>
                <w:sz w:val="24"/>
                <w:lang w:val="sq-AL"/>
              </w:rPr>
              <w:t xml:space="preserve">Shqipëria ka bërë </w:t>
            </w:r>
            <w:r w:rsidRPr="0032048B">
              <w:rPr>
                <w:b/>
                <w:bCs/>
                <w:spacing w:val="-2"/>
                <w:sz w:val="24"/>
                <w:lang w:val="sq-AL"/>
              </w:rPr>
              <w:t xml:space="preserve">përgatitje mesatare </w:t>
            </w:r>
            <w:r w:rsidRPr="0032048B">
              <w:rPr>
                <w:spacing w:val="-2"/>
                <w:sz w:val="24"/>
                <w:lang w:val="sq-AL"/>
              </w:rPr>
              <w:t xml:space="preserve">lidhur me prokurimin publik. Ka pasur </w:t>
            </w:r>
            <w:r w:rsidRPr="0032048B">
              <w:rPr>
                <w:b/>
                <w:bCs/>
                <w:spacing w:val="-2"/>
                <w:sz w:val="24"/>
                <w:lang w:val="sq-AL"/>
              </w:rPr>
              <w:t>progres të mirë</w:t>
            </w:r>
            <w:r w:rsidRPr="0032048B">
              <w:rPr>
                <w:spacing w:val="-2"/>
                <w:sz w:val="24"/>
                <w:lang w:val="sq-AL"/>
              </w:rPr>
              <w:t xml:space="preserve">, veçanërisht përmes përdorimit të shtuar të kritereve ekonomikisht më të favorshme për dhënien e </w:t>
            </w:r>
            <w:proofErr w:type="spellStart"/>
            <w:r w:rsidRPr="0032048B">
              <w:rPr>
                <w:spacing w:val="-2"/>
                <w:sz w:val="24"/>
                <w:lang w:val="sq-AL"/>
              </w:rPr>
              <w:t>tenderave</w:t>
            </w:r>
            <w:proofErr w:type="spellEnd"/>
            <w:r w:rsidRPr="0032048B">
              <w:rPr>
                <w:spacing w:val="-2"/>
                <w:sz w:val="24"/>
                <w:lang w:val="sq-AL"/>
              </w:rPr>
              <w:t>.</w:t>
            </w:r>
          </w:p>
          <w:p w14:paraId="57699072" w14:textId="77777777" w:rsidR="00E6279B" w:rsidRPr="0032048B" w:rsidRDefault="00E6279B" w:rsidP="00E6279B">
            <w:pPr>
              <w:spacing w:before="120" w:line="343" w:lineRule="auto"/>
              <w:ind w:left="113" w:right="725"/>
              <w:jc w:val="both"/>
              <w:rPr>
                <w:sz w:val="24"/>
                <w:lang w:val="sq-AL"/>
              </w:rPr>
            </w:pPr>
            <w:r w:rsidRPr="0032048B">
              <w:rPr>
                <w:sz w:val="24"/>
                <w:lang w:val="sq-AL"/>
              </w:rPr>
              <w:t>Rekomandimet e raportit të vitit 2022 janë zbatuar vetëm pjesërisht ndaj mbeten ende të vlefshme.</w:t>
            </w:r>
          </w:p>
          <w:p w14:paraId="07D740C1" w14:textId="77777777" w:rsidR="00E6279B" w:rsidRPr="0032048B" w:rsidRDefault="00E6279B" w:rsidP="00E6279B">
            <w:pPr>
              <w:spacing w:before="120" w:line="343" w:lineRule="auto"/>
              <w:ind w:left="113" w:right="725"/>
              <w:jc w:val="both"/>
              <w:rPr>
                <w:sz w:val="24"/>
                <w:lang w:val="sq-AL"/>
              </w:rPr>
            </w:pPr>
            <w:r w:rsidRPr="0032048B">
              <w:rPr>
                <w:sz w:val="24"/>
                <w:lang w:val="sq-AL"/>
              </w:rPr>
              <w:t xml:space="preserve">Në vitin e ardhshëm, Shqipëria duhet veçanërisht të: </w:t>
            </w:r>
          </w:p>
          <w:p w14:paraId="67DBEFB2" w14:textId="77777777" w:rsidR="00E6279B" w:rsidRPr="0032048B" w:rsidRDefault="00E6279B" w:rsidP="00E6279B">
            <w:pPr>
              <w:spacing w:before="2"/>
              <w:ind w:left="473" w:right="100" w:hanging="360"/>
              <w:jc w:val="both"/>
              <w:rPr>
                <w:sz w:val="24"/>
                <w:lang w:val="sq-AL"/>
              </w:rPr>
            </w:pPr>
            <w:r w:rsidRPr="0032048B">
              <w:rPr>
                <w:rFonts w:ascii="Symbol" w:hAnsi="Symbol"/>
                <w:sz w:val="24"/>
                <w:lang w:val="sq-AL"/>
              </w:rPr>
              <w:t></w:t>
            </w:r>
            <w:r w:rsidRPr="0032048B">
              <w:rPr>
                <w:sz w:val="24"/>
                <w:lang w:val="sq-AL"/>
              </w:rPr>
              <w:t xml:space="preserve"> vazhdojë përpjekjet për garantimin e procedurave të prokurimit konkurruese, duke nxitur përdorimin e kriterin ekonomikisht më të favorshme për dhënien e </w:t>
            </w:r>
            <w:proofErr w:type="spellStart"/>
            <w:r w:rsidRPr="0032048B">
              <w:rPr>
                <w:sz w:val="24"/>
                <w:lang w:val="sq-AL"/>
              </w:rPr>
              <w:t>tenderave</w:t>
            </w:r>
            <w:proofErr w:type="spellEnd"/>
            <w:r w:rsidRPr="0032048B">
              <w:rPr>
                <w:sz w:val="24"/>
                <w:lang w:val="sq-AL"/>
              </w:rPr>
              <w:t xml:space="preserve"> dhe përdorimin e marrëveshjeve kuadër;</w:t>
            </w:r>
          </w:p>
          <w:p w14:paraId="7B8779B8" w14:textId="77777777" w:rsidR="00E6279B" w:rsidRPr="0032048B" w:rsidRDefault="00E6279B" w:rsidP="00E6279B">
            <w:pPr>
              <w:spacing w:before="119"/>
              <w:ind w:left="473" w:right="102" w:hanging="360"/>
              <w:jc w:val="both"/>
              <w:rPr>
                <w:sz w:val="24"/>
                <w:lang w:val="sq-AL"/>
              </w:rPr>
            </w:pPr>
            <w:r w:rsidRPr="0032048B">
              <w:rPr>
                <w:rFonts w:ascii="Symbol" w:hAnsi="Symbol"/>
                <w:sz w:val="24"/>
                <w:lang w:val="sq-AL"/>
              </w:rPr>
              <w:t></w:t>
            </w:r>
            <w:r w:rsidRPr="0032048B">
              <w:rPr>
                <w:sz w:val="24"/>
                <w:lang w:val="sq-AL"/>
              </w:rPr>
              <w:t xml:space="preserve"> shtojë përpjekjet për përafrimin e kuadrit ligjor me </w:t>
            </w:r>
            <w:proofErr w:type="spellStart"/>
            <w:r w:rsidRPr="0032048B">
              <w:rPr>
                <w:sz w:val="24"/>
                <w:lang w:val="sq-AL"/>
              </w:rPr>
              <w:t>acquis</w:t>
            </w:r>
            <w:proofErr w:type="spellEnd"/>
            <w:r w:rsidRPr="0032048B">
              <w:rPr>
                <w:sz w:val="24"/>
                <w:lang w:val="sq-AL"/>
              </w:rPr>
              <w:t>-të e BE-së, kryesisht në fushën e koncesioneve dhe partneriteteve publike private (PPP);</w:t>
            </w:r>
          </w:p>
          <w:p w14:paraId="175583EE" w14:textId="77777777" w:rsidR="00E6279B" w:rsidRPr="0032048B" w:rsidRDefault="00E6279B" w:rsidP="00E6279B">
            <w:pPr>
              <w:spacing w:before="119"/>
              <w:ind w:left="473" w:right="100" w:hanging="360"/>
              <w:jc w:val="both"/>
              <w:rPr>
                <w:sz w:val="24"/>
                <w:highlight w:val="yellow"/>
                <w:lang w:val="sq-AL"/>
              </w:rPr>
            </w:pPr>
            <w:r w:rsidRPr="0032048B">
              <w:rPr>
                <w:rFonts w:ascii="Symbol" w:hAnsi="Symbol"/>
                <w:sz w:val="24"/>
                <w:lang w:val="sq-AL"/>
              </w:rPr>
              <w:t></w:t>
            </w:r>
            <w:r w:rsidRPr="0032048B">
              <w:rPr>
                <w:sz w:val="24"/>
                <w:lang w:val="sq-AL"/>
              </w:rPr>
              <w:t xml:space="preserve"> sigurohet që kushtet e marrëveshjeve ndërqeveritare të nënshkruara me vende të treta janë në përputhje me kërkesat e </w:t>
            </w:r>
            <w:proofErr w:type="spellStart"/>
            <w:r w:rsidRPr="0032048B">
              <w:rPr>
                <w:sz w:val="24"/>
                <w:lang w:val="sq-AL"/>
              </w:rPr>
              <w:t>acquis</w:t>
            </w:r>
            <w:proofErr w:type="spellEnd"/>
            <w:r w:rsidRPr="0032048B">
              <w:rPr>
                <w:sz w:val="24"/>
                <w:lang w:val="sq-AL"/>
              </w:rPr>
              <w:t xml:space="preserve">-ve të BE-së dhe janë përfshirë në Marrëveshjen e Stabilizim </w:t>
            </w:r>
            <w:proofErr w:type="spellStart"/>
            <w:r w:rsidRPr="0032048B">
              <w:rPr>
                <w:sz w:val="24"/>
                <w:lang w:val="sq-AL"/>
              </w:rPr>
              <w:t>Asociimit</w:t>
            </w:r>
            <w:proofErr w:type="spellEnd"/>
            <w:r w:rsidRPr="0032048B">
              <w:rPr>
                <w:sz w:val="24"/>
                <w:lang w:val="sq-AL"/>
              </w:rPr>
              <w:t xml:space="preserve"> (MSA) në fushën e prokurimit publik.</w:t>
            </w:r>
          </w:p>
        </w:tc>
      </w:tr>
    </w:tbl>
    <w:p w14:paraId="59407A4F" w14:textId="77777777" w:rsidR="00E6279B" w:rsidRPr="0032048B" w:rsidRDefault="00E6279B" w:rsidP="00E6279B">
      <w:pPr>
        <w:spacing w:before="122"/>
        <w:ind w:left="980"/>
        <w:jc w:val="both"/>
        <w:rPr>
          <w:sz w:val="24"/>
          <w:szCs w:val="24"/>
          <w:lang w:val="sq-AL"/>
        </w:rPr>
      </w:pPr>
      <w:r w:rsidRPr="0032048B">
        <w:rPr>
          <w:spacing w:val="-2"/>
          <w:sz w:val="24"/>
          <w:szCs w:val="24"/>
          <w:u w:val="single"/>
          <w:lang w:val="sq-AL"/>
        </w:rPr>
        <w:t>Organizimi institucional dhe përafrimi i legjislacionit</w:t>
      </w:r>
    </w:p>
    <w:p w14:paraId="19A108AF" w14:textId="77777777" w:rsidR="00E6279B" w:rsidRPr="0032048B" w:rsidRDefault="00E6279B" w:rsidP="00E6279B">
      <w:pPr>
        <w:spacing w:before="120"/>
        <w:ind w:left="980" w:right="976"/>
        <w:jc w:val="both"/>
        <w:rPr>
          <w:rFonts w:eastAsia="Malgun Gothic"/>
          <w:color w:val="000000" w:themeColor="text1"/>
          <w:sz w:val="24"/>
          <w:szCs w:val="24"/>
          <w:lang w:val="sq-AL" w:bidi="sq-AL"/>
        </w:rPr>
      </w:pPr>
      <w:r w:rsidRPr="0032048B">
        <w:rPr>
          <w:rFonts w:eastAsia="Malgun Gothic"/>
          <w:b/>
          <w:color w:val="000000" w:themeColor="text1"/>
          <w:sz w:val="24"/>
          <w:szCs w:val="24"/>
          <w:lang w:val="sq-AL" w:bidi="sq-AL"/>
        </w:rPr>
        <w:t xml:space="preserve">Kuadri ligjor </w:t>
      </w:r>
      <w:r w:rsidRPr="0032048B">
        <w:rPr>
          <w:rFonts w:eastAsia="Malgun Gothic"/>
          <w:color w:val="000000" w:themeColor="text1"/>
          <w:sz w:val="24"/>
          <w:szCs w:val="24"/>
          <w:lang w:val="sq-AL" w:bidi="sq-AL"/>
        </w:rPr>
        <w:t xml:space="preserve">për prokurimin publik është kryesisht në përputhje me Direktivën për prokurimin publik dhe prokurimin e shërbimeve të vitit 2014. Ligji për koncesionet dhe </w:t>
      </w:r>
      <w:bookmarkStart w:id="46" w:name="_Hlk114729767"/>
      <w:r w:rsidRPr="0032048B">
        <w:rPr>
          <w:color w:val="000000" w:themeColor="text1"/>
          <w:sz w:val="24"/>
          <w:szCs w:val="24"/>
          <w:lang w:val="sq-AL" w:bidi="sq-AL"/>
        </w:rPr>
        <w:t>partneritetet publike private (</w:t>
      </w:r>
      <w:bookmarkEnd w:id="46"/>
      <w:r w:rsidRPr="0032048B">
        <w:rPr>
          <w:color w:val="000000" w:themeColor="text1"/>
          <w:sz w:val="24"/>
          <w:szCs w:val="24"/>
          <w:lang w:val="sq-AL" w:bidi="sq-AL"/>
        </w:rPr>
        <w:t xml:space="preserve">PPP-të) është pjesërisht i përafruar me </w:t>
      </w:r>
      <w:proofErr w:type="spellStart"/>
      <w:r w:rsidRPr="0032048B">
        <w:rPr>
          <w:color w:val="000000" w:themeColor="text1"/>
          <w:sz w:val="24"/>
          <w:szCs w:val="24"/>
          <w:lang w:val="sq-AL" w:bidi="sq-AL"/>
        </w:rPr>
        <w:t>acquin</w:t>
      </w:r>
      <w:proofErr w:type="spellEnd"/>
      <w:r w:rsidRPr="0032048B">
        <w:rPr>
          <w:color w:val="000000" w:themeColor="text1"/>
          <w:sz w:val="24"/>
          <w:szCs w:val="24"/>
          <w:lang w:val="sq-AL" w:bidi="sq-AL"/>
        </w:rPr>
        <w:t xml:space="preserve">-të e BE-së. Qeveria planifikon të miratojë një ligj të rishikuar për PPP-të në vitin 2023. Shqipëria është </w:t>
      </w:r>
      <w:proofErr w:type="spellStart"/>
      <w:r w:rsidRPr="0032048B">
        <w:rPr>
          <w:color w:val="000000" w:themeColor="text1"/>
          <w:sz w:val="24"/>
          <w:szCs w:val="24"/>
          <w:lang w:val="sq-AL" w:bidi="sq-AL"/>
        </w:rPr>
        <w:t>gjithtu</w:t>
      </w:r>
      <w:proofErr w:type="spellEnd"/>
      <w:r w:rsidRPr="0032048B">
        <w:rPr>
          <w:color w:val="000000" w:themeColor="text1"/>
          <w:sz w:val="24"/>
          <w:szCs w:val="24"/>
          <w:lang w:val="sq-AL" w:bidi="sq-AL"/>
        </w:rPr>
        <w:t xml:space="preserve"> pjesërisht e përafruar me </w:t>
      </w:r>
      <w:proofErr w:type="spellStart"/>
      <w:r w:rsidRPr="0032048B">
        <w:rPr>
          <w:color w:val="000000" w:themeColor="text1"/>
          <w:sz w:val="24"/>
          <w:szCs w:val="24"/>
          <w:lang w:val="sq-AL" w:bidi="sq-AL"/>
        </w:rPr>
        <w:t>acquis</w:t>
      </w:r>
      <w:proofErr w:type="spellEnd"/>
      <w:r w:rsidRPr="0032048B">
        <w:rPr>
          <w:color w:val="000000" w:themeColor="text1"/>
          <w:sz w:val="24"/>
          <w:szCs w:val="24"/>
          <w:lang w:val="sq-AL" w:bidi="sq-AL"/>
        </w:rPr>
        <w:t>-të e BE-së për prokurimin e mbrojtjes dhe sigurisë.</w:t>
      </w:r>
    </w:p>
    <w:p w14:paraId="51D6EF33" w14:textId="77777777" w:rsidR="00E6279B" w:rsidRPr="0032048B" w:rsidRDefault="00E6279B" w:rsidP="00E6279B">
      <w:pPr>
        <w:spacing w:before="120"/>
        <w:ind w:left="980" w:right="976"/>
        <w:jc w:val="both"/>
        <w:rPr>
          <w:sz w:val="24"/>
          <w:szCs w:val="24"/>
          <w:lang w:val="sq-AL"/>
        </w:rPr>
      </w:pPr>
      <w:r w:rsidRPr="0032048B">
        <w:rPr>
          <w:sz w:val="24"/>
          <w:szCs w:val="24"/>
          <w:lang w:val="sq-AL"/>
        </w:rPr>
        <w:t xml:space="preserve">Një grup pune është krijuar dhe një grup </w:t>
      </w:r>
      <w:proofErr w:type="spellStart"/>
      <w:r w:rsidRPr="0032048B">
        <w:rPr>
          <w:sz w:val="24"/>
          <w:szCs w:val="24"/>
          <w:lang w:val="sq-AL"/>
        </w:rPr>
        <w:t>negociator</w:t>
      </w:r>
      <w:proofErr w:type="spellEnd"/>
      <w:r w:rsidRPr="0032048B">
        <w:rPr>
          <w:sz w:val="24"/>
          <w:szCs w:val="24"/>
          <w:lang w:val="sq-AL"/>
        </w:rPr>
        <w:t xml:space="preserve"> është caktuar për përgatitjen e pranimit të Shqipërisë në Marrëveshjen e Prokurimit Qeveritar të Organizatës Botërore të Tregtisë.</w:t>
      </w:r>
    </w:p>
    <w:p w14:paraId="3DA35843" w14:textId="77777777" w:rsidR="00E6279B" w:rsidRPr="0032048B" w:rsidRDefault="00E6279B" w:rsidP="00E6279B">
      <w:pPr>
        <w:spacing w:before="120"/>
        <w:ind w:left="980" w:right="978"/>
        <w:jc w:val="both"/>
        <w:rPr>
          <w:sz w:val="24"/>
          <w:szCs w:val="24"/>
          <w:highlight w:val="yellow"/>
          <w:lang w:val="sq-AL"/>
        </w:rPr>
      </w:pPr>
      <w:r w:rsidRPr="0032048B">
        <w:rPr>
          <w:rFonts w:eastAsia="Malgun Gothic"/>
          <w:bCs/>
          <w:color w:val="000000" w:themeColor="text1"/>
          <w:sz w:val="24"/>
          <w:szCs w:val="24"/>
          <w:lang w:val="sq-AL" w:bidi="sq-AL"/>
        </w:rPr>
        <w:t xml:space="preserve">Agjencia e Prokurimit Publik </w:t>
      </w:r>
      <w:r w:rsidRPr="0032048B">
        <w:rPr>
          <w:rFonts w:eastAsia="Malgun Gothic"/>
          <w:color w:val="000000" w:themeColor="text1"/>
          <w:sz w:val="24"/>
          <w:szCs w:val="24"/>
          <w:lang w:val="sq-AL" w:bidi="sq-AL"/>
        </w:rPr>
        <w:t xml:space="preserve">(APP) është organi i ngarkuar të propozojë masa </w:t>
      </w:r>
      <w:proofErr w:type="spellStart"/>
      <w:r w:rsidRPr="0032048B">
        <w:rPr>
          <w:rFonts w:eastAsia="Malgun Gothic"/>
          <w:color w:val="000000" w:themeColor="text1"/>
          <w:sz w:val="24"/>
          <w:szCs w:val="24"/>
          <w:lang w:val="sq-AL" w:bidi="sq-AL"/>
        </w:rPr>
        <w:t>rregullatore</w:t>
      </w:r>
      <w:proofErr w:type="spellEnd"/>
      <w:r w:rsidRPr="0032048B">
        <w:rPr>
          <w:rFonts w:eastAsia="Malgun Gothic"/>
          <w:color w:val="000000" w:themeColor="text1"/>
          <w:sz w:val="24"/>
          <w:szCs w:val="24"/>
          <w:lang w:val="sq-AL" w:bidi="sq-AL"/>
        </w:rPr>
        <w:t>, të monitorojë zbatimin e rregullave të prokurimit publik dhe të monitorojë zbatimin e kontratave. Në mars të vitit 2023, u krijua një strukturë e re organizative. Ajo ka 48 poste, tetë nga të cilat janë vakante. Në vitin 2022, u miratua një rregullore për forcimin e statusit të Agjencisë së Prokurimit të Centralizuar. Ministria e Financave dhe Ekonomisë, së bashku me Agjencinë për Trajtimin e Koncesioneve (ATRAKO), janë organet kryesore përgjegjëse për PPP-të dhe koncesionet.</w:t>
      </w:r>
    </w:p>
    <w:p w14:paraId="3E7DC8EC" w14:textId="77777777" w:rsidR="00E6279B" w:rsidRPr="0032048B" w:rsidRDefault="00E6279B" w:rsidP="00E6279B">
      <w:pPr>
        <w:spacing w:before="120"/>
        <w:ind w:left="980"/>
        <w:jc w:val="both"/>
        <w:rPr>
          <w:sz w:val="24"/>
          <w:szCs w:val="24"/>
          <w:lang w:val="sq-AL"/>
        </w:rPr>
      </w:pPr>
      <w:r w:rsidRPr="0032048B">
        <w:rPr>
          <w:spacing w:val="-2"/>
          <w:sz w:val="24"/>
          <w:szCs w:val="24"/>
          <w:u w:val="single"/>
          <w:lang w:val="sq-AL"/>
        </w:rPr>
        <w:t>Zbatimi dhe kapaciteti zbatues</w:t>
      </w:r>
    </w:p>
    <w:p w14:paraId="7A91E39E" w14:textId="77777777" w:rsidR="00E6279B" w:rsidRPr="0032048B" w:rsidRDefault="00E6279B" w:rsidP="00E6279B">
      <w:pPr>
        <w:spacing w:before="120"/>
        <w:ind w:left="980" w:right="976"/>
        <w:jc w:val="both"/>
        <w:rPr>
          <w:sz w:val="24"/>
          <w:szCs w:val="24"/>
          <w:highlight w:val="yellow"/>
          <w:lang w:val="sq-AL"/>
        </w:rPr>
      </w:pPr>
      <w:r w:rsidRPr="0032048B">
        <w:rPr>
          <w:sz w:val="24"/>
          <w:szCs w:val="24"/>
          <w:lang w:val="sq-AL"/>
        </w:rPr>
        <w:t>Tregu i prokurimit publik në Shqipëri përfaqësoi rreth 9,4% të PBB-së në vitin 2022, krahasuar me 10,7% në vitin 2021. Në vitin 2022, numri mesatar i ofertave për tender ishte 2,5 (krahasuar me 2,5 në vitin 2021 dhe 2,57 në vitin 2020). Parashikimet e prokurimeve publike botohen rregullisht.</w:t>
      </w:r>
    </w:p>
    <w:p w14:paraId="49D61517" w14:textId="77777777" w:rsidR="00E6279B" w:rsidRPr="0032048B" w:rsidRDefault="00E6279B" w:rsidP="00E6279B">
      <w:pPr>
        <w:spacing w:before="120"/>
        <w:ind w:left="980" w:right="976"/>
        <w:jc w:val="both"/>
        <w:rPr>
          <w:sz w:val="24"/>
          <w:szCs w:val="24"/>
          <w:lang w:val="sq-AL"/>
        </w:rPr>
      </w:pPr>
      <w:r w:rsidRPr="0032048B">
        <w:rPr>
          <w:sz w:val="24"/>
          <w:szCs w:val="24"/>
          <w:lang w:val="sq-AL"/>
        </w:rPr>
        <w:t xml:space="preserve">APP-ja ka një sistem monitorimi për të vlerësuar </w:t>
      </w:r>
      <w:proofErr w:type="spellStart"/>
      <w:r w:rsidRPr="0032048B">
        <w:rPr>
          <w:sz w:val="24"/>
          <w:szCs w:val="24"/>
          <w:lang w:val="sq-AL"/>
        </w:rPr>
        <w:t>performancën</w:t>
      </w:r>
      <w:proofErr w:type="spellEnd"/>
      <w:r w:rsidRPr="0032048B">
        <w:rPr>
          <w:sz w:val="24"/>
          <w:szCs w:val="24"/>
          <w:lang w:val="sq-AL"/>
        </w:rPr>
        <w:t xml:space="preserve"> dhe pajtueshmërinë e prokurimeve, si dhe zbatimin e kontratave. Që nga viti 2021, autoritetet kontraktuese i dorëzojnë APP-së planet për zbatimi ne kontratave të firmosura. APP-ja nxjerr raporte monitorimi të rregullta, dhe që nga viti 2021, ofron informacion në kohë reale mbi prokurimet përmes platformës </w:t>
      </w:r>
      <w:proofErr w:type="spellStart"/>
      <w:r w:rsidRPr="0032048B">
        <w:rPr>
          <w:i/>
          <w:iCs/>
          <w:sz w:val="24"/>
          <w:szCs w:val="24"/>
          <w:lang w:val="sq-AL"/>
        </w:rPr>
        <w:t>open</w:t>
      </w:r>
      <w:proofErr w:type="spellEnd"/>
      <w:r w:rsidRPr="0032048B">
        <w:rPr>
          <w:i/>
          <w:iCs/>
          <w:sz w:val="24"/>
          <w:szCs w:val="24"/>
          <w:lang w:val="sq-AL"/>
        </w:rPr>
        <w:t xml:space="preserve"> data</w:t>
      </w:r>
      <w:r w:rsidRPr="0032048B">
        <w:rPr>
          <w:sz w:val="24"/>
          <w:szCs w:val="24"/>
          <w:lang w:val="sq-AL"/>
        </w:rPr>
        <w:t>.</w:t>
      </w:r>
    </w:p>
    <w:p w14:paraId="34F3F463" w14:textId="77777777" w:rsidR="00E6279B" w:rsidRPr="0032048B" w:rsidRDefault="00E6279B" w:rsidP="00E6279B">
      <w:pPr>
        <w:spacing w:before="120"/>
        <w:ind w:left="980" w:right="976"/>
        <w:jc w:val="both"/>
        <w:rPr>
          <w:sz w:val="24"/>
          <w:szCs w:val="24"/>
          <w:lang w:val="sq-AL"/>
        </w:rPr>
      </w:pPr>
      <w:r w:rsidRPr="0032048B">
        <w:rPr>
          <w:sz w:val="24"/>
          <w:szCs w:val="24"/>
          <w:lang w:val="sq-AL"/>
        </w:rPr>
        <w:lastRenderedPageBreak/>
        <w:t xml:space="preserve">Të gjithë instrumentet ligjorë dhe financiarë që përdoren në fushën e prokurimit publik dhe koncesioneve, përshi marrëveshjet ndërqeveritare me vendet e treta për zbatimin e projekteve të përbashkëta, duhet të jenë në përputhje me parimet e transparencës, trajtimit të barabartë dhe </w:t>
      </w:r>
      <w:proofErr w:type="spellStart"/>
      <w:r w:rsidRPr="0032048B">
        <w:rPr>
          <w:sz w:val="24"/>
          <w:szCs w:val="24"/>
          <w:lang w:val="sq-AL"/>
        </w:rPr>
        <w:t>mosdiskriminimit</w:t>
      </w:r>
      <w:proofErr w:type="spellEnd"/>
      <w:r w:rsidRPr="0032048B">
        <w:rPr>
          <w:sz w:val="24"/>
          <w:szCs w:val="24"/>
          <w:lang w:val="sq-AL"/>
        </w:rPr>
        <w:t>.</w:t>
      </w:r>
    </w:p>
    <w:p w14:paraId="0DF35C6D" w14:textId="77777777" w:rsidR="00E6279B" w:rsidRPr="0032048B" w:rsidRDefault="00E6279B" w:rsidP="00E6279B">
      <w:pPr>
        <w:spacing w:before="120"/>
        <w:ind w:left="980" w:right="976"/>
        <w:jc w:val="both"/>
        <w:rPr>
          <w:sz w:val="24"/>
          <w:szCs w:val="24"/>
          <w:highlight w:val="yellow"/>
          <w:lang w:val="sq-AL"/>
        </w:rPr>
      </w:pPr>
      <w:r w:rsidRPr="0032048B">
        <w:rPr>
          <w:rFonts w:eastAsia="Calibri"/>
          <w:b/>
          <w:color w:val="000000" w:themeColor="text1"/>
          <w:sz w:val="24"/>
          <w:szCs w:val="24"/>
          <w:lang w:val="sq-AL" w:bidi="sq-AL"/>
        </w:rPr>
        <w:t>Sa i përket monitorimit të lidhjes dhe zbatimit të kontratës</w:t>
      </w:r>
      <w:r w:rsidRPr="0032048B">
        <w:rPr>
          <w:rFonts w:eastAsia="Calibri"/>
          <w:color w:val="000000" w:themeColor="text1"/>
          <w:sz w:val="24"/>
          <w:szCs w:val="24"/>
          <w:lang w:val="sq-AL" w:bidi="sq-AL"/>
        </w:rPr>
        <w:t xml:space="preserve">, numri i procedurave të negociuara pa publikim paraprak u rrit nga </w:t>
      </w:r>
      <w:r w:rsidRPr="0032048B">
        <w:rPr>
          <w:sz w:val="24"/>
          <w:szCs w:val="24"/>
          <w:lang w:val="sq-AL"/>
        </w:rPr>
        <w:t>157</w:t>
      </w:r>
      <w:r w:rsidRPr="0032048B">
        <w:rPr>
          <w:spacing w:val="-2"/>
          <w:sz w:val="24"/>
          <w:szCs w:val="24"/>
          <w:lang w:val="sq-AL"/>
        </w:rPr>
        <w:t xml:space="preserve"> në vitin </w:t>
      </w:r>
      <w:r w:rsidRPr="0032048B">
        <w:rPr>
          <w:sz w:val="24"/>
          <w:szCs w:val="24"/>
          <w:lang w:val="sq-AL"/>
        </w:rPr>
        <w:t>2022</w:t>
      </w:r>
      <w:r w:rsidRPr="0032048B">
        <w:rPr>
          <w:spacing w:val="-2"/>
          <w:sz w:val="24"/>
          <w:szCs w:val="24"/>
          <w:lang w:val="sq-AL"/>
        </w:rPr>
        <w:t xml:space="preserve"> </w:t>
      </w:r>
      <w:r w:rsidRPr="0032048B">
        <w:rPr>
          <w:sz w:val="24"/>
          <w:szCs w:val="24"/>
          <w:lang w:val="sq-AL"/>
        </w:rPr>
        <w:t>(143</w:t>
      </w:r>
      <w:r w:rsidRPr="0032048B">
        <w:rPr>
          <w:spacing w:val="-2"/>
          <w:sz w:val="24"/>
          <w:szCs w:val="24"/>
          <w:lang w:val="sq-AL"/>
        </w:rPr>
        <w:t xml:space="preserve"> në vitin 2</w:t>
      </w:r>
      <w:r w:rsidRPr="0032048B">
        <w:rPr>
          <w:sz w:val="24"/>
          <w:szCs w:val="24"/>
          <w:lang w:val="sq-AL"/>
        </w:rPr>
        <w:t>021).</w:t>
      </w:r>
      <w:r w:rsidRPr="0032048B">
        <w:rPr>
          <w:spacing w:val="-2"/>
          <w:sz w:val="24"/>
          <w:szCs w:val="24"/>
          <w:lang w:val="sq-AL"/>
        </w:rPr>
        <w:t xml:space="preserve"> Kjo vlerë përfaqëson </w:t>
      </w:r>
      <w:r w:rsidRPr="0032048B">
        <w:rPr>
          <w:sz w:val="24"/>
          <w:szCs w:val="24"/>
          <w:lang w:val="sq-AL"/>
        </w:rPr>
        <w:t xml:space="preserve">3,3% të </w:t>
      </w:r>
      <w:proofErr w:type="spellStart"/>
      <w:r w:rsidRPr="0032048B">
        <w:rPr>
          <w:sz w:val="24"/>
          <w:szCs w:val="24"/>
          <w:lang w:val="sq-AL"/>
        </w:rPr>
        <w:t>të</w:t>
      </w:r>
      <w:proofErr w:type="spellEnd"/>
      <w:r w:rsidRPr="0032048B">
        <w:rPr>
          <w:sz w:val="24"/>
          <w:szCs w:val="24"/>
          <w:lang w:val="sq-AL"/>
        </w:rPr>
        <w:t xml:space="preserve"> gjitha procedurave, por ra në 0,9% në terma të vlerës së të gjithë prokurimeve në atë periudhë (nga 3,4% në vitin 2021). Përdorimi i marrëveshjeve kuadër ra ndjeshëm në terma numerikë (763 krahasuar me 873 in 2021), por këto përfaqësonin një vlerë totale më të lartë të kontratave të </w:t>
      </w:r>
      <w:proofErr w:type="spellStart"/>
      <w:r w:rsidRPr="0032048B">
        <w:rPr>
          <w:sz w:val="24"/>
          <w:szCs w:val="24"/>
          <w:lang w:val="sq-AL"/>
        </w:rPr>
        <w:t>prokuruara</w:t>
      </w:r>
      <w:proofErr w:type="spellEnd"/>
      <w:r w:rsidRPr="0032048B">
        <w:rPr>
          <w:sz w:val="24"/>
          <w:szCs w:val="24"/>
          <w:lang w:val="sq-AL"/>
        </w:rPr>
        <w:t xml:space="preserve"> përmes marrëveshjeve kuadër (afërsisht 419 milionë euro në vitin 2022 krahasuar me afërsisht 354 milionë euro në vitin 2021). Zbatimi i kritereve ekonomikisht më të favorshme për dhënien e </w:t>
      </w:r>
      <w:proofErr w:type="spellStart"/>
      <w:r w:rsidRPr="0032048B">
        <w:rPr>
          <w:sz w:val="24"/>
          <w:szCs w:val="24"/>
          <w:lang w:val="sq-AL"/>
        </w:rPr>
        <w:t>tenderave</w:t>
      </w:r>
      <w:proofErr w:type="spellEnd"/>
      <w:r w:rsidRPr="0032048B">
        <w:rPr>
          <w:sz w:val="24"/>
          <w:szCs w:val="24"/>
          <w:lang w:val="sq-AL"/>
        </w:rPr>
        <w:t xml:space="preserve"> për kontratat e prokurimit publik u rrit në vlerën 7,3% të procedurave, duke arritur në vlerën 33,9% të vlerës totale të kontratave.</w:t>
      </w:r>
    </w:p>
    <w:p w14:paraId="4C2D68A3" w14:textId="77777777" w:rsidR="00E6279B" w:rsidRPr="0032048B" w:rsidRDefault="00E6279B" w:rsidP="00E6279B">
      <w:pPr>
        <w:spacing w:before="120"/>
        <w:ind w:left="979" w:right="977"/>
        <w:jc w:val="both"/>
        <w:rPr>
          <w:sz w:val="24"/>
          <w:szCs w:val="24"/>
          <w:lang w:val="sq-AL"/>
        </w:rPr>
      </w:pPr>
      <w:r w:rsidRPr="0032048B">
        <w:rPr>
          <w:sz w:val="24"/>
          <w:szCs w:val="24"/>
          <w:lang w:val="sq-AL"/>
        </w:rPr>
        <w:t xml:space="preserve">Ekziston një portal qendror prokurimi që shërben për botimin e njoftimeve për </w:t>
      </w:r>
      <w:proofErr w:type="spellStart"/>
      <w:r w:rsidRPr="0032048B">
        <w:rPr>
          <w:sz w:val="24"/>
          <w:szCs w:val="24"/>
          <w:lang w:val="sq-AL"/>
        </w:rPr>
        <w:t>tenderat</w:t>
      </w:r>
      <w:proofErr w:type="spellEnd"/>
      <w:r w:rsidRPr="0032048B">
        <w:rPr>
          <w:sz w:val="24"/>
          <w:szCs w:val="24"/>
          <w:lang w:val="sq-AL"/>
        </w:rPr>
        <w:t xml:space="preserve"> dhe kontratat, përdorimi i të cilit është i detyrueshëm, përshi edhe prokurimet me vlera të ulëta. APP-ja zgjeroi rolin e saj në monitorimin e kontratave, dhe autoritetet kontraktuese filluan të raportojnë mbi zbatimin e kontratave në vitin 2022; deri tani është raportuar për 3 659 kontrata.</w:t>
      </w:r>
    </w:p>
    <w:p w14:paraId="0514010C" w14:textId="172A7CBF" w:rsidR="00E6279B" w:rsidRPr="0032048B" w:rsidRDefault="00E6279B" w:rsidP="00E6279B">
      <w:pPr>
        <w:spacing w:before="120"/>
        <w:ind w:left="979" w:right="976"/>
        <w:jc w:val="both"/>
        <w:rPr>
          <w:sz w:val="24"/>
          <w:szCs w:val="24"/>
          <w:highlight w:val="yellow"/>
          <w:lang w:val="sq-AL"/>
        </w:rPr>
      </w:pPr>
      <w:r w:rsidRPr="0032048B">
        <w:rPr>
          <w:b/>
          <w:bCs/>
          <w:sz w:val="24"/>
          <w:szCs w:val="24"/>
          <w:lang w:val="sq-AL"/>
        </w:rPr>
        <w:t xml:space="preserve">Sa u takon PPP-ve/koncesioneve, </w:t>
      </w:r>
      <w:r w:rsidRPr="0032048B">
        <w:rPr>
          <w:sz w:val="24"/>
          <w:szCs w:val="24"/>
          <w:lang w:val="sq-AL"/>
        </w:rPr>
        <w:t xml:space="preserve">ka pasur një rënie domethënëse në numrin e PPP-ve të reja. Edhe përdorimi i PPP-ve të </w:t>
      </w:r>
      <w:proofErr w:type="spellStart"/>
      <w:r w:rsidRPr="0032048B">
        <w:rPr>
          <w:sz w:val="24"/>
          <w:szCs w:val="24"/>
          <w:lang w:val="sq-AL"/>
        </w:rPr>
        <w:t>pakërkuara</w:t>
      </w:r>
      <w:proofErr w:type="spellEnd"/>
      <w:r w:rsidRPr="0032048B">
        <w:rPr>
          <w:sz w:val="24"/>
          <w:szCs w:val="24"/>
          <w:lang w:val="sq-AL"/>
        </w:rPr>
        <w:t xml:space="preserve"> u kufizua. Në fund të vitit 2022, regjistri i PPP-ve/koncesioneve përmbante informacion për 228 kontrata. Në vitin 2022, u botuan 3 procedura koncesionesh, nga të cilat u lidh një kontratë. Kapacitetet teknike për të hartuar dhe vlerësuar PPP-të duhet të zhvillohen më tej. Vendimi qeveritar i dhjetorit 2022 për përmirësimin </w:t>
      </w:r>
      <w:r w:rsidR="000857D8" w:rsidRPr="000857D8">
        <w:rPr>
          <w:sz w:val="24"/>
          <w:szCs w:val="24"/>
          <w:lang w:val="sq-AL"/>
        </w:rPr>
        <w:t>e planit të vetëm kombëtar të investimeve</w:t>
      </w:r>
      <w:r w:rsidRPr="000857D8">
        <w:rPr>
          <w:sz w:val="24"/>
          <w:szCs w:val="24"/>
          <w:lang w:val="sq-AL"/>
        </w:rPr>
        <w:t xml:space="preserve"> ka për qëllim integrimin gradual të vendimeve për PPP</w:t>
      </w:r>
      <w:r w:rsidRPr="0032048B">
        <w:rPr>
          <w:sz w:val="24"/>
          <w:szCs w:val="24"/>
          <w:lang w:val="sq-AL"/>
        </w:rPr>
        <w:t>-të në procedurat më të gjera të vlerësimit për projektet e investimit.</w:t>
      </w:r>
    </w:p>
    <w:p w14:paraId="6B78D5F0" w14:textId="77777777" w:rsidR="00E6279B" w:rsidRPr="0032048B" w:rsidRDefault="00E6279B" w:rsidP="00E6279B">
      <w:pPr>
        <w:spacing w:before="120"/>
        <w:ind w:left="979" w:right="977"/>
        <w:jc w:val="both"/>
        <w:rPr>
          <w:sz w:val="24"/>
          <w:szCs w:val="24"/>
          <w:highlight w:val="yellow"/>
          <w:lang w:val="sq-AL"/>
        </w:rPr>
      </w:pPr>
      <w:r w:rsidRPr="0032048B">
        <w:rPr>
          <w:sz w:val="24"/>
          <w:szCs w:val="24"/>
          <w:lang w:val="sq-AL"/>
        </w:rPr>
        <w:t xml:space="preserve">Autoritetet kontraktuese duhet të vazhdojnë të ndërtojnë </w:t>
      </w:r>
      <w:r w:rsidRPr="0032048B">
        <w:rPr>
          <w:b/>
          <w:bCs/>
          <w:sz w:val="24"/>
          <w:szCs w:val="24"/>
          <w:lang w:val="sq-AL"/>
        </w:rPr>
        <w:t>kapacitetet për menaxhimin e proceseve të prokurimit publik.</w:t>
      </w:r>
      <w:r w:rsidRPr="0032048B">
        <w:rPr>
          <w:sz w:val="24"/>
          <w:szCs w:val="24"/>
          <w:lang w:val="sq-AL"/>
        </w:rPr>
        <w:t xml:space="preserve"> Trajnimet kanë qenë të vazhdueshme, dhe në vitin 2022 janë trajnuar 1 396 persona. Aftësitë teknike dhe kapaciteti për të projektuar dhe vlerësuar koncesione dhe PPP gjithashtu duhet të zhvillohet më tej. Duhet të ketë përpjekje të mëtejshme për përmirësimin e pajtueshmërisë me procedurat dhe parandalimin e korrupsionit në ciklin e prokurimit.</w:t>
      </w:r>
    </w:p>
    <w:p w14:paraId="15B45B51" w14:textId="38C9D9A8" w:rsidR="00E6279B" w:rsidRPr="0032048B" w:rsidRDefault="00E6279B" w:rsidP="00E6279B">
      <w:pPr>
        <w:spacing w:before="119"/>
        <w:ind w:left="980" w:right="976"/>
        <w:jc w:val="both"/>
        <w:rPr>
          <w:rFonts w:eastAsia="Calibri"/>
          <w:color w:val="000000" w:themeColor="text1"/>
          <w:sz w:val="24"/>
          <w:szCs w:val="24"/>
          <w:lang w:val="sq-AL" w:bidi="sq-AL"/>
        </w:rPr>
      </w:pPr>
      <w:r w:rsidRPr="0032048B">
        <w:rPr>
          <w:sz w:val="24"/>
          <w:szCs w:val="24"/>
          <w:lang w:val="sq-AL"/>
        </w:rPr>
        <w:t xml:space="preserve">Sa i përket </w:t>
      </w:r>
      <w:r w:rsidRPr="0032048B">
        <w:rPr>
          <w:b/>
          <w:bCs/>
          <w:sz w:val="24"/>
          <w:szCs w:val="24"/>
          <w:lang w:val="sq-AL"/>
        </w:rPr>
        <w:t>integritetit dhe konfliktit të interesit</w:t>
      </w:r>
      <w:r w:rsidRPr="0032048B">
        <w:rPr>
          <w:sz w:val="24"/>
          <w:szCs w:val="24"/>
          <w:lang w:val="sq-AL"/>
        </w:rPr>
        <w:t xml:space="preserve">, APP-ja </w:t>
      </w:r>
      <w:r w:rsidRPr="0032048B">
        <w:rPr>
          <w:rFonts w:eastAsia="Calibri"/>
          <w:color w:val="000000" w:themeColor="text1"/>
          <w:sz w:val="24"/>
          <w:szCs w:val="24"/>
          <w:lang w:val="sq-AL" w:bidi="sq-AL"/>
        </w:rPr>
        <w:t xml:space="preserve">nxori udhëzime për deklarimin e konfliktit të interesit nga ana e zyrtarëve të prokurimit dhe miratoi një rregullore për parandalimin e konfliktit të interesit gjatë ushtrimit të funksioneve publike në APP. Kontrolli i Lartë i Shtetit (KLSH) vazhdon të raportojë parregullsi në prokurimin publik në nivel </w:t>
      </w:r>
      <w:r w:rsidR="000857D8" w:rsidRPr="0032048B">
        <w:rPr>
          <w:rFonts w:eastAsia="Calibri"/>
          <w:color w:val="000000" w:themeColor="text1"/>
          <w:sz w:val="24"/>
          <w:szCs w:val="24"/>
          <w:lang w:val="sq-AL" w:bidi="sq-AL"/>
        </w:rPr>
        <w:t>qendror</w:t>
      </w:r>
      <w:r w:rsidRPr="0032048B">
        <w:rPr>
          <w:rFonts w:eastAsia="Calibri"/>
          <w:color w:val="000000" w:themeColor="text1"/>
          <w:sz w:val="24"/>
          <w:szCs w:val="24"/>
          <w:lang w:val="sq-AL" w:bidi="sq-AL"/>
        </w:rPr>
        <w:t xml:space="preserve"> dhe lokal.</w:t>
      </w:r>
    </w:p>
    <w:p w14:paraId="390BA8DE" w14:textId="5D4C807B" w:rsidR="00E6279B" w:rsidRPr="0032048B" w:rsidRDefault="00E6279B" w:rsidP="004D53EC">
      <w:pPr>
        <w:spacing w:before="120"/>
        <w:ind w:left="980" w:right="976"/>
        <w:jc w:val="both"/>
        <w:rPr>
          <w:sz w:val="24"/>
          <w:szCs w:val="24"/>
          <w:lang w:val="sq-AL"/>
        </w:rPr>
      </w:pPr>
      <w:r w:rsidRPr="0032048B">
        <w:rPr>
          <w:sz w:val="24"/>
          <w:szCs w:val="24"/>
          <w:lang w:val="sq-AL"/>
        </w:rPr>
        <w:t xml:space="preserve">Në lidhje me zhvillimin e një sistemi efektiv për </w:t>
      </w:r>
      <w:r w:rsidRPr="0032048B">
        <w:rPr>
          <w:b/>
          <w:bCs/>
          <w:sz w:val="24"/>
          <w:szCs w:val="24"/>
          <w:lang w:val="sq-AL"/>
        </w:rPr>
        <w:t>parandalimin e korrupsionit</w:t>
      </w:r>
      <w:r w:rsidRPr="0032048B">
        <w:rPr>
          <w:sz w:val="24"/>
          <w:szCs w:val="24"/>
          <w:lang w:val="sq-AL"/>
        </w:rPr>
        <w:t xml:space="preserve"> në prokurimin publik, Shqipëria duhet të përqendrohet në forcimin e mëtejshëm të funksionimit të sistemit në përgjithësi në mënyrë që të rrisë konkurrencën, pajtueshmërinë dhe profesionalizmin. Shqipëria ka krijuar tashmë një themel të mirë duke përmirësuar në mënyrë të konsiderueshme transparencën përmes sistemit elektronik gjithëpërfshirës të prokurimit dhe ankesave, dhe në dhënien e </w:t>
      </w:r>
      <w:proofErr w:type="spellStart"/>
      <w:r w:rsidRPr="0032048B">
        <w:rPr>
          <w:sz w:val="24"/>
          <w:szCs w:val="24"/>
          <w:lang w:val="sq-AL"/>
        </w:rPr>
        <w:t>aksesit</w:t>
      </w:r>
      <w:proofErr w:type="spellEnd"/>
      <w:r w:rsidRPr="0032048B">
        <w:rPr>
          <w:sz w:val="24"/>
          <w:szCs w:val="24"/>
          <w:lang w:val="sq-AL"/>
        </w:rPr>
        <w:t xml:space="preserve"> në dëmshpërblim për pjesëmarrësit përmes zhvillimit të sistemit të rishikimit.</w:t>
      </w:r>
    </w:p>
    <w:p w14:paraId="0F5A213F" w14:textId="77777777" w:rsidR="00E6279B" w:rsidRPr="0032048B" w:rsidRDefault="00E6279B" w:rsidP="00E6279B">
      <w:pPr>
        <w:spacing w:before="120"/>
        <w:ind w:left="980"/>
        <w:jc w:val="both"/>
        <w:rPr>
          <w:sz w:val="24"/>
          <w:szCs w:val="24"/>
          <w:lang w:val="sq-AL"/>
        </w:rPr>
      </w:pPr>
      <w:r w:rsidRPr="0032048B">
        <w:rPr>
          <w:spacing w:val="-2"/>
          <w:sz w:val="24"/>
          <w:szCs w:val="24"/>
          <w:u w:val="single"/>
          <w:lang w:val="sq-AL"/>
        </w:rPr>
        <w:t>Sistemi i mjeteve juridike efikase</w:t>
      </w:r>
    </w:p>
    <w:p w14:paraId="0FBA2423" w14:textId="77777777" w:rsidR="00E6279B" w:rsidRPr="0032048B" w:rsidRDefault="00E6279B" w:rsidP="00E6279B">
      <w:pPr>
        <w:spacing w:before="120"/>
        <w:ind w:left="980" w:right="976"/>
        <w:jc w:val="both"/>
        <w:rPr>
          <w:rFonts w:eastAsia="Malgun Gothic"/>
          <w:color w:val="000000" w:themeColor="text1"/>
          <w:sz w:val="24"/>
          <w:szCs w:val="24"/>
          <w:lang w:val="sq-AL" w:bidi="sq-AL"/>
        </w:rPr>
      </w:pPr>
      <w:r w:rsidRPr="0032048B">
        <w:rPr>
          <w:rFonts w:eastAsia="Malgun Gothic"/>
          <w:color w:val="000000" w:themeColor="text1"/>
          <w:sz w:val="24"/>
          <w:szCs w:val="24"/>
          <w:lang w:val="sq-AL" w:bidi="sq-AL"/>
        </w:rPr>
        <w:t xml:space="preserve">Kushtetuta dhe Ligji për prokurimin publik përmbajnë dispozita për </w:t>
      </w:r>
      <w:r w:rsidRPr="0032048B">
        <w:rPr>
          <w:rFonts w:eastAsia="Malgun Gothic"/>
          <w:b/>
          <w:color w:val="000000" w:themeColor="text1"/>
          <w:sz w:val="24"/>
          <w:szCs w:val="24"/>
          <w:lang w:val="sq-AL" w:bidi="sq-AL"/>
        </w:rPr>
        <w:t>të drejtën e mjeteve juridike</w:t>
      </w:r>
      <w:r w:rsidRPr="0032048B">
        <w:rPr>
          <w:rFonts w:eastAsia="Malgun Gothic"/>
          <w:color w:val="000000" w:themeColor="text1"/>
          <w:sz w:val="24"/>
          <w:szCs w:val="24"/>
          <w:lang w:val="sq-AL" w:bidi="sq-AL"/>
        </w:rPr>
        <w:t xml:space="preserve"> të cilat janë kryesisht në përputhje me Direktivën e Mjeteve Juridike. </w:t>
      </w:r>
    </w:p>
    <w:p w14:paraId="730919AB" w14:textId="77777777" w:rsidR="00E6279B" w:rsidRPr="0032048B" w:rsidRDefault="00E6279B" w:rsidP="00E6279B">
      <w:pPr>
        <w:spacing w:before="120"/>
        <w:ind w:left="980" w:right="976"/>
        <w:jc w:val="both"/>
        <w:rPr>
          <w:sz w:val="24"/>
          <w:szCs w:val="24"/>
          <w:lang w:val="sq-AL"/>
        </w:rPr>
      </w:pPr>
      <w:r w:rsidRPr="0032048B">
        <w:rPr>
          <w:sz w:val="24"/>
          <w:szCs w:val="24"/>
          <w:lang w:val="sq-AL"/>
        </w:rPr>
        <w:t xml:space="preserve">Komisioni i Prokurimit Publik (KPP) është organi i pavarur rishikues që trajton ankesat mbi </w:t>
      </w:r>
      <w:r w:rsidRPr="0032048B">
        <w:rPr>
          <w:sz w:val="24"/>
          <w:szCs w:val="24"/>
          <w:lang w:val="sq-AL"/>
        </w:rPr>
        <w:lastRenderedPageBreak/>
        <w:t xml:space="preserve">prokurimin publik dhe koncesionet/PPP-të. Vendimet e tij mund të </w:t>
      </w:r>
      <w:proofErr w:type="spellStart"/>
      <w:r w:rsidRPr="0032048B">
        <w:rPr>
          <w:sz w:val="24"/>
          <w:szCs w:val="24"/>
          <w:lang w:val="sq-AL"/>
        </w:rPr>
        <w:t>ankimohen</w:t>
      </w:r>
      <w:proofErr w:type="spellEnd"/>
      <w:r w:rsidRPr="0032048B">
        <w:rPr>
          <w:sz w:val="24"/>
          <w:szCs w:val="24"/>
          <w:lang w:val="sq-AL"/>
        </w:rPr>
        <w:t xml:space="preserve"> përpara Gjykatës Administrative të Apelit (dhe në Gjykatën e Lartë për ankesa të mëtejshme). Në vitin 2022, u miratua një rregullore që sqaron më tej rregullat për pavlefshmërinë e kontratave të prokurimit dhe rolin e KPP-së në këtë drejtim.</w:t>
      </w:r>
    </w:p>
    <w:p w14:paraId="3F2AB5D9" w14:textId="77777777" w:rsidR="00E6279B" w:rsidRPr="0032048B" w:rsidRDefault="00E6279B" w:rsidP="00E6279B">
      <w:pPr>
        <w:spacing w:before="120"/>
        <w:ind w:left="980" w:right="976"/>
        <w:jc w:val="both"/>
        <w:rPr>
          <w:sz w:val="24"/>
          <w:szCs w:val="24"/>
          <w:lang w:val="sq-AL"/>
        </w:rPr>
      </w:pPr>
      <w:r w:rsidRPr="0032048B">
        <w:rPr>
          <w:sz w:val="24"/>
          <w:szCs w:val="24"/>
          <w:lang w:val="sq-AL"/>
        </w:rPr>
        <w:t xml:space="preserve">Sistemi i mjeteve juridike është lehtësisht i </w:t>
      </w:r>
      <w:proofErr w:type="spellStart"/>
      <w:r w:rsidRPr="0032048B">
        <w:rPr>
          <w:sz w:val="24"/>
          <w:szCs w:val="24"/>
          <w:lang w:val="sq-AL"/>
        </w:rPr>
        <w:t>aksesueshëm</w:t>
      </w:r>
      <w:proofErr w:type="spellEnd"/>
      <w:r w:rsidRPr="0032048B">
        <w:rPr>
          <w:sz w:val="24"/>
          <w:szCs w:val="24"/>
          <w:lang w:val="sq-AL"/>
        </w:rPr>
        <w:t xml:space="preserve"> për operatorët ekonomikë, edhe pse përkundrejt një pagese. Është krijuar një portal elektronik për dorëzimin dhe menaxhimin e </w:t>
      </w:r>
      <w:proofErr w:type="spellStart"/>
      <w:r w:rsidRPr="0032048B">
        <w:rPr>
          <w:sz w:val="24"/>
          <w:szCs w:val="24"/>
          <w:lang w:val="sq-AL"/>
        </w:rPr>
        <w:t>ankimimeve</w:t>
      </w:r>
      <w:proofErr w:type="spellEnd"/>
      <w:r w:rsidRPr="0032048B">
        <w:rPr>
          <w:sz w:val="24"/>
          <w:szCs w:val="24"/>
          <w:lang w:val="sq-AL"/>
        </w:rPr>
        <w:t xml:space="preserve"> dhe ankesave, i cili ofron statistika në kohë reale. KPP-ja ka kryer rishikimin e procedurave të tij të brendshme për të inkorporuar procedurat e reja </w:t>
      </w:r>
      <w:proofErr w:type="spellStart"/>
      <w:r w:rsidRPr="0032048B">
        <w:rPr>
          <w:sz w:val="24"/>
          <w:szCs w:val="24"/>
          <w:lang w:val="sq-AL"/>
        </w:rPr>
        <w:t>online</w:t>
      </w:r>
      <w:proofErr w:type="spellEnd"/>
      <w:r w:rsidRPr="0032048B">
        <w:rPr>
          <w:sz w:val="24"/>
          <w:szCs w:val="24"/>
          <w:lang w:val="sq-AL"/>
        </w:rPr>
        <w:t>.</w:t>
      </w:r>
    </w:p>
    <w:p w14:paraId="648F2211" w14:textId="77777777" w:rsidR="00E6279B" w:rsidRPr="0032048B" w:rsidRDefault="00E6279B" w:rsidP="00E6279B">
      <w:pPr>
        <w:spacing w:before="120"/>
        <w:ind w:left="980" w:right="977"/>
        <w:jc w:val="both"/>
        <w:rPr>
          <w:sz w:val="24"/>
          <w:szCs w:val="24"/>
          <w:lang w:val="sq-AL"/>
        </w:rPr>
      </w:pPr>
      <w:r w:rsidRPr="0032048B">
        <w:rPr>
          <w:sz w:val="24"/>
          <w:szCs w:val="24"/>
          <w:lang w:val="sq-AL"/>
        </w:rPr>
        <w:t xml:space="preserve">Në vitin 2022, në KPP u dorëzuan 782 ankesa për prokurim, shifër kjo e përafërt me vitin e kaluar (768 në vitin 2021). 89,9% e ankesave u adresuan brenda afatit kohor ligjor (krahasuar me 89,2% në vitin 2021 dhe 78% në vitin 2020), ndërkohë që koha mesatare që nevojitej për marrjen e një vendimi ishte 12 ditë. Në vitin 2022, 5,45% e vendimeve të KPP-së u </w:t>
      </w:r>
      <w:proofErr w:type="spellStart"/>
      <w:r w:rsidRPr="0032048B">
        <w:rPr>
          <w:sz w:val="24"/>
          <w:szCs w:val="24"/>
          <w:lang w:val="sq-AL"/>
        </w:rPr>
        <w:t>ankimuan</w:t>
      </w:r>
      <w:proofErr w:type="spellEnd"/>
      <w:r w:rsidRPr="0032048B">
        <w:rPr>
          <w:sz w:val="24"/>
          <w:szCs w:val="24"/>
          <w:lang w:val="sq-AL"/>
        </w:rPr>
        <w:t xml:space="preserve"> përpara gjykatave administrative (një rënie e lehtë në krahasim me vitin 2021).</w:t>
      </w:r>
    </w:p>
    <w:p w14:paraId="621AD704" w14:textId="77777777" w:rsidR="00E6279B" w:rsidRPr="0032048B" w:rsidRDefault="00E6279B" w:rsidP="00E6279B">
      <w:pPr>
        <w:spacing w:before="120"/>
        <w:ind w:left="980" w:right="976"/>
        <w:jc w:val="both"/>
        <w:rPr>
          <w:sz w:val="24"/>
          <w:szCs w:val="24"/>
          <w:lang w:val="sq-AL"/>
        </w:rPr>
      </w:pPr>
      <w:r w:rsidRPr="0032048B">
        <w:rPr>
          <w:b/>
          <w:bCs/>
          <w:sz w:val="24"/>
          <w:szCs w:val="24"/>
          <w:lang w:val="sq-AL"/>
        </w:rPr>
        <w:t xml:space="preserve">Kapaciteti </w:t>
      </w:r>
      <w:r w:rsidRPr="0032048B">
        <w:rPr>
          <w:sz w:val="24"/>
          <w:szCs w:val="24"/>
          <w:lang w:val="sq-AL"/>
        </w:rPr>
        <w:t xml:space="preserve">i KPP-së për të trajtuar </w:t>
      </w:r>
      <w:proofErr w:type="spellStart"/>
      <w:r w:rsidRPr="0032048B">
        <w:rPr>
          <w:sz w:val="24"/>
          <w:szCs w:val="24"/>
          <w:lang w:val="sq-AL"/>
        </w:rPr>
        <w:t>ankimimet</w:t>
      </w:r>
      <w:proofErr w:type="spellEnd"/>
      <w:r w:rsidRPr="0032048B">
        <w:rPr>
          <w:sz w:val="24"/>
          <w:szCs w:val="24"/>
          <w:lang w:val="sq-AL"/>
        </w:rPr>
        <w:t xml:space="preserve"> duhet të përmirësohet më tej. Në mars të vitit 2023, Kuvendi miratoi rritjen e numrit të posteve të punës në KPP nga 36 në 42, tetë prej të cilave vazhdojnë të mbeten vakante. Trajnimet e avancuara të stafit të KPP-së bazohen në një marrëveshje bashkëpunimi me Universitetin e Tiranës.</w:t>
      </w:r>
    </w:p>
    <w:p w14:paraId="4876D956" w14:textId="77777777" w:rsidR="00E6279B" w:rsidRPr="0032048B" w:rsidRDefault="00E6279B" w:rsidP="00E6279B">
      <w:pPr>
        <w:spacing w:before="120"/>
        <w:ind w:left="980" w:right="976"/>
        <w:jc w:val="both"/>
        <w:rPr>
          <w:sz w:val="24"/>
          <w:szCs w:val="24"/>
          <w:vertAlign w:val="superscript"/>
          <w:lang w:val="sq-AL"/>
        </w:rPr>
      </w:pPr>
    </w:p>
    <w:p w14:paraId="44BE7801" w14:textId="77777777" w:rsidR="00E6279B" w:rsidRPr="0032048B" w:rsidRDefault="00E6279B" w:rsidP="00E6279B">
      <w:pPr>
        <w:pStyle w:val="Heading1"/>
        <w:rPr>
          <w:lang w:val="sq-AL"/>
        </w:rPr>
      </w:pPr>
      <w:r w:rsidRPr="0032048B">
        <w:rPr>
          <w:lang w:val="sq-AL" w:bidi="sq-AL"/>
        </w:rPr>
        <w:t>Kapitulli 18: Statistikat</w:t>
      </w:r>
    </w:p>
    <w:p w14:paraId="5A0EA5B0" w14:textId="77777777" w:rsidR="00E6279B" w:rsidRPr="0032048B" w:rsidRDefault="00E6279B" w:rsidP="00E6279B">
      <w:pPr>
        <w:spacing w:before="120"/>
        <w:ind w:left="980" w:right="976"/>
        <w:jc w:val="both"/>
        <w:rPr>
          <w:i/>
          <w:sz w:val="24"/>
          <w:lang w:val="sq-AL"/>
        </w:rPr>
      </w:pPr>
      <w:r w:rsidRPr="0032048B">
        <w:rPr>
          <w:i/>
          <w:sz w:val="24"/>
          <w:lang w:val="sq-AL" w:bidi="sq-AL"/>
        </w:rPr>
        <w:t xml:space="preserve">Rregullat e BE-së kërkojnë që Vendet Anëtare të BE-së të jenë të afta të prodhojnë statistika që bazohen në pavarësi profesionale, paanshmëri, besueshmëri, transparencë dhe </w:t>
      </w:r>
      <w:proofErr w:type="spellStart"/>
      <w:r w:rsidRPr="0032048B">
        <w:rPr>
          <w:i/>
          <w:sz w:val="24"/>
          <w:lang w:val="sq-AL" w:bidi="sq-AL"/>
        </w:rPr>
        <w:t>konfidencialitet</w:t>
      </w:r>
      <w:proofErr w:type="spellEnd"/>
      <w:r w:rsidRPr="0032048B">
        <w:rPr>
          <w:i/>
          <w:sz w:val="24"/>
          <w:lang w:val="sq-AL" w:bidi="sq-AL"/>
        </w:rPr>
        <w:t>. Sigurohen rregulla të përgjithshme për metodologjinë, prodhimin dhe shpërndarjen e informacionit statistikor.</w:t>
      </w:r>
    </w:p>
    <w:p w14:paraId="7EF73D48" w14:textId="77777777" w:rsidR="00E6279B" w:rsidRPr="0032048B" w:rsidRDefault="00E6279B" w:rsidP="00E6279B">
      <w:pPr>
        <w:pStyle w:val="BodyText"/>
        <w:spacing w:before="6"/>
        <w:ind w:left="0" w:right="0"/>
        <w:jc w:val="left"/>
        <w:rPr>
          <w:i/>
          <w:sz w:val="10"/>
          <w:lang w:val="sq-AL"/>
        </w:rPr>
      </w:pP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4"/>
      </w:tblGrid>
      <w:tr w:rsidR="00E6279B" w:rsidRPr="0032048B" w14:paraId="7D0D7379" w14:textId="77777777" w:rsidTr="00456F1B">
        <w:trPr>
          <w:trHeight w:val="5556"/>
        </w:trPr>
        <w:tc>
          <w:tcPr>
            <w:tcW w:w="9254" w:type="dxa"/>
            <w:shd w:val="clear" w:color="auto" w:fill="D9D9D9"/>
          </w:tcPr>
          <w:p w14:paraId="6DF6E605" w14:textId="77777777" w:rsidR="00E6279B" w:rsidRPr="0032048B" w:rsidRDefault="00E6279B" w:rsidP="00456F1B">
            <w:pPr>
              <w:pStyle w:val="TableParagraph"/>
              <w:spacing w:before="19"/>
              <w:ind w:left="113" w:right="100"/>
              <w:jc w:val="both"/>
              <w:rPr>
                <w:sz w:val="24"/>
                <w:lang w:val="sq-AL"/>
              </w:rPr>
            </w:pPr>
            <w:r w:rsidRPr="0032048B">
              <w:rPr>
                <w:sz w:val="24"/>
                <w:lang w:val="sq-AL" w:bidi="sq-AL"/>
              </w:rPr>
              <w:t xml:space="preserve">Shqipëria është </w:t>
            </w:r>
            <w:r w:rsidRPr="0032048B">
              <w:rPr>
                <w:b/>
                <w:sz w:val="24"/>
                <w:lang w:val="sq-AL" w:bidi="sq-AL"/>
              </w:rPr>
              <w:t>e përgatitur mesatarisht</w:t>
            </w:r>
            <w:r w:rsidRPr="0032048B">
              <w:rPr>
                <w:sz w:val="24"/>
                <w:lang w:val="sq-AL" w:bidi="sq-AL"/>
              </w:rPr>
              <w:t xml:space="preserve"> për statistikat. Është </w:t>
            </w:r>
            <w:r w:rsidRPr="0032048B">
              <w:rPr>
                <w:b/>
                <w:sz w:val="24"/>
                <w:lang w:val="sq-AL" w:bidi="sq-AL"/>
              </w:rPr>
              <w:t>bërë progres i mirë</w:t>
            </w:r>
            <w:r w:rsidRPr="0032048B">
              <w:rPr>
                <w:sz w:val="24"/>
                <w:lang w:val="sq-AL" w:bidi="sq-AL"/>
              </w:rPr>
              <w:t xml:space="preserve"> me trajtimin e rekomandimeve të raportit të vitit 2022. Ka përafrim të mëtejshëm me standardet e ESA 2010, publikimi i statistikave ishte më i shpejtë dhe pati rritje të transmetimit të tyre drejt </w:t>
            </w:r>
            <w:proofErr w:type="spellStart"/>
            <w:r w:rsidRPr="0032048B">
              <w:rPr>
                <w:sz w:val="24"/>
                <w:lang w:val="sq-AL" w:bidi="sq-AL"/>
              </w:rPr>
              <w:t>Eurostat</w:t>
            </w:r>
            <w:proofErr w:type="spellEnd"/>
            <w:r w:rsidRPr="0032048B">
              <w:rPr>
                <w:sz w:val="24"/>
                <w:lang w:val="sq-AL" w:bidi="sq-AL"/>
              </w:rPr>
              <w:t>-it. Kuvendi miratoi planin e statistikave 2023, përfshirë datën e fillimit të censit të popullsisë dhe banesave, që është në kryerje e sipër. Roli i Institutit të Statistikave (INSTAT) u fuqizua më tej, dhe burimet e tij u përmirësuan. Megjithatë ka ende sfida lidhur me kapacitetet e tij. Pavarësisht progresit lidhur me modernizimin e metodave për mbledhjen e të dhënave, nevojiten përpjekje të mëtejshme për përmirësimin e procesit të prodhimit statistikor.</w:t>
            </w:r>
          </w:p>
          <w:p w14:paraId="33E33931" w14:textId="77777777" w:rsidR="00E6279B" w:rsidRPr="0032048B" w:rsidRDefault="00E6279B" w:rsidP="00456F1B">
            <w:pPr>
              <w:pStyle w:val="TableParagraph"/>
              <w:spacing w:before="119"/>
              <w:ind w:left="113" w:right="100"/>
              <w:jc w:val="both"/>
              <w:rPr>
                <w:sz w:val="24"/>
                <w:lang w:val="sq-AL"/>
              </w:rPr>
            </w:pPr>
            <w:r w:rsidRPr="0032048B">
              <w:rPr>
                <w:sz w:val="24"/>
                <w:lang w:val="sq-AL" w:bidi="sq-AL"/>
              </w:rPr>
              <w:t>Pjesa më e madhe e rekomandimeve të bëra në vitin 2022 mbeten të vlefshme. Vitin e ardhshëm, Shqipëria duhet të:</w:t>
            </w:r>
          </w:p>
          <w:p w14:paraId="2F15CB84" w14:textId="77777777" w:rsidR="00E6279B" w:rsidRPr="0032048B" w:rsidRDefault="00E6279B" w:rsidP="00456F1B">
            <w:pPr>
              <w:pStyle w:val="TableParagraph"/>
              <w:spacing w:before="120"/>
              <w:ind w:left="473" w:right="102" w:hanging="360"/>
              <w:jc w:val="both"/>
              <w:rPr>
                <w:sz w:val="24"/>
                <w:lang w:val="sq-AL"/>
              </w:rPr>
            </w:pPr>
            <w:r w:rsidRPr="0032048B">
              <w:rPr>
                <w:sz w:val="24"/>
                <w:lang w:val="sq-AL" w:bidi="sq-AL"/>
              </w:rPr>
              <w:t xml:space="preserve"> shpërndajë brenda afateve të arsyeshme rezultatet e censit të popullsisë dhe banesave 2023 dhe të përgatisë një plan të përditësuar, të sigurojë burimet dhe të përgatitet për kryerjen e censit të fermave bujqësore në përputhje me </w:t>
            </w:r>
            <w:proofErr w:type="spellStart"/>
            <w:r w:rsidRPr="0032048B">
              <w:rPr>
                <w:i/>
                <w:sz w:val="24"/>
                <w:lang w:val="sq-AL" w:bidi="sq-AL"/>
              </w:rPr>
              <w:t>acquis</w:t>
            </w:r>
            <w:proofErr w:type="spellEnd"/>
            <w:r w:rsidRPr="0032048B">
              <w:rPr>
                <w:i/>
                <w:sz w:val="24"/>
                <w:lang w:val="sq-AL" w:bidi="sq-AL"/>
              </w:rPr>
              <w:t>-në</w:t>
            </w:r>
            <w:r w:rsidRPr="0032048B">
              <w:rPr>
                <w:sz w:val="24"/>
                <w:lang w:val="sq-AL" w:bidi="sq-AL"/>
              </w:rPr>
              <w:t xml:space="preserve"> përkatëse të BE-së dhe standardet ndërkombëtare;</w:t>
            </w:r>
          </w:p>
          <w:p w14:paraId="722D6210" w14:textId="77777777" w:rsidR="00E6279B" w:rsidRPr="0032048B" w:rsidRDefault="00E6279B" w:rsidP="00456F1B">
            <w:pPr>
              <w:pStyle w:val="TableParagraph"/>
              <w:spacing w:before="120"/>
              <w:ind w:left="473" w:right="102" w:hanging="360"/>
              <w:jc w:val="both"/>
              <w:rPr>
                <w:sz w:val="24"/>
                <w:lang w:val="sq-AL"/>
              </w:rPr>
            </w:pPr>
            <w:r w:rsidRPr="0032048B">
              <w:rPr>
                <w:sz w:val="24"/>
                <w:lang w:val="sq-AL" w:bidi="sq-AL"/>
              </w:rPr>
              <w:t> marrë masa për uljen e qarkullimit të personelit të Institutit të Statistikave (INSTAT), me qëllim përmbushjen e nevojave të prodhimit statistikor;</w:t>
            </w:r>
          </w:p>
          <w:p w14:paraId="5217FB38" w14:textId="77777777" w:rsidR="00E6279B" w:rsidRPr="0032048B" w:rsidRDefault="00E6279B" w:rsidP="00456F1B">
            <w:pPr>
              <w:pStyle w:val="TableParagraph"/>
              <w:spacing w:before="118"/>
              <w:ind w:left="473" w:right="102" w:hanging="360"/>
              <w:jc w:val="both"/>
              <w:rPr>
                <w:sz w:val="24"/>
                <w:lang w:val="sq-AL"/>
              </w:rPr>
            </w:pPr>
            <w:r w:rsidRPr="0032048B">
              <w:rPr>
                <w:sz w:val="24"/>
                <w:lang w:val="sq-AL" w:bidi="sq-AL"/>
              </w:rPr>
              <w:t xml:space="preserve"> shtojë prodhimin dhe transmetimin e të dhënave cilësore dhe në kohë për shpërndarje nga </w:t>
            </w:r>
            <w:proofErr w:type="spellStart"/>
            <w:r w:rsidRPr="0032048B">
              <w:rPr>
                <w:sz w:val="24"/>
                <w:lang w:val="sq-AL" w:bidi="sq-AL"/>
              </w:rPr>
              <w:t>Eurostat</w:t>
            </w:r>
            <w:proofErr w:type="spellEnd"/>
            <w:r w:rsidRPr="0032048B">
              <w:rPr>
                <w:sz w:val="24"/>
                <w:lang w:val="sq-AL" w:bidi="sq-AL"/>
              </w:rPr>
              <w:t>, dhe në veçanti të vërë në dispozicion të publikut të dhënat lidhur me statistikat financiare të qeverisë.</w:t>
            </w:r>
          </w:p>
        </w:tc>
      </w:tr>
    </w:tbl>
    <w:p w14:paraId="0813EAE3" w14:textId="77777777" w:rsidR="00E6279B" w:rsidRPr="0032048B" w:rsidRDefault="00E6279B" w:rsidP="00E6279B">
      <w:pPr>
        <w:pStyle w:val="BodyText"/>
        <w:spacing w:before="122"/>
        <w:ind w:left="979"/>
        <w:rPr>
          <w:lang w:val="sq-AL"/>
        </w:rPr>
      </w:pPr>
      <w:r w:rsidRPr="0032048B">
        <w:rPr>
          <w:lang w:val="sq-AL" w:bidi="sq-AL"/>
        </w:rPr>
        <w:t xml:space="preserve">Sa i përket </w:t>
      </w:r>
      <w:r w:rsidRPr="0032048B">
        <w:rPr>
          <w:b/>
          <w:lang w:val="sq-AL" w:bidi="sq-AL"/>
        </w:rPr>
        <w:t>infrastrukturës statistikore</w:t>
      </w:r>
      <w:r w:rsidRPr="0032048B">
        <w:rPr>
          <w:lang w:val="sq-AL" w:bidi="sq-AL"/>
        </w:rPr>
        <w:t xml:space="preserve">, ligji shqiptar për statistikat zyrtare është në përputhje me Kodin Evropian të Praktikës për Statistikat, dhe shumica e klasifikimeve janë në përputhje me standardet evropiane. Programi zyrtar i statistikave 2022-2026 po zbatohet. Plani vjetor i </w:t>
      </w:r>
      <w:r w:rsidRPr="0032048B">
        <w:rPr>
          <w:lang w:val="sq-AL" w:bidi="sq-AL"/>
        </w:rPr>
        <w:lastRenderedPageBreak/>
        <w:t>statistikave 2023 u miratua në Kuvend në janar të vitit 2023. Ky plan përfshinte datën e censit të popullsisë dhe banesave, që duhet të kryhet në vitin 2023, ndërkohë që është shtyrë dy herë. Ndërkohë që INSTAT-i ka bërë disa përpjekje për plotësimin e vendeve të lira dhe synon të rrisë numrin e personelit nga 236 në 266 deri në vitin 2026, ka nevojë për përpjekje të mëtejshme për uljen e qarkullimit të personelit, me qëllim përmbushjen e nevojave të prodhimit statistikor dhe trajnimit të personelit të ri lidhur me zhvillimet më të fundit statistikore.</w:t>
      </w:r>
    </w:p>
    <w:p w14:paraId="0B8A264C" w14:textId="77777777" w:rsidR="00E6279B" w:rsidRPr="0032048B" w:rsidRDefault="00E6279B" w:rsidP="00E6279B">
      <w:pPr>
        <w:pStyle w:val="BodyText"/>
        <w:spacing w:before="62"/>
        <w:ind w:left="979"/>
        <w:rPr>
          <w:lang w:val="sq-AL"/>
        </w:rPr>
      </w:pPr>
      <w:r w:rsidRPr="0032048B">
        <w:rPr>
          <w:lang w:val="sq-AL" w:bidi="sq-AL"/>
        </w:rPr>
        <w:t xml:space="preserve">Sa i përket </w:t>
      </w:r>
      <w:r w:rsidRPr="0032048B">
        <w:rPr>
          <w:b/>
          <w:lang w:val="sq-AL" w:bidi="sq-AL"/>
        </w:rPr>
        <w:t>statistikave makroekonomike</w:t>
      </w:r>
      <w:r w:rsidRPr="0032048B">
        <w:rPr>
          <w:lang w:val="sq-AL" w:bidi="sq-AL"/>
        </w:rPr>
        <w:t>, të dhënat vjetore dhe tremujore të PBB-së prodhohen në përputhje me qasjen e prodhimit dhe shpenzimeve, me çmimet aktuale, si dhe me volumin e lidhur me zinxhirin dhe të rregulluara sipas sezonit. Sa i përket llogarive kombëtare, Shqipëria është pjesërisht e përputhur me ESA 2010 për llogaritë kombëtare tremujore dhe vjetore (</w:t>
      </w:r>
      <w:proofErr w:type="spellStart"/>
      <w:r w:rsidRPr="0032048B">
        <w:rPr>
          <w:lang w:val="sq-AL" w:bidi="sq-AL"/>
        </w:rPr>
        <w:t>agregatët</w:t>
      </w:r>
      <w:proofErr w:type="spellEnd"/>
      <w:r w:rsidRPr="0032048B">
        <w:rPr>
          <w:lang w:val="sq-AL" w:bidi="sq-AL"/>
        </w:rPr>
        <w:t xml:space="preserve"> kryesorë), në lidhje me tabelat e furnizimit dhe përdorimit dhe tabelat e përftuara hyrje-dalje, si dhe në lidhje me llogaritë rajonale; transmetimi i të dhënave drejt </w:t>
      </w:r>
      <w:proofErr w:type="spellStart"/>
      <w:r w:rsidRPr="0032048B">
        <w:rPr>
          <w:lang w:val="sq-AL" w:bidi="sq-AL"/>
        </w:rPr>
        <w:t>Eurostat</w:t>
      </w:r>
      <w:proofErr w:type="spellEnd"/>
      <w:r w:rsidRPr="0032048B">
        <w:rPr>
          <w:lang w:val="sq-AL" w:bidi="sq-AL"/>
        </w:rPr>
        <w:t xml:space="preserve"> ka përmirësim gradual lidhur me afatet kohore për llogaritë kombëtare vjetore. Megjithatë, nevojitet ende përmirësim i konsiderueshëm për përmbushje të plotë (kryesisht në qasjen ndaj PBB-së tremujore sipas të ardhurave dhe popullsisë, dhe në lidhje me të dhënat për punësimin). Nevojitet pune e konsiderueshme e mëtejshme për përmirësimin e veprimit në kohë, mbulimit dhe cilësisë së llogarive vjetore të sektorit </w:t>
      </w:r>
      <w:proofErr w:type="spellStart"/>
      <w:r w:rsidRPr="0032048B">
        <w:rPr>
          <w:lang w:val="sq-AL" w:bidi="sq-AL"/>
        </w:rPr>
        <w:t>jofinanciar</w:t>
      </w:r>
      <w:proofErr w:type="spellEnd"/>
      <w:r w:rsidRPr="0032048B">
        <w:rPr>
          <w:lang w:val="sq-AL" w:bidi="sq-AL"/>
        </w:rPr>
        <w:t xml:space="preserve"> dhe llogarive vjetore të sektorit financiar dhe për fillimin e përpilimit të llogarive tremujore të sektorit </w:t>
      </w:r>
      <w:proofErr w:type="spellStart"/>
      <w:r w:rsidRPr="0032048B">
        <w:rPr>
          <w:lang w:val="sq-AL" w:bidi="sq-AL"/>
        </w:rPr>
        <w:t>jofinanciar</w:t>
      </w:r>
      <w:proofErr w:type="spellEnd"/>
      <w:r w:rsidRPr="0032048B">
        <w:rPr>
          <w:lang w:val="sq-AL" w:bidi="sq-AL"/>
        </w:rPr>
        <w:t xml:space="preserve">. Duhen bërë përpjekje për fillimin e punës lidhur me përpilimin e tabelës së përfitimeve nga pensioni. Me gjithë progresin për përafrimin me standardet e ESA 2010, Shqipëria duhet të përmirësojë përmbushjen e kërkesave metodologjike, dhe të zbatojë përmirësimet e arrira tashmë në kuadër të shqyrtimit të ardhshëm krahasues në vitin 2024. Inventari i të Ardhurave Kombëtare Bruto (GNI), i cili përshkruan burimet dhe metodat e përdorura për përpilimin e llogarive kombëtare, duhet të përditësohet. Gjithashtu ka nevojë për përpjekje për të siguruar që tabelat e njoftimit të procedurës së deficitit të tepërt, të cilat i dërgohen </w:t>
      </w:r>
      <w:proofErr w:type="spellStart"/>
      <w:r w:rsidRPr="0032048B">
        <w:rPr>
          <w:lang w:val="sq-AL" w:bidi="sq-AL"/>
        </w:rPr>
        <w:t>Eurostatit</w:t>
      </w:r>
      <w:proofErr w:type="spellEnd"/>
      <w:r w:rsidRPr="0032048B">
        <w:rPr>
          <w:lang w:val="sq-AL" w:bidi="sq-AL"/>
        </w:rPr>
        <w:t xml:space="preserve"> mbi bazën e përpjekjeve më të mira, të jenë të plota. Nevojiten gjithashtu përmirësime për statistikat financiare të qeverisë që ato të përmbushin kërkesat e </w:t>
      </w:r>
      <w:proofErr w:type="spellStart"/>
      <w:r w:rsidRPr="0032048B">
        <w:rPr>
          <w:i/>
          <w:lang w:val="sq-AL" w:bidi="sq-AL"/>
        </w:rPr>
        <w:t>acquis</w:t>
      </w:r>
      <w:proofErr w:type="spellEnd"/>
      <w:r w:rsidRPr="0032048B">
        <w:rPr>
          <w:i/>
          <w:lang w:val="sq-AL" w:bidi="sq-AL"/>
        </w:rPr>
        <w:t>-ve të BE-së</w:t>
      </w:r>
      <w:r w:rsidRPr="0032048B">
        <w:rPr>
          <w:lang w:val="sq-AL" w:bidi="sq-AL"/>
        </w:rPr>
        <w:t xml:space="preserve"> dhe të dhënat duhet të jenë të </w:t>
      </w:r>
      <w:proofErr w:type="spellStart"/>
      <w:r w:rsidRPr="0032048B">
        <w:rPr>
          <w:lang w:val="sq-AL" w:bidi="sq-AL"/>
        </w:rPr>
        <w:t>disponueshme</w:t>
      </w:r>
      <w:proofErr w:type="spellEnd"/>
      <w:r w:rsidRPr="0032048B">
        <w:rPr>
          <w:lang w:val="sq-AL" w:bidi="sq-AL"/>
        </w:rPr>
        <w:t xml:space="preserve"> publikisht. INSTAT harton dhe boton indeksin e harmonizuar të çmimeve të konsumit dhe është përgjegjës për prodhimin e llogarive të </w:t>
      </w:r>
      <w:proofErr w:type="spellStart"/>
      <w:r w:rsidRPr="0032048B">
        <w:rPr>
          <w:lang w:val="sq-AL" w:bidi="sq-AL"/>
        </w:rPr>
        <w:t>të</w:t>
      </w:r>
      <w:proofErr w:type="spellEnd"/>
      <w:r w:rsidRPr="0032048B">
        <w:rPr>
          <w:lang w:val="sq-AL" w:bidi="sq-AL"/>
        </w:rPr>
        <w:t xml:space="preserve"> ardhurave.</w:t>
      </w:r>
    </w:p>
    <w:p w14:paraId="4DEBD9FF" w14:textId="77777777" w:rsidR="00E6279B" w:rsidRPr="0032048B" w:rsidRDefault="00E6279B" w:rsidP="00E6279B">
      <w:pPr>
        <w:pStyle w:val="BodyText"/>
        <w:ind w:left="979"/>
        <w:rPr>
          <w:lang w:val="sq-AL"/>
        </w:rPr>
      </w:pPr>
      <w:r w:rsidRPr="0032048B">
        <w:rPr>
          <w:lang w:val="sq-AL" w:bidi="sq-AL"/>
        </w:rPr>
        <w:t xml:space="preserve">Mbledhja e të dhënave dhe prodhimi i </w:t>
      </w:r>
      <w:r w:rsidRPr="0032048B">
        <w:rPr>
          <w:b/>
          <w:lang w:val="sq-AL" w:bidi="sq-AL"/>
        </w:rPr>
        <w:t>statistikave për biznesin</w:t>
      </w:r>
      <w:r w:rsidRPr="0032048B">
        <w:rPr>
          <w:lang w:val="sq-AL" w:bidi="sq-AL"/>
        </w:rPr>
        <w:t xml:space="preserve"> janë përmirësuar. Shqipëria kryen anketim të prodhimit industrial, megjithëse aktualisht të dhënat nuk mblidhen dhe nuk i transmetohen </w:t>
      </w:r>
      <w:proofErr w:type="spellStart"/>
      <w:r w:rsidRPr="0032048B">
        <w:rPr>
          <w:lang w:val="sq-AL" w:bidi="sq-AL"/>
        </w:rPr>
        <w:t>Eurostat</w:t>
      </w:r>
      <w:proofErr w:type="spellEnd"/>
      <w:r w:rsidRPr="0032048B">
        <w:rPr>
          <w:lang w:val="sq-AL" w:bidi="sq-AL"/>
        </w:rPr>
        <w:t xml:space="preserve">-it. Shqipëria është pjesërisht në përputhje me të gjitha fushat e statistikave afatshkurtra (STS) (industri, ndërtim, tregti me pakicë dhe shërbime të tjera). Megjithatë, disa tregues të STS-së nuk i transmetohen ende </w:t>
      </w:r>
      <w:proofErr w:type="spellStart"/>
      <w:r w:rsidRPr="0032048B">
        <w:rPr>
          <w:lang w:val="sq-AL" w:bidi="sq-AL"/>
        </w:rPr>
        <w:t>Eurostat</w:t>
      </w:r>
      <w:proofErr w:type="spellEnd"/>
      <w:r w:rsidRPr="0032048B">
        <w:rPr>
          <w:lang w:val="sq-AL" w:bidi="sq-AL"/>
        </w:rPr>
        <w:t>-it, veçanërisht ato që lidhen me qarkullimin industrial, orët e punuara dhe treguesit për regjistrimin dhe falimentin e bizneseve. Nevojiten përpjekje të mëtejshme për transmetimin e statistikave demografike të biznesit, duke nisur me hapjen, mbylljen, dhe mbijetesën e sipërmarrjeve. INSTAT vijon të arrijë shkallë të lartë përgjigjeje si në anketimet drejtuar biznesit, ashtu edhe ato drejtuar familjeve.</w:t>
      </w:r>
    </w:p>
    <w:p w14:paraId="6C16E1CD" w14:textId="77777777" w:rsidR="00E6279B" w:rsidRPr="0032048B" w:rsidRDefault="00E6279B" w:rsidP="00E6279B">
      <w:pPr>
        <w:pStyle w:val="BodyText"/>
        <w:spacing w:before="119"/>
        <w:ind w:left="979"/>
        <w:rPr>
          <w:lang w:val="sq-AL"/>
        </w:rPr>
      </w:pPr>
      <w:r w:rsidRPr="0032048B">
        <w:rPr>
          <w:lang w:val="sq-AL" w:bidi="sq-AL"/>
        </w:rPr>
        <w:t xml:space="preserve">Sa i përket </w:t>
      </w:r>
      <w:r w:rsidRPr="0032048B">
        <w:rPr>
          <w:b/>
          <w:lang w:val="sq-AL" w:bidi="sq-AL"/>
        </w:rPr>
        <w:t>statistikave sociale</w:t>
      </w:r>
      <w:r w:rsidRPr="0032048B">
        <w:rPr>
          <w:lang w:val="sq-AL" w:bidi="sq-AL"/>
        </w:rPr>
        <w:t xml:space="preserve">, INSTAT vijon të zbatojë rregullisht anketimin e fuqisë punëtore, dhe </w:t>
      </w:r>
      <w:proofErr w:type="spellStart"/>
      <w:r w:rsidRPr="0032048B">
        <w:rPr>
          <w:lang w:val="sq-AL" w:bidi="sq-AL"/>
        </w:rPr>
        <w:t>Eurostat</w:t>
      </w:r>
      <w:proofErr w:type="spellEnd"/>
      <w:r w:rsidRPr="0032048B">
        <w:rPr>
          <w:lang w:val="sq-AL" w:bidi="sq-AL"/>
        </w:rPr>
        <w:t xml:space="preserve">-it i sigurohen të dhëna </w:t>
      </w:r>
      <w:proofErr w:type="spellStart"/>
      <w:r w:rsidRPr="0032048B">
        <w:rPr>
          <w:lang w:val="sq-AL" w:bidi="sq-AL"/>
        </w:rPr>
        <w:t>mikro</w:t>
      </w:r>
      <w:proofErr w:type="spellEnd"/>
      <w:r w:rsidRPr="0032048B">
        <w:rPr>
          <w:lang w:val="sq-AL" w:bidi="sq-AL"/>
        </w:rPr>
        <w:t xml:space="preserve">, por institucioni ende nuk prodhon statistika për vendet e lira të punës. Statistikat e kostos së punës përllogariten bazuar në anketën e kostos së punës. INSTAT vijon të kryejë anketimin vjetor të </w:t>
      </w:r>
      <w:proofErr w:type="spellStart"/>
      <w:r w:rsidRPr="0032048B">
        <w:rPr>
          <w:lang w:val="sq-AL" w:bidi="sq-AL"/>
        </w:rPr>
        <w:t>të</w:t>
      </w:r>
      <w:proofErr w:type="spellEnd"/>
      <w:r w:rsidRPr="0032048B">
        <w:rPr>
          <w:lang w:val="sq-AL" w:bidi="sq-AL"/>
        </w:rPr>
        <w:t xml:space="preserve"> ardhurave dhe kushteve të jetesës (SILC) dhe të dhënat janë vërtetuar dhe botuar nga </w:t>
      </w:r>
      <w:proofErr w:type="spellStart"/>
      <w:r w:rsidRPr="0032048B">
        <w:rPr>
          <w:lang w:val="sq-AL" w:bidi="sq-AL"/>
        </w:rPr>
        <w:t>Eurostat</w:t>
      </w:r>
      <w:proofErr w:type="spellEnd"/>
      <w:r w:rsidRPr="0032048B">
        <w:rPr>
          <w:lang w:val="sq-AL" w:bidi="sq-AL"/>
        </w:rPr>
        <w:t xml:space="preserve">-i. Të dhënat për të ardhurat dhe kushtet e jetesës në nivelin e familjes dhe atë personal janë publikuar përmes EU-SILC-it. Statistikat për migracionin e jashtëm dhe azilin janë pjesërisht të përafruara me </w:t>
      </w:r>
      <w:proofErr w:type="spellStart"/>
      <w:r w:rsidRPr="0032048B">
        <w:rPr>
          <w:i/>
          <w:lang w:val="sq-AL" w:bidi="sq-AL"/>
        </w:rPr>
        <w:t>acquis</w:t>
      </w:r>
      <w:proofErr w:type="spellEnd"/>
      <w:r w:rsidRPr="0032048B">
        <w:rPr>
          <w:i/>
          <w:lang w:val="sq-AL" w:bidi="sq-AL"/>
        </w:rPr>
        <w:t>-në e BE-së</w:t>
      </w:r>
      <w:r w:rsidRPr="0032048B">
        <w:rPr>
          <w:lang w:val="sq-AL" w:bidi="sq-AL"/>
        </w:rPr>
        <w:t xml:space="preserve">. Statistikat e krimit botohen çdo vit dhe janë tërësisht të bazuara në burime administrative. Statistikat e krimit në Shqipëri janë të klasifikuara bazuar në kodin penal dhe legjislacionin e vendit, por INSTAT po punon për një </w:t>
      </w:r>
      <w:proofErr w:type="spellStart"/>
      <w:r w:rsidRPr="0032048B">
        <w:rPr>
          <w:lang w:val="sq-AL" w:bidi="sq-AL"/>
        </w:rPr>
        <w:t>hartëzim</w:t>
      </w:r>
      <w:proofErr w:type="spellEnd"/>
      <w:r w:rsidRPr="0032048B">
        <w:rPr>
          <w:lang w:val="sq-AL" w:bidi="sq-AL"/>
        </w:rPr>
        <w:t xml:space="preserve"> që përdor Klasifikimin Ndërkombëtar të Krimit </w:t>
      </w:r>
      <w:r w:rsidRPr="0032048B">
        <w:rPr>
          <w:lang w:val="sq-AL" w:bidi="sq-AL"/>
        </w:rPr>
        <w:lastRenderedPageBreak/>
        <w:t>për Qëllime Statistikore.</w:t>
      </w:r>
    </w:p>
    <w:p w14:paraId="0FDC8CEC" w14:textId="64C06709" w:rsidR="00E6279B" w:rsidRPr="0032048B" w:rsidRDefault="00E6279B" w:rsidP="006C790B">
      <w:pPr>
        <w:pStyle w:val="BodyText"/>
        <w:ind w:left="979"/>
        <w:rPr>
          <w:lang w:val="sq-AL"/>
        </w:rPr>
      </w:pPr>
      <w:r w:rsidRPr="0032048B">
        <w:rPr>
          <w:lang w:val="sq-AL" w:bidi="sq-AL"/>
        </w:rPr>
        <w:t xml:space="preserve">Mbledhja e të dhënave të kategorizuara sipas gjinisë është përmirësuar; programi i ri i statistikave zyrtare përfshin dispozita për mbledhjen dhe analizimin e statistikave gjinore. Nevojiten përpjekje të mëtejshme për prodhimin e të dhënave të kategorizuara sipas grupeve të veçanta, veçanërisht për </w:t>
      </w:r>
      <w:proofErr w:type="spellStart"/>
      <w:r w:rsidRPr="0032048B">
        <w:rPr>
          <w:lang w:val="sq-AL" w:bidi="sq-AL"/>
        </w:rPr>
        <w:t>prevalencën</w:t>
      </w:r>
      <w:proofErr w:type="spellEnd"/>
      <w:r w:rsidRPr="0032048B">
        <w:rPr>
          <w:lang w:val="sq-AL" w:bidi="sq-AL"/>
        </w:rPr>
        <w:t xml:space="preserve"> e dhunës dhe ngacmimit në vendin e punës; si dhe për të dhëna të kategorizuara sipas gjinisë dhe vendndodhjes gjeografike, moshës, etnisë, aftësive të kufizuara dhe gjendjes së migracionit. Pas shtyrjes dy herë, censi i popullsisë dhe banesave po zbatohet në vitin 2023, pasi një cens i dytë pilot rezultoi në korrigjime të mëtejshme të qasjes. Rekrutimi i personelit për censin nisi në maj. Mesazhe </w:t>
      </w:r>
      <w:proofErr w:type="spellStart"/>
      <w:r w:rsidRPr="0032048B">
        <w:rPr>
          <w:lang w:val="sq-AL" w:bidi="sq-AL"/>
        </w:rPr>
        <w:t>ndërgjegjësuese</w:t>
      </w:r>
      <w:proofErr w:type="spellEnd"/>
      <w:r w:rsidRPr="0032048B">
        <w:rPr>
          <w:lang w:val="sq-AL" w:bidi="sq-AL"/>
        </w:rPr>
        <w:t xml:space="preserve"> në format video për censin kanë filluar të transmetohen tashmë, dhe komunikimi i gjerë do të nisë në shtator të vitit 2023. Shqipëria duhet të sigurojë që censi të</w:t>
      </w:r>
      <w:r w:rsidR="006C790B" w:rsidRPr="0032048B">
        <w:rPr>
          <w:lang w:val="sq-AL"/>
        </w:rPr>
        <w:t xml:space="preserve"> </w:t>
      </w:r>
      <w:r w:rsidRPr="0032048B">
        <w:rPr>
          <w:lang w:val="sq-AL" w:bidi="sq-AL"/>
        </w:rPr>
        <w:t xml:space="preserve">vijojë, të sigurojë financim të përshtatshëm për zbatimin e tij të plotë, që të dhënat administrative të ripërdoren sa herë është e mundur, dhe të sigurojë që modifikimit të </w:t>
      </w:r>
      <w:proofErr w:type="spellStart"/>
      <w:r w:rsidRPr="0032048B">
        <w:rPr>
          <w:lang w:val="sq-AL" w:bidi="sq-AL"/>
        </w:rPr>
        <w:t>të</w:t>
      </w:r>
      <w:proofErr w:type="spellEnd"/>
      <w:r w:rsidRPr="0032048B">
        <w:rPr>
          <w:lang w:val="sq-AL" w:bidi="sq-AL"/>
        </w:rPr>
        <w:t xml:space="preserve"> dhënave mbi bazën e referencave të ndryshme t'i kushtohet vëmendje e mjaftueshme.</w:t>
      </w:r>
    </w:p>
    <w:p w14:paraId="1B16EE1D" w14:textId="77777777" w:rsidR="00E6279B" w:rsidRPr="0032048B" w:rsidRDefault="00E6279B" w:rsidP="00E6279B">
      <w:pPr>
        <w:pStyle w:val="BodyText"/>
        <w:rPr>
          <w:lang w:val="sq-AL"/>
        </w:rPr>
      </w:pPr>
      <w:r w:rsidRPr="0032048B">
        <w:rPr>
          <w:b/>
          <w:lang w:val="sq-AL" w:bidi="sq-AL"/>
        </w:rPr>
        <w:t xml:space="preserve">Statistikat bujqësore </w:t>
      </w:r>
      <w:r w:rsidRPr="0032048B">
        <w:rPr>
          <w:lang w:val="sq-AL" w:bidi="sq-AL"/>
        </w:rPr>
        <w:t xml:space="preserve">janë pjesërisht të përafruara me </w:t>
      </w:r>
      <w:proofErr w:type="spellStart"/>
      <w:r w:rsidRPr="0032048B">
        <w:rPr>
          <w:i/>
          <w:lang w:val="sq-AL" w:bidi="sq-AL"/>
        </w:rPr>
        <w:t>acquis</w:t>
      </w:r>
      <w:proofErr w:type="spellEnd"/>
      <w:r w:rsidRPr="0032048B">
        <w:rPr>
          <w:i/>
          <w:lang w:val="sq-AL" w:bidi="sq-AL"/>
        </w:rPr>
        <w:t xml:space="preserve">-në </w:t>
      </w:r>
      <w:r w:rsidRPr="0032048B">
        <w:rPr>
          <w:lang w:val="sq-AL" w:bidi="sq-AL"/>
        </w:rPr>
        <w:t>e BE-së. Progres i mirë është arritur sa i përket regjistrave administrativë, si regjistri i fermave, regjistri i kafshëve individuale dhe regjistrat e fermave të blegtorisë, por cilësia e të dhënave duhet të përmirësohet më tej. Gjithashtu, INSTAT duhet të përgatisë përfundimisht materialin e nevojshëm për censin e femrave bujqësore të planifikuar për vitin 2024, përfshirë planin e veprimit dhe buxhetin e përditësuar përkatës, si dhe të sigurojë fondet e nevojshme për zbatimin e suksesshëm të tij. Duhet të sigurohet miratimi i aktit ligjor të nevojshëm për garantimin e përputhjes me rregulloret e BE-së për statistikat e integruara për fermat.</w:t>
      </w:r>
    </w:p>
    <w:p w14:paraId="59B980BC" w14:textId="77777777" w:rsidR="00E6279B" w:rsidRPr="0032048B" w:rsidRDefault="00E6279B" w:rsidP="00E6279B">
      <w:pPr>
        <w:pStyle w:val="BodyText"/>
        <w:rPr>
          <w:lang w:val="sq-AL"/>
        </w:rPr>
      </w:pPr>
      <w:r w:rsidRPr="0032048B">
        <w:rPr>
          <w:b/>
          <w:lang w:val="sq-AL" w:bidi="sq-AL"/>
        </w:rPr>
        <w:t>Statistikat mjedisore</w:t>
      </w:r>
      <w:r w:rsidRPr="0032048B">
        <w:rPr>
          <w:lang w:val="sq-AL" w:bidi="sq-AL"/>
        </w:rPr>
        <w:t xml:space="preserve"> janë të përafruara pjesërisht me </w:t>
      </w:r>
      <w:proofErr w:type="spellStart"/>
      <w:r w:rsidRPr="0032048B">
        <w:rPr>
          <w:i/>
          <w:lang w:val="sq-AL" w:bidi="sq-AL"/>
        </w:rPr>
        <w:t>acquis</w:t>
      </w:r>
      <w:proofErr w:type="spellEnd"/>
      <w:r w:rsidRPr="0032048B">
        <w:rPr>
          <w:i/>
          <w:lang w:val="sq-AL" w:bidi="sq-AL"/>
        </w:rPr>
        <w:t>-në</w:t>
      </w:r>
      <w:r w:rsidRPr="0032048B">
        <w:rPr>
          <w:lang w:val="sq-AL" w:bidi="sq-AL"/>
        </w:rPr>
        <w:t xml:space="preserve"> e BE-së. Llogaritë e flukseve materiale janë të përafruara mirë me </w:t>
      </w:r>
      <w:proofErr w:type="spellStart"/>
      <w:r w:rsidRPr="0032048B">
        <w:rPr>
          <w:i/>
          <w:lang w:val="sq-AL" w:bidi="sq-AL"/>
        </w:rPr>
        <w:t>acquis</w:t>
      </w:r>
      <w:proofErr w:type="spellEnd"/>
      <w:r w:rsidRPr="0032048B">
        <w:rPr>
          <w:i/>
          <w:lang w:val="sq-AL" w:bidi="sq-AL"/>
        </w:rPr>
        <w:t>-në</w:t>
      </w:r>
      <w:r w:rsidRPr="0032048B">
        <w:rPr>
          <w:lang w:val="sq-AL" w:bidi="sq-AL"/>
        </w:rPr>
        <w:t xml:space="preserve"> e BE-së.</w:t>
      </w:r>
      <w:r w:rsidRPr="0032048B">
        <w:rPr>
          <w:i/>
          <w:lang w:val="sq-AL" w:bidi="sq-AL"/>
        </w:rPr>
        <w:t xml:space="preserve"> </w:t>
      </w:r>
      <w:r w:rsidRPr="0032048B">
        <w:rPr>
          <w:lang w:val="sq-AL" w:bidi="sq-AL"/>
        </w:rPr>
        <w:t xml:space="preserve">Llogaritë e shkarkimeve në ajër, llogaritë e flukseve fizike të energjisë, dhe tatimet mjedisore sipas veprimtarisë ekonomike mbeten pjesërisht në përputhje me kërkesat e BE-së. Statistikat e mbetjeve janë përmirësuar, por nuk janë të përafruara ende plotësisht. Të dhënat për mbetjet e paketimit janë gjithnjë e më thelbësore, sepse qëndrojnë në bazë të një burimi të ri të vetë BE-së për mbetjet e </w:t>
      </w:r>
      <w:proofErr w:type="spellStart"/>
      <w:r w:rsidRPr="0032048B">
        <w:rPr>
          <w:lang w:val="sq-AL" w:bidi="sq-AL"/>
        </w:rPr>
        <w:t>paricikluara</w:t>
      </w:r>
      <w:proofErr w:type="spellEnd"/>
      <w:r w:rsidRPr="0032048B">
        <w:rPr>
          <w:lang w:val="sq-AL" w:bidi="sq-AL"/>
        </w:rPr>
        <w:t xml:space="preserve"> të paketimit plastik. Shqipëria mbledh tashmë të dhëna për mbetjet bashkiake, por duhet të mbledhë dhe të transmetojë të dhëna për mbetjet industriale, dhe duhet të sigurojë përllogaritje gjithëpërfshirëse të </w:t>
      </w:r>
      <w:proofErr w:type="spellStart"/>
      <w:r w:rsidRPr="0032048B">
        <w:rPr>
          <w:lang w:val="sq-AL" w:bidi="sq-AL"/>
        </w:rPr>
        <w:t>të</w:t>
      </w:r>
      <w:proofErr w:type="spellEnd"/>
      <w:r w:rsidRPr="0032048B">
        <w:rPr>
          <w:lang w:val="sq-AL" w:bidi="sq-AL"/>
        </w:rPr>
        <w:t xml:space="preserve"> gjitha mbetjeve nga paketimet plastike të prodhuara dhe të ricikluara.</w:t>
      </w:r>
    </w:p>
    <w:p w14:paraId="3C8CA0F6" w14:textId="77777777" w:rsidR="00E6279B" w:rsidRPr="0032048B" w:rsidRDefault="00E6279B" w:rsidP="00E6279B">
      <w:pPr>
        <w:pStyle w:val="BodyText"/>
        <w:ind w:right="977"/>
        <w:rPr>
          <w:lang w:val="sq-AL"/>
        </w:rPr>
      </w:pPr>
      <w:r w:rsidRPr="0032048B">
        <w:rPr>
          <w:lang w:val="sq-AL" w:bidi="sq-AL"/>
        </w:rPr>
        <w:t xml:space="preserve">Statistikat e </w:t>
      </w:r>
      <w:r w:rsidRPr="0032048B">
        <w:rPr>
          <w:b/>
          <w:lang w:val="sq-AL" w:bidi="sq-AL"/>
        </w:rPr>
        <w:t>energjisë</w:t>
      </w:r>
      <w:r w:rsidRPr="0032048B">
        <w:rPr>
          <w:lang w:val="sq-AL" w:bidi="sq-AL"/>
        </w:rPr>
        <w:t xml:space="preserve"> janë të përafruara në nivel mesatar me </w:t>
      </w:r>
      <w:proofErr w:type="spellStart"/>
      <w:r w:rsidRPr="0032048B">
        <w:rPr>
          <w:i/>
          <w:lang w:val="sq-AL" w:bidi="sq-AL"/>
        </w:rPr>
        <w:t>acquis</w:t>
      </w:r>
      <w:proofErr w:type="spellEnd"/>
      <w:r w:rsidRPr="0032048B">
        <w:rPr>
          <w:i/>
          <w:lang w:val="sq-AL" w:bidi="sq-AL"/>
        </w:rPr>
        <w:t>-në</w:t>
      </w:r>
      <w:r w:rsidRPr="0032048B">
        <w:rPr>
          <w:lang w:val="sq-AL" w:bidi="sq-AL"/>
        </w:rPr>
        <w:t xml:space="preserve"> e BE-së. INSTAT dhe Agjencia Kombëtare e Burimeve Natyrore prodhojnë statistika energjetike mujore dhe vjetore për bilancet e artikujve për të gjitha produktet e energjisë (karburantet) që përdoren në Shqipëri (gaz natyror dhe naftë), si dhe çmimet e energjisë elektrike për familjet dhe industrinë. Nevojitet punë thelbësore e mëtejshme për arritjen e përmbushjes së plotë të </w:t>
      </w:r>
      <w:proofErr w:type="spellStart"/>
      <w:r w:rsidRPr="0032048B">
        <w:rPr>
          <w:i/>
          <w:lang w:val="sq-AL" w:bidi="sq-AL"/>
        </w:rPr>
        <w:t>acquis</w:t>
      </w:r>
      <w:proofErr w:type="spellEnd"/>
      <w:r w:rsidRPr="0032048B">
        <w:rPr>
          <w:i/>
          <w:lang w:val="sq-AL" w:bidi="sq-AL"/>
        </w:rPr>
        <w:t>-ve</w:t>
      </w:r>
      <w:r w:rsidRPr="0032048B">
        <w:rPr>
          <w:lang w:val="sq-AL" w:bidi="sq-AL"/>
        </w:rPr>
        <w:t xml:space="preserve"> të BE-së për statistikat energjetike.</w:t>
      </w:r>
    </w:p>
    <w:p w14:paraId="7A07D016" w14:textId="77777777" w:rsidR="00E6279B" w:rsidRPr="0032048B" w:rsidRDefault="00E6279B" w:rsidP="00E6279B">
      <w:pPr>
        <w:pStyle w:val="Heading1"/>
        <w:rPr>
          <w:lang w:val="sq-AL"/>
        </w:rPr>
      </w:pPr>
      <w:bookmarkStart w:id="47" w:name="Chapter_32:_Financial_control"/>
      <w:bookmarkStart w:id="48" w:name="_bookmark31"/>
      <w:bookmarkEnd w:id="47"/>
      <w:bookmarkEnd w:id="48"/>
      <w:r w:rsidRPr="0032048B">
        <w:rPr>
          <w:lang w:val="sq-AL" w:bidi="sq-AL"/>
        </w:rPr>
        <w:t>Kapitulli 32: Kontrolli financiar</w:t>
      </w:r>
    </w:p>
    <w:p w14:paraId="18C6CA37" w14:textId="072A79CD" w:rsidR="00E6279B" w:rsidRPr="0032048B" w:rsidRDefault="00E6279B" w:rsidP="00E6279B">
      <w:pPr>
        <w:spacing w:before="120"/>
        <w:ind w:left="980" w:right="977"/>
        <w:jc w:val="both"/>
        <w:rPr>
          <w:i/>
          <w:sz w:val="24"/>
          <w:lang w:val="sq-AL"/>
        </w:rPr>
      </w:pPr>
      <w:r w:rsidRPr="0032048B">
        <w:rPr>
          <w:i/>
          <w:sz w:val="24"/>
          <w:lang w:val="sq-AL" w:bidi="sq-AL"/>
        </w:rPr>
        <w:t xml:space="preserve">BE nxit reformën e sistemeve kombëtare të qeverisjes për përmirësimin e llogaridhënies </w:t>
      </w:r>
      <w:proofErr w:type="spellStart"/>
      <w:r w:rsidRPr="0032048B">
        <w:rPr>
          <w:i/>
          <w:sz w:val="24"/>
          <w:lang w:val="sq-AL" w:bidi="sq-AL"/>
        </w:rPr>
        <w:t>menaxheriale</w:t>
      </w:r>
      <w:proofErr w:type="spellEnd"/>
      <w:r w:rsidRPr="0032048B">
        <w:rPr>
          <w:i/>
          <w:sz w:val="24"/>
          <w:lang w:val="sq-AL" w:bidi="sq-AL"/>
        </w:rPr>
        <w:t xml:space="preserve">, menaxhimin e përshtatshëm financiar të </w:t>
      </w:r>
      <w:proofErr w:type="spellStart"/>
      <w:r w:rsidRPr="0032048B">
        <w:rPr>
          <w:i/>
          <w:sz w:val="24"/>
          <w:lang w:val="sq-AL" w:bidi="sq-AL"/>
        </w:rPr>
        <w:t>të</w:t>
      </w:r>
      <w:proofErr w:type="spellEnd"/>
      <w:r w:rsidRPr="0032048B">
        <w:rPr>
          <w:i/>
          <w:sz w:val="24"/>
          <w:lang w:val="sq-AL" w:bidi="sq-AL"/>
        </w:rPr>
        <w:t xml:space="preserve"> ardhurave dhe shpenzimeve, dhe </w:t>
      </w:r>
      <w:proofErr w:type="spellStart"/>
      <w:r w:rsidRPr="0032048B">
        <w:rPr>
          <w:i/>
          <w:sz w:val="24"/>
          <w:lang w:val="sq-AL" w:bidi="sq-AL"/>
        </w:rPr>
        <w:t>auditimin</w:t>
      </w:r>
      <w:proofErr w:type="spellEnd"/>
      <w:r w:rsidRPr="0032048B">
        <w:rPr>
          <w:i/>
          <w:sz w:val="24"/>
          <w:lang w:val="sq-AL" w:bidi="sq-AL"/>
        </w:rPr>
        <w:t xml:space="preserve"> e jashtëm të fondeve publike. Rregullat e kontrollit financiar gjithashtu mbrojnë interesat financiarë të BE-së nga mashtrimi gjatë administrimit të fondeve të BE-së dhe Euro-n nga falsifikimi.</w:t>
      </w:r>
    </w:p>
    <w:p w14:paraId="0494C35A" w14:textId="0AB8CDD0" w:rsidR="00E6279B" w:rsidRDefault="00E6279B" w:rsidP="00E6279B">
      <w:pPr>
        <w:jc w:val="both"/>
        <w:rPr>
          <w:sz w:val="24"/>
          <w:lang w:val="sq-AL"/>
        </w:rPr>
      </w:pPr>
    </w:p>
    <w:p w14:paraId="406F752C" w14:textId="77777777" w:rsidR="004D53EC" w:rsidRDefault="004D53EC" w:rsidP="00E6279B">
      <w:pPr>
        <w:jc w:val="both"/>
        <w:rPr>
          <w:sz w:val="24"/>
          <w:lang w:val="sq-AL"/>
        </w:rPr>
      </w:pPr>
    </w:p>
    <w:p w14:paraId="024D7EA7" w14:textId="6E3D5821" w:rsidR="004D53EC" w:rsidRDefault="004D53EC" w:rsidP="00E6279B">
      <w:pPr>
        <w:jc w:val="both"/>
        <w:rPr>
          <w:sz w:val="24"/>
          <w:lang w:val="sq-AL"/>
        </w:rPr>
      </w:pPr>
    </w:p>
    <w:p w14:paraId="1840DD1E" w14:textId="04AE4374" w:rsidR="004D53EC" w:rsidRDefault="004D53EC" w:rsidP="00E6279B">
      <w:pPr>
        <w:jc w:val="both"/>
        <w:rPr>
          <w:sz w:val="24"/>
          <w:lang w:val="sq-AL"/>
        </w:rPr>
      </w:pPr>
    </w:p>
    <w:p w14:paraId="5240FC7D" w14:textId="2C62D888" w:rsidR="004D53EC" w:rsidRDefault="004D53EC" w:rsidP="00E6279B">
      <w:pPr>
        <w:jc w:val="both"/>
        <w:rPr>
          <w:sz w:val="24"/>
          <w:lang w:val="sq-AL"/>
        </w:rPr>
      </w:pPr>
    </w:p>
    <w:p w14:paraId="3BE441B6" w14:textId="6EBC6C1E" w:rsidR="004D53EC" w:rsidRDefault="004D53EC" w:rsidP="00E6279B">
      <w:pPr>
        <w:jc w:val="both"/>
        <w:rPr>
          <w:sz w:val="24"/>
          <w:lang w:val="sq-AL"/>
        </w:rPr>
      </w:pPr>
      <w:r w:rsidRPr="0032048B">
        <w:rPr>
          <w:lang w:val="sq-AL" w:bidi="sq-AL"/>
        </w:rPr>
        <w:lastRenderedPageBreak/>
        <mc:AlternateContent>
          <mc:Choice Requires="wpg">
            <w:drawing>
              <wp:anchor distT="0" distB="0" distL="0" distR="0" simplePos="0" relativeHeight="251676672" behindDoc="0" locked="0" layoutInCell="1" allowOverlap="1" wp14:anchorId="2B7B4CD3" wp14:editId="36D94626">
                <wp:simplePos x="0" y="0"/>
                <wp:positionH relativeFrom="page">
                  <wp:posOffset>769620</wp:posOffset>
                </wp:positionH>
                <wp:positionV relativeFrom="paragraph">
                  <wp:posOffset>-535940</wp:posOffset>
                </wp:positionV>
                <wp:extent cx="5890895" cy="4480561"/>
                <wp:effectExtent l="0" t="0" r="0" b="0"/>
                <wp:wrapNone/>
                <wp:docPr id="23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0895" cy="4480561"/>
                          <a:chOff x="0" y="0"/>
                          <a:chExt cx="5890895" cy="4481042"/>
                        </a:xfrm>
                      </wpg:grpSpPr>
                      <wps:wsp>
                        <wps:cNvPr id="239" name="Graphic 239"/>
                        <wps:cNvSpPr/>
                        <wps:spPr>
                          <a:xfrm>
                            <a:off x="6095" y="6095"/>
                            <a:ext cx="5870575" cy="187960"/>
                          </a:xfrm>
                          <a:custGeom>
                            <a:avLst/>
                            <a:gdLst/>
                            <a:ahLst/>
                            <a:cxnLst/>
                            <a:rect l="l" t="t" r="r" b="b"/>
                            <a:pathLst>
                              <a:path w="5870575" h="187960">
                                <a:moveTo>
                                  <a:pt x="5870447" y="0"/>
                                </a:moveTo>
                                <a:lnTo>
                                  <a:pt x="0" y="0"/>
                                </a:lnTo>
                                <a:lnTo>
                                  <a:pt x="0" y="187451"/>
                                </a:lnTo>
                                <a:lnTo>
                                  <a:pt x="5870447" y="187451"/>
                                </a:lnTo>
                                <a:lnTo>
                                  <a:pt x="5870447" y="0"/>
                                </a:lnTo>
                                <a:close/>
                              </a:path>
                            </a:pathLst>
                          </a:custGeom>
                          <a:solidFill>
                            <a:srgbClr val="D9D9D9"/>
                          </a:solidFill>
                        </wps:spPr>
                        <wps:bodyPr wrap="square" lIns="0" tIns="0" rIns="0" bIns="0" rtlCol="0">
                          <a:prstTxWarp prst="textNoShape">
                            <a:avLst/>
                          </a:prstTxWarp>
                          <a:noAutofit/>
                        </wps:bodyPr>
                      </wps:wsp>
                      <wps:wsp>
                        <wps:cNvPr id="240" name="Graphic 240"/>
                        <wps:cNvSpPr/>
                        <wps:spPr>
                          <a:xfrm>
                            <a:off x="0" y="0"/>
                            <a:ext cx="5883275" cy="193675"/>
                          </a:xfrm>
                          <a:custGeom>
                            <a:avLst/>
                            <a:gdLst/>
                            <a:ahLst/>
                            <a:cxnLst/>
                            <a:rect l="l" t="t" r="r" b="b"/>
                            <a:pathLst>
                              <a:path w="5883275" h="193675">
                                <a:moveTo>
                                  <a:pt x="6096" y="6108"/>
                                </a:moveTo>
                                <a:lnTo>
                                  <a:pt x="0" y="6108"/>
                                </a:lnTo>
                                <a:lnTo>
                                  <a:pt x="0" y="193548"/>
                                </a:lnTo>
                                <a:lnTo>
                                  <a:pt x="6096" y="193548"/>
                                </a:lnTo>
                                <a:lnTo>
                                  <a:pt x="6096" y="6108"/>
                                </a:lnTo>
                                <a:close/>
                              </a:path>
                              <a:path w="5883275" h="193675">
                                <a:moveTo>
                                  <a:pt x="5882652" y="6108"/>
                                </a:moveTo>
                                <a:lnTo>
                                  <a:pt x="5876544" y="6108"/>
                                </a:lnTo>
                                <a:lnTo>
                                  <a:pt x="5876544" y="193548"/>
                                </a:lnTo>
                                <a:lnTo>
                                  <a:pt x="5882652" y="193548"/>
                                </a:lnTo>
                                <a:lnTo>
                                  <a:pt x="5882652" y="6108"/>
                                </a:lnTo>
                                <a:close/>
                              </a:path>
                              <a:path w="5883275" h="193675">
                                <a:moveTo>
                                  <a:pt x="5882652" y="0"/>
                                </a:moveTo>
                                <a:lnTo>
                                  <a:pt x="5876544" y="0"/>
                                </a:lnTo>
                                <a:lnTo>
                                  <a:pt x="6096" y="0"/>
                                </a:lnTo>
                                <a:lnTo>
                                  <a:pt x="0" y="0"/>
                                </a:lnTo>
                                <a:lnTo>
                                  <a:pt x="0" y="6096"/>
                                </a:lnTo>
                                <a:lnTo>
                                  <a:pt x="6096" y="6096"/>
                                </a:lnTo>
                                <a:lnTo>
                                  <a:pt x="5876544" y="6096"/>
                                </a:lnTo>
                                <a:lnTo>
                                  <a:pt x="5882652" y="6096"/>
                                </a:lnTo>
                                <a:lnTo>
                                  <a:pt x="5882652" y="0"/>
                                </a:lnTo>
                                <a:close/>
                              </a:path>
                            </a:pathLst>
                          </a:custGeom>
                          <a:solidFill>
                            <a:srgbClr val="000000"/>
                          </a:solidFill>
                        </wps:spPr>
                        <wps:bodyPr wrap="square" lIns="0" tIns="0" rIns="0" bIns="0" rtlCol="0">
                          <a:prstTxWarp prst="textNoShape">
                            <a:avLst/>
                          </a:prstTxWarp>
                          <a:noAutofit/>
                        </wps:bodyPr>
                      </wps:wsp>
                      <wps:wsp>
                        <wps:cNvPr id="241" name="Graphic 241"/>
                        <wps:cNvSpPr/>
                        <wps:spPr>
                          <a:xfrm>
                            <a:off x="6095" y="193547"/>
                            <a:ext cx="5870575" cy="175260"/>
                          </a:xfrm>
                          <a:custGeom>
                            <a:avLst/>
                            <a:gdLst/>
                            <a:ahLst/>
                            <a:cxnLst/>
                            <a:rect l="l" t="t" r="r" b="b"/>
                            <a:pathLst>
                              <a:path w="5870575" h="175260">
                                <a:moveTo>
                                  <a:pt x="5870447" y="0"/>
                                </a:moveTo>
                                <a:lnTo>
                                  <a:pt x="0" y="0"/>
                                </a:lnTo>
                                <a:lnTo>
                                  <a:pt x="0" y="175260"/>
                                </a:lnTo>
                                <a:lnTo>
                                  <a:pt x="5870447" y="175260"/>
                                </a:lnTo>
                                <a:lnTo>
                                  <a:pt x="5870447" y="0"/>
                                </a:lnTo>
                                <a:close/>
                              </a:path>
                            </a:pathLst>
                          </a:custGeom>
                          <a:solidFill>
                            <a:srgbClr val="D9D9D9"/>
                          </a:solidFill>
                        </wps:spPr>
                        <wps:bodyPr wrap="square" lIns="0" tIns="0" rIns="0" bIns="0" rtlCol="0">
                          <a:prstTxWarp prst="textNoShape">
                            <a:avLst/>
                          </a:prstTxWarp>
                          <a:noAutofit/>
                        </wps:bodyPr>
                      </wps:wsp>
                      <wps:wsp>
                        <wps:cNvPr id="242" name="Graphic 242"/>
                        <wps:cNvSpPr/>
                        <wps:spPr>
                          <a:xfrm>
                            <a:off x="0" y="193547"/>
                            <a:ext cx="5883275" cy="175260"/>
                          </a:xfrm>
                          <a:custGeom>
                            <a:avLst/>
                            <a:gdLst/>
                            <a:ahLst/>
                            <a:cxnLst/>
                            <a:rect l="l" t="t" r="r" b="b"/>
                            <a:pathLst>
                              <a:path w="5883275" h="175260">
                                <a:moveTo>
                                  <a:pt x="6096" y="0"/>
                                </a:moveTo>
                                <a:lnTo>
                                  <a:pt x="0" y="0"/>
                                </a:lnTo>
                                <a:lnTo>
                                  <a:pt x="0" y="175260"/>
                                </a:lnTo>
                                <a:lnTo>
                                  <a:pt x="6096" y="175260"/>
                                </a:lnTo>
                                <a:lnTo>
                                  <a:pt x="6096" y="0"/>
                                </a:lnTo>
                                <a:close/>
                              </a:path>
                              <a:path w="5883275" h="175260">
                                <a:moveTo>
                                  <a:pt x="5882652" y="0"/>
                                </a:moveTo>
                                <a:lnTo>
                                  <a:pt x="5876544" y="0"/>
                                </a:lnTo>
                                <a:lnTo>
                                  <a:pt x="5876544" y="175260"/>
                                </a:lnTo>
                                <a:lnTo>
                                  <a:pt x="5882652" y="175260"/>
                                </a:lnTo>
                                <a:lnTo>
                                  <a:pt x="5882652" y="0"/>
                                </a:lnTo>
                                <a:close/>
                              </a:path>
                            </a:pathLst>
                          </a:custGeom>
                          <a:solidFill>
                            <a:srgbClr val="000000"/>
                          </a:solidFill>
                        </wps:spPr>
                        <wps:bodyPr wrap="square" lIns="0" tIns="0" rIns="0" bIns="0" rtlCol="0">
                          <a:prstTxWarp prst="textNoShape">
                            <a:avLst/>
                          </a:prstTxWarp>
                          <a:noAutofit/>
                        </wps:bodyPr>
                      </wps:wsp>
                      <wps:wsp>
                        <wps:cNvPr id="243" name="Graphic 243"/>
                        <wps:cNvSpPr/>
                        <wps:spPr>
                          <a:xfrm>
                            <a:off x="6095" y="368808"/>
                            <a:ext cx="5870575" cy="175260"/>
                          </a:xfrm>
                          <a:custGeom>
                            <a:avLst/>
                            <a:gdLst/>
                            <a:ahLst/>
                            <a:cxnLst/>
                            <a:rect l="l" t="t" r="r" b="b"/>
                            <a:pathLst>
                              <a:path w="5870575" h="175260">
                                <a:moveTo>
                                  <a:pt x="5870447" y="0"/>
                                </a:moveTo>
                                <a:lnTo>
                                  <a:pt x="0" y="0"/>
                                </a:lnTo>
                                <a:lnTo>
                                  <a:pt x="0" y="175260"/>
                                </a:lnTo>
                                <a:lnTo>
                                  <a:pt x="5870447" y="175260"/>
                                </a:lnTo>
                                <a:lnTo>
                                  <a:pt x="5870447" y="0"/>
                                </a:lnTo>
                                <a:close/>
                              </a:path>
                            </a:pathLst>
                          </a:custGeom>
                          <a:solidFill>
                            <a:srgbClr val="D9D9D9"/>
                          </a:solidFill>
                        </wps:spPr>
                        <wps:bodyPr wrap="square" lIns="0" tIns="0" rIns="0" bIns="0" rtlCol="0">
                          <a:prstTxWarp prst="textNoShape">
                            <a:avLst/>
                          </a:prstTxWarp>
                          <a:noAutofit/>
                        </wps:bodyPr>
                      </wps:wsp>
                      <wps:wsp>
                        <wps:cNvPr id="244" name="Graphic 244"/>
                        <wps:cNvSpPr/>
                        <wps:spPr>
                          <a:xfrm>
                            <a:off x="0" y="368795"/>
                            <a:ext cx="5883275" cy="175895"/>
                          </a:xfrm>
                          <a:custGeom>
                            <a:avLst/>
                            <a:gdLst/>
                            <a:ahLst/>
                            <a:cxnLst/>
                            <a:rect l="l" t="t" r="r" b="b"/>
                            <a:pathLst>
                              <a:path w="5883275" h="175895">
                                <a:moveTo>
                                  <a:pt x="6096" y="0"/>
                                </a:moveTo>
                                <a:lnTo>
                                  <a:pt x="0" y="0"/>
                                </a:lnTo>
                                <a:lnTo>
                                  <a:pt x="0" y="175272"/>
                                </a:lnTo>
                                <a:lnTo>
                                  <a:pt x="6096" y="175272"/>
                                </a:lnTo>
                                <a:lnTo>
                                  <a:pt x="6096" y="0"/>
                                </a:lnTo>
                                <a:close/>
                              </a:path>
                              <a:path w="5883275" h="175895">
                                <a:moveTo>
                                  <a:pt x="5882652" y="0"/>
                                </a:moveTo>
                                <a:lnTo>
                                  <a:pt x="5876544" y="0"/>
                                </a:lnTo>
                                <a:lnTo>
                                  <a:pt x="5876544" y="175272"/>
                                </a:lnTo>
                                <a:lnTo>
                                  <a:pt x="5882652" y="175272"/>
                                </a:lnTo>
                                <a:lnTo>
                                  <a:pt x="5882652" y="0"/>
                                </a:lnTo>
                                <a:close/>
                              </a:path>
                            </a:pathLst>
                          </a:custGeom>
                          <a:solidFill>
                            <a:srgbClr val="000000"/>
                          </a:solidFill>
                        </wps:spPr>
                        <wps:bodyPr wrap="square" lIns="0" tIns="0" rIns="0" bIns="0" rtlCol="0">
                          <a:prstTxWarp prst="textNoShape">
                            <a:avLst/>
                          </a:prstTxWarp>
                          <a:noAutofit/>
                        </wps:bodyPr>
                      </wps:wsp>
                      <wps:wsp>
                        <wps:cNvPr id="245" name="Graphic 245"/>
                        <wps:cNvSpPr/>
                        <wps:spPr>
                          <a:xfrm>
                            <a:off x="6095" y="544068"/>
                            <a:ext cx="5870575" cy="175260"/>
                          </a:xfrm>
                          <a:custGeom>
                            <a:avLst/>
                            <a:gdLst/>
                            <a:ahLst/>
                            <a:cxnLst/>
                            <a:rect l="l" t="t" r="r" b="b"/>
                            <a:pathLst>
                              <a:path w="5870575" h="175260">
                                <a:moveTo>
                                  <a:pt x="5870447" y="0"/>
                                </a:moveTo>
                                <a:lnTo>
                                  <a:pt x="0" y="0"/>
                                </a:lnTo>
                                <a:lnTo>
                                  <a:pt x="0" y="175260"/>
                                </a:lnTo>
                                <a:lnTo>
                                  <a:pt x="5870447" y="175260"/>
                                </a:lnTo>
                                <a:lnTo>
                                  <a:pt x="5870447" y="0"/>
                                </a:lnTo>
                                <a:close/>
                              </a:path>
                            </a:pathLst>
                          </a:custGeom>
                          <a:solidFill>
                            <a:srgbClr val="D9D9D9"/>
                          </a:solidFill>
                        </wps:spPr>
                        <wps:bodyPr wrap="square" lIns="0" tIns="0" rIns="0" bIns="0" rtlCol="0">
                          <a:prstTxWarp prst="textNoShape">
                            <a:avLst/>
                          </a:prstTxWarp>
                          <a:noAutofit/>
                        </wps:bodyPr>
                      </wps:wsp>
                      <wps:wsp>
                        <wps:cNvPr id="246" name="Graphic 246"/>
                        <wps:cNvSpPr/>
                        <wps:spPr>
                          <a:xfrm>
                            <a:off x="0" y="544067"/>
                            <a:ext cx="5883275" cy="175260"/>
                          </a:xfrm>
                          <a:custGeom>
                            <a:avLst/>
                            <a:gdLst/>
                            <a:ahLst/>
                            <a:cxnLst/>
                            <a:rect l="l" t="t" r="r" b="b"/>
                            <a:pathLst>
                              <a:path w="5883275" h="175260">
                                <a:moveTo>
                                  <a:pt x="6096" y="0"/>
                                </a:moveTo>
                                <a:lnTo>
                                  <a:pt x="0" y="0"/>
                                </a:lnTo>
                                <a:lnTo>
                                  <a:pt x="0" y="175260"/>
                                </a:lnTo>
                                <a:lnTo>
                                  <a:pt x="6096" y="175260"/>
                                </a:lnTo>
                                <a:lnTo>
                                  <a:pt x="6096" y="0"/>
                                </a:lnTo>
                                <a:close/>
                              </a:path>
                              <a:path w="5883275" h="175260">
                                <a:moveTo>
                                  <a:pt x="5882652" y="0"/>
                                </a:moveTo>
                                <a:lnTo>
                                  <a:pt x="5876544" y="0"/>
                                </a:lnTo>
                                <a:lnTo>
                                  <a:pt x="5876544" y="175260"/>
                                </a:lnTo>
                                <a:lnTo>
                                  <a:pt x="5882652" y="175260"/>
                                </a:lnTo>
                                <a:lnTo>
                                  <a:pt x="5882652" y="0"/>
                                </a:lnTo>
                                <a:close/>
                              </a:path>
                            </a:pathLst>
                          </a:custGeom>
                          <a:solidFill>
                            <a:srgbClr val="000000"/>
                          </a:solidFill>
                        </wps:spPr>
                        <wps:bodyPr wrap="square" lIns="0" tIns="0" rIns="0" bIns="0" rtlCol="0">
                          <a:prstTxWarp prst="textNoShape">
                            <a:avLst/>
                          </a:prstTxWarp>
                          <a:noAutofit/>
                        </wps:bodyPr>
                      </wps:wsp>
                      <wps:wsp>
                        <wps:cNvPr id="247" name="Graphic 247"/>
                        <wps:cNvSpPr/>
                        <wps:spPr>
                          <a:xfrm>
                            <a:off x="6095" y="719327"/>
                            <a:ext cx="5870575" cy="175260"/>
                          </a:xfrm>
                          <a:custGeom>
                            <a:avLst/>
                            <a:gdLst/>
                            <a:ahLst/>
                            <a:cxnLst/>
                            <a:rect l="l" t="t" r="r" b="b"/>
                            <a:pathLst>
                              <a:path w="5870575" h="175260">
                                <a:moveTo>
                                  <a:pt x="5870447" y="0"/>
                                </a:moveTo>
                                <a:lnTo>
                                  <a:pt x="0" y="0"/>
                                </a:lnTo>
                                <a:lnTo>
                                  <a:pt x="0" y="175260"/>
                                </a:lnTo>
                                <a:lnTo>
                                  <a:pt x="5870447" y="175260"/>
                                </a:lnTo>
                                <a:lnTo>
                                  <a:pt x="5870447" y="0"/>
                                </a:lnTo>
                                <a:close/>
                              </a:path>
                            </a:pathLst>
                          </a:custGeom>
                          <a:solidFill>
                            <a:srgbClr val="D9D9D9"/>
                          </a:solidFill>
                        </wps:spPr>
                        <wps:bodyPr wrap="square" lIns="0" tIns="0" rIns="0" bIns="0" rtlCol="0">
                          <a:prstTxWarp prst="textNoShape">
                            <a:avLst/>
                          </a:prstTxWarp>
                          <a:noAutofit/>
                        </wps:bodyPr>
                      </wps:wsp>
                      <wps:wsp>
                        <wps:cNvPr id="248" name="Graphic 248"/>
                        <wps:cNvSpPr/>
                        <wps:spPr>
                          <a:xfrm>
                            <a:off x="0" y="719327"/>
                            <a:ext cx="5883275" cy="175260"/>
                          </a:xfrm>
                          <a:custGeom>
                            <a:avLst/>
                            <a:gdLst/>
                            <a:ahLst/>
                            <a:cxnLst/>
                            <a:rect l="l" t="t" r="r" b="b"/>
                            <a:pathLst>
                              <a:path w="5883275" h="175260">
                                <a:moveTo>
                                  <a:pt x="6096" y="0"/>
                                </a:moveTo>
                                <a:lnTo>
                                  <a:pt x="0" y="0"/>
                                </a:lnTo>
                                <a:lnTo>
                                  <a:pt x="0" y="175260"/>
                                </a:lnTo>
                                <a:lnTo>
                                  <a:pt x="6096" y="175260"/>
                                </a:lnTo>
                                <a:lnTo>
                                  <a:pt x="6096" y="0"/>
                                </a:lnTo>
                                <a:close/>
                              </a:path>
                              <a:path w="5883275" h="175260">
                                <a:moveTo>
                                  <a:pt x="5882652" y="0"/>
                                </a:moveTo>
                                <a:lnTo>
                                  <a:pt x="5876544" y="0"/>
                                </a:lnTo>
                                <a:lnTo>
                                  <a:pt x="5876544" y="175260"/>
                                </a:lnTo>
                                <a:lnTo>
                                  <a:pt x="5882652" y="175260"/>
                                </a:lnTo>
                                <a:lnTo>
                                  <a:pt x="5882652" y="0"/>
                                </a:lnTo>
                                <a:close/>
                              </a:path>
                            </a:pathLst>
                          </a:custGeom>
                          <a:solidFill>
                            <a:srgbClr val="000000"/>
                          </a:solidFill>
                        </wps:spPr>
                        <wps:bodyPr wrap="square" lIns="0" tIns="0" rIns="0" bIns="0" rtlCol="0">
                          <a:prstTxWarp prst="textNoShape">
                            <a:avLst/>
                          </a:prstTxWarp>
                          <a:noAutofit/>
                        </wps:bodyPr>
                      </wps:wsp>
                      <wps:wsp>
                        <wps:cNvPr id="249" name="Graphic 249"/>
                        <wps:cNvSpPr/>
                        <wps:spPr>
                          <a:xfrm>
                            <a:off x="6095" y="894588"/>
                            <a:ext cx="5870575" cy="175260"/>
                          </a:xfrm>
                          <a:custGeom>
                            <a:avLst/>
                            <a:gdLst/>
                            <a:ahLst/>
                            <a:cxnLst/>
                            <a:rect l="l" t="t" r="r" b="b"/>
                            <a:pathLst>
                              <a:path w="5870575" h="175260">
                                <a:moveTo>
                                  <a:pt x="5870447" y="0"/>
                                </a:moveTo>
                                <a:lnTo>
                                  <a:pt x="0" y="0"/>
                                </a:lnTo>
                                <a:lnTo>
                                  <a:pt x="0" y="175259"/>
                                </a:lnTo>
                                <a:lnTo>
                                  <a:pt x="5870447" y="175259"/>
                                </a:lnTo>
                                <a:lnTo>
                                  <a:pt x="5870447" y="0"/>
                                </a:lnTo>
                                <a:close/>
                              </a:path>
                            </a:pathLst>
                          </a:custGeom>
                          <a:solidFill>
                            <a:srgbClr val="D9D9D9"/>
                          </a:solidFill>
                        </wps:spPr>
                        <wps:bodyPr wrap="square" lIns="0" tIns="0" rIns="0" bIns="0" rtlCol="0">
                          <a:prstTxWarp prst="textNoShape">
                            <a:avLst/>
                          </a:prstTxWarp>
                          <a:noAutofit/>
                        </wps:bodyPr>
                      </wps:wsp>
                      <wps:wsp>
                        <wps:cNvPr id="250" name="Graphic 250"/>
                        <wps:cNvSpPr/>
                        <wps:spPr>
                          <a:xfrm>
                            <a:off x="0" y="894587"/>
                            <a:ext cx="5883275" cy="175260"/>
                          </a:xfrm>
                          <a:custGeom>
                            <a:avLst/>
                            <a:gdLst/>
                            <a:ahLst/>
                            <a:cxnLst/>
                            <a:rect l="l" t="t" r="r" b="b"/>
                            <a:pathLst>
                              <a:path w="5883275" h="175260">
                                <a:moveTo>
                                  <a:pt x="6096" y="0"/>
                                </a:moveTo>
                                <a:lnTo>
                                  <a:pt x="0" y="0"/>
                                </a:lnTo>
                                <a:lnTo>
                                  <a:pt x="0" y="175260"/>
                                </a:lnTo>
                                <a:lnTo>
                                  <a:pt x="6096" y="175260"/>
                                </a:lnTo>
                                <a:lnTo>
                                  <a:pt x="6096" y="0"/>
                                </a:lnTo>
                                <a:close/>
                              </a:path>
                              <a:path w="5883275" h="175260">
                                <a:moveTo>
                                  <a:pt x="5882652" y="0"/>
                                </a:moveTo>
                                <a:lnTo>
                                  <a:pt x="5876544" y="0"/>
                                </a:lnTo>
                                <a:lnTo>
                                  <a:pt x="5876544" y="175260"/>
                                </a:lnTo>
                                <a:lnTo>
                                  <a:pt x="5882652" y="175260"/>
                                </a:lnTo>
                                <a:lnTo>
                                  <a:pt x="5882652" y="0"/>
                                </a:lnTo>
                                <a:close/>
                              </a:path>
                            </a:pathLst>
                          </a:custGeom>
                          <a:solidFill>
                            <a:srgbClr val="000000"/>
                          </a:solidFill>
                        </wps:spPr>
                        <wps:bodyPr wrap="square" lIns="0" tIns="0" rIns="0" bIns="0" rtlCol="0">
                          <a:prstTxWarp prst="textNoShape">
                            <a:avLst/>
                          </a:prstTxWarp>
                          <a:noAutofit/>
                        </wps:bodyPr>
                      </wps:wsp>
                      <wps:wsp>
                        <wps:cNvPr id="251" name="Graphic 251"/>
                        <wps:cNvSpPr/>
                        <wps:spPr>
                          <a:xfrm>
                            <a:off x="6095" y="1069847"/>
                            <a:ext cx="5870575" cy="175260"/>
                          </a:xfrm>
                          <a:custGeom>
                            <a:avLst/>
                            <a:gdLst/>
                            <a:ahLst/>
                            <a:cxnLst/>
                            <a:rect l="l" t="t" r="r" b="b"/>
                            <a:pathLst>
                              <a:path w="5870575" h="175260">
                                <a:moveTo>
                                  <a:pt x="5870447" y="0"/>
                                </a:moveTo>
                                <a:lnTo>
                                  <a:pt x="0" y="0"/>
                                </a:lnTo>
                                <a:lnTo>
                                  <a:pt x="0" y="175259"/>
                                </a:lnTo>
                                <a:lnTo>
                                  <a:pt x="5870447" y="175259"/>
                                </a:lnTo>
                                <a:lnTo>
                                  <a:pt x="5870447" y="0"/>
                                </a:lnTo>
                                <a:close/>
                              </a:path>
                            </a:pathLst>
                          </a:custGeom>
                          <a:solidFill>
                            <a:srgbClr val="D9D9D9"/>
                          </a:solidFill>
                        </wps:spPr>
                        <wps:bodyPr wrap="square" lIns="0" tIns="0" rIns="0" bIns="0" rtlCol="0">
                          <a:prstTxWarp prst="textNoShape">
                            <a:avLst/>
                          </a:prstTxWarp>
                          <a:noAutofit/>
                        </wps:bodyPr>
                      </wps:wsp>
                      <wps:wsp>
                        <wps:cNvPr id="252" name="Graphic 252"/>
                        <wps:cNvSpPr/>
                        <wps:spPr>
                          <a:xfrm>
                            <a:off x="0" y="1069847"/>
                            <a:ext cx="5883275" cy="175260"/>
                          </a:xfrm>
                          <a:custGeom>
                            <a:avLst/>
                            <a:gdLst/>
                            <a:ahLst/>
                            <a:cxnLst/>
                            <a:rect l="l" t="t" r="r" b="b"/>
                            <a:pathLst>
                              <a:path w="5883275" h="175260">
                                <a:moveTo>
                                  <a:pt x="6096" y="0"/>
                                </a:moveTo>
                                <a:lnTo>
                                  <a:pt x="0" y="0"/>
                                </a:lnTo>
                                <a:lnTo>
                                  <a:pt x="0" y="175260"/>
                                </a:lnTo>
                                <a:lnTo>
                                  <a:pt x="6096" y="175260"/>
                                </a:lnTo>
                                <a:lnTo>
                                  <a:pt x="6096" y="0"/>
                                </a:lnTo>
                                <a:close/>
                              </a:path>
                              <a:path w="5883275" h="175260">
                                <a:moveTo>
                                  <a:pt x="5882652" y="0"/>
                                </a:moveTo>
                                <a:lnTo>
                                  <a:pt x="5876544" y="0"/>
                                </a:lnTo>
                                <a:lnTo>
                                  <a:pt x="5876544" y="175260"/>
                                </a:lnTo>
                                <a:lnTo>
                                  <a:pt x="5882652" y="175260"/>
                                </a:lnTo>
                                <a:lnTo>
                                  <a:pt x="5882652" y="0"/>
                                </a:lnTo>
                                <a:close/>
                              </a:path>
                            </a:pathLst>
                          </a:custGeom>
                          <a:solidFill>
                            <a:srgbClr val="000000"/>
                          </a:solidFill>
                        </wps:spPr>
                        <wps:bodyPr wrap="square" lIns="0" tIns="0" rIns="0" bIns="0" rtlCol="0">
                          <a:prstTxWarp prst="textNoShape">
                            <a:avLst/>
                          </a:prstTxWarp>
                          <a:noAutofit/>
                        </wps:bodyPr>
                      </wps:wsp>
                      <wps:wsp>
                        <wps:cNvPr id="253" name="Graphic 253"/>
                        <wps:cNvSpPr/>
                        <wps:spPr>
                          <a:xfrm>
                            <a:off x="6095" y="1245108"/>
                            <a:ext cx="5870575" cy="251460"/>
                          </a:xfrm>
                          <a:custGeom>
                            <a:avLst/>
                            <a:gdLst/>
                            <a:ahLst/>
                            <a:cxnLst/>
                            <a:rect l="l" t="t" r="r" b="b"/>
                            <a:pathLst>
                              <a:path w="5870575" h="251460">
                                <a:moveTo>
                                  <a:pt x="5870447" y="0"/>
                                </a:moveTo>
                                <a:lnTo>
                                  <a:pt x="0" y="0"/>
                                </a:lnTo>
                                <a:lnTo>
                                  <a:pt x="0" y="251460"/>
                                </a:lnTo>
                                <a:lnTo>
                                  <a:pt x="5870447" y="251460"/>
                                </a:lnTo>
                                <a:lnTo>
                                  <a:pt x="5870447" y="0"/>
                                </a:lnTo>
                                <a:close/>
                              </a:path>
                            </a:pathLst>
                          </a:custGeom>
                          <a:solidFill>
                            <a:srgbClr val="D9D9D9"/>
                          </a:solidFill>
                        </wps:spPr>
                        <wps:bodyPr wrap="square" lIns="0" tIns="0" rIns="0" bIns="0" rtlCol="0">
                          <a:prstTxWarp prst="textNoShape">
                            <a:avLst/>
                          </a:prstTxWarp>
                          <a:noAutofit/>
                        </wps:bodyPr>
                      </wps:wsp>
                      <wps:wsp>
                        <wps:cNvPr id="254" name="Graphic 254"/>
                        <wps:cNvSpPr/>
                        <wps:spPr>
                          <a:xfrm>
                            <a:off x="0" y="1245107"/>
                            <a:ext cx="5883275" cy="251460"/>
                          </a:xfrm>
                          <a:custGeom>
                            <a:avLst/>
                            <a:gdLst/>
                            <a:ahLst/>
                            <a:cxnLst/>
                            <a:rect l="l" t="t" r="r" b="b"/>
                            <a:pathLst>
                              <a:path w="5883275" h="251460">
                                <a:moveTo>
                                  <a:pt x="6096" y="0"/>
                                </a:moveTo>
                                <a:lnTo>
                                  <a:pt x="0" y="0"/>
                                </a:lnTo>
                                <a:lnTo>
                                  <a:pt x="0" y="251460"/>
                                </a:lnTo>
                                <a:lnTo>
                                  <a:pt x="6096" y="251460"/>
                                </a:lnTo>
                                <a:lnTo>
                                  <a:pt x="6096" y="0"/>
                                </a:lnTo>
                                <a:close/>
                              </a:path>
                              <a:path w="5883275" h="251460">
                                <a:moveTo>
                                  <a:pt x="5882652" y="0"/>
                                </a:moveTo>
                                <a:lnTo>
                                  <a:pt x="5876544" y="0"/>
                                </a:lnTo>
                                <a:lnTo>
                                  <a:pt x="5876544" y="251460"/>
                                </a:lnTo>
                                <a:lnTo>
                                  <a:pt x="5882652" y="251460"/>
                                </a:lnTo>
                                <a:lnTo>
                                  <a:pt x="5882652" y="0"/>
                                </a:lnTo>
                                <a:close/>
                              </a:path>
                            </a:pathLst>
                          </a:custGeom>
                          <a:solidFill>
                            <a:srgbClr val="000000"/>
                          </a:solidFill>
                        </wps:spPr>
                        <wps:bodyPr wrap="square" lIns="0" tIns="0" rIns="0" bIns="0" rtlCol="0">
                          <a:prstTxWarp prst="textNoShape">
                            <a:avLst/>
                          </a:prstTxWarp>
                          <a:noAutofit/>
                        </wps:bodyPr>
                      </wps:wsp>
                      <wps:wsp>
                        <wps:cNvPr id="255" name="Graphic 255"/>
                        <wps:cNvSpPr/>
                        <wps:spPr>
                          <a:xfrm>
                            <a:off x="6095" y="1496567"/>
                            <a:ext cx="5870575" cy="175260"/>
                          </a:xfrm>
                          <a:custGeom>
                            <a:avLst/>
                            <a:gdLst/>
                            <a:ahLst/>
                            <a:cxnLst/>
                            <a:rect l="l" t="t" r="r" b="b"/>
                            <a:pathLst>
                              <a:path w="5870575" h="175260">
                                <a:moveTo>
                                  <a:pt x="5870447" y="0"/>
                                </a:moveTo>
                                <a:lnTo>
                                  <a:pt x="0" y="0"/>
                                </a:lnTo>
                                <a:lnTo>
                                  <a:pt x="0" y="175260"/>
                                </a:lnTo>
                                <a:lnTo>
                                  <a:pt x="5870447" y="175260"/>
                                </a:lnTo>
                                <a:lnTo>
                                  <a:pt x="5870447" y="0"/>
                                </a:lnTo>
                                <a:close/>
                              </a:path>
                            </a:pathLst>
                          </a:custGeom>
                          <a:solidFill>
                            <a:srgbClr val="D9D9D9"/>
                          </a:solidFill>
                        </wps:spPr>
                        <wps:bodyPr wrap="square" lIns="0" tIns="0" rIns="0" bIns="0" rtlCol="0">
                          <a:prstTxWarp prst="textNoShape">
                            <a:avLst/>
                          </a:prstTxWarp>
                          <a:noAutofit/>
                        </wps:bodyPr>
                      </wps:wsp>
                      <wps:wsp>
                        <wps:cNvPr id="256" name="Graphic 256"/>
                        <wps:cNvSpPr/>
                        <wps:spPr>
                          <a:xfrm>
                            <a:off x="0" y="1496567"/>
                            <a:ext cx="5883275" cy="175260"/>
                          </a:xfrm>
                          <a:custGeom>
                            <a:avLst/>
                            <a:gdLst/>
                            <a:ahLst/>
                            <a:cxnLst/>
                            <a:rect l="l" t="t" r="r" b="b"/>
                            <a:pathLst>
                              <a:path w="5883275" h="175260">
                                <a:moveTo>
                                  <a:pt x="6096" y="0"/>
                                </a:moveTo>
                                <a:lnTo>
                                  <a:pt x="0" y="0"/>
                                </a:lnTo>
                                <a:lnTo>
                                  <a:pt x="0" y="175260"/>
                                </a:lnTo>
                                <a:lnTo>
                                  <a:pt x="6096" y="175260"/>
                                </a:lnTo>
                                <a:lnTo>
                                  <a:pt x="6096" y="0"/>
                                </a:lnTo>
                                <a:close/>
                              </a:path>
                              <a:path w="5883275" h="175260">
                                <a:moveTo>
                                  <a:pt x="5882652" y="0"/>
                                </a:moveTo>
                                <a:lnTo>
                                  <a:pt x="5876544" y="0"/>
                                </a:lnTo>
                                <a:lnTo>
                                  <a:pt x="5876544" y="175260"/>
                                </a:lnTo>
                                <a:lnTo>
                                  <a:pt x="5882652" y="175260"/>
                                </a:lnTo>
                                <a:lnTo>
                                  <a:pt x="5882652" y="0"/>
                                </a:lnTo>
                                <a:close/>
                              </a:path>
                            </a:pathLst>
                          </a:custGeom>
                          <a:solidFill>
                            <a:srgbClr val="000000"/>
                          </a:solidFill>
                        </wps:spPr>
                        <wps:bodyPr wrap="square" lIns="0" tIns="0" rIns="0" bIns="0" rtlCol="0">
                          <a:prstTxWarp prst="textNoShape">
                            <a:avLst/>
                          </a:prstTxWarp>
                          <a:noAutofit/>
                        </wps:bodyPr>
                      </wps:wsp>
                      <wps:wsp>
                        <wps:cNvPr id="257" name="Graphic 257"/>
                        <wps:cNvSpPr/>
                        <wps:spPr>
                          <a:xfrm>
                            <a:off x="6095" y="1671827"/>
                            <a:ext cx="5870575" cy="251460"/>
                          </a:xfrm>
                          <a:custGeom>
                            <a:avLst/>
                            <a:gdLst/>
                            <a:ahLst/>
                            <a:cxnLst/>
                            <a:rect l="l" t="t" r="r" b="b"/>
                            <a:pathLst>
                              <a:path w="5870575" h="251460">
                                <a:moveTo>
                                  <a:pt x="5870447" y="0"/>
                                </a:moveTo>
                                <a:lnTo>
                                  <a:pt x="0" y="0"/>
                                </a:lnTo>
                                <a:lnTo>
                                  <a:pt x="0" y="251459"/>
                                </a:lnTo>
                                <a:lnTo>
                                  <a:pt x="5870447" y="251459"/>
                                </a:lnTo>
                                <a:lnTo>
                                  <a:pt x="5870447" y="0"/>
                                </a:lnTo>
                                <a:close/>
                              </a:path>
                            </a:pathLst>
                          </a:custGeom>
                          <a:solidFill>
                            <a:srgbClr val="D9D9D9"/>
                          </a:solidFill>
                        </wps:spPr>
                        <wps:bodyPr wrap="square" lIns="0" tIns="0" rIns="0" bIns="0" rtlCol="0">
                          <a:prstTxWarp prst="textNoShape">
                            <a:avLst/>
                          </a:prstTxWarp>
                          <a:noAutofit/>
                        </wps:bodyPr>
                      </wps:wsp>
                      <wps:wsp>
                        <wps:cNvPr id="258" name="Graphic 258"/>
                        <wps:cNvSpPr/>
                        <wps:spPr>
                          <a:xfrm>
                            <a:off x="0" y="1671827"/>
                            <a:ext cx="5883275" cy="251460"/>
                          </a:xfrm>
                          <a:custGeom>
                            <a:avLst/>
                            <a:gdLst/>
                            <a:ahLst/>
                            <a:cxnLst/>
                            <a:rect l="l" t="t" r="r" b="b"/>
                            <a:pathLst>
                              <a:path w="5883275" h="251460">
                                <a:moveTo>
                                  <a:pt x="6096" y="0"/>
                                </a:moveTo>
                                <a:lnTo>
                                  <a:pt x="0" y="0"/>
                                </a:lnTo>
                                <a:lnTo>
                                  <a:pt x="0" y="251460"/>
                                </a:lnTo>
                                <a:lnTo>
                                  <a:pt x="6096" y="251460"/>
                                </a:lnTo>
                                <a:lnTo>
                                  <a:pt x="6096" y="0"/>
                                </a:lnTo>
                                <a:close/>
                              </a:path>
                              <a:path w="5883275" h="251460">
                                <a:moveTo>
                                  <a:pt x="5882652" y="0"/>
                                </a:moveTo>
                                <a:lnTo>
                                  <a:pt x="5876544" y="0"/>
                                </a:lnTo>
                                <a:lnTo>
                                  <a:pt x="5876544" y="251460"/>
                                </a:lnTo>
                                <a:lnTo>
                                  <a:pt x="5882652" y="251460"/>
                                </a:lnTo>
                                <a:lnTo>
                                  <a:pt x="5882652" y="0"/>
                                </a:lnTo>
                                <a:close/>
                              </a:path>
                            </a:pathLst>
                          </a:custGeom>
                          <a:solidFill>
                            <a:srgbClr val="000000"/>
                          </a:solidFill>
                        </wps:spPr>
                        <wps:bodyPr wrap="square" lIns="0" tIns="0" rIns="0" bIns="0" rtlCol="0">
                          <a:prstTxWarp prst="textNoShape">
                            <a:avLst/>
                          </a:prstTxWarp>
                          <a:noAutofit/>
                        </wps:bodyPr>
                      </wps:wsp>
                      <wps:wsp>
                        <wps:cNvPr id="259" name="Graphic 259"/>
                        <wps:cNvSpPr/>
                        <wps:spPr>
                          <a:xfrm>
                            <a:off x="6095" y="1923288"/>
                            <a:ext cx="5870575" cy="186690"/>
                          </a:xfrm>
                          <a:custGeom>
                            <a:avLst/>
                            <a:gdLst/>
                            <a:ahLst/>
                            <a:cxnLst/>
                            <a:rect l="l" t="t" r="r" b="b"/>
                            <a:pathLst>
                              <a:path w="5870575" h="186690">
                                <a:moveTo>
                                  <a:pt x="5870447" y="0"/>
                                </a:moveTo>
                                <a:lnTo>
                                  <a:pt x="0" y="0"/>
                                </a:lnTo>
                                <a:lnTo>
                                  <a:pt x="0" y="186689"/>
                                </a:lnTo>
                                <a:lnTo>
                                  <a:pt x="5870447" y="186689"/>
                                </a:lnTo>
                                <a:lnTo>
                                  <a:pt x="5870447" y="0"/>
                                </a:lnTo>
                                <a:close/>
                              </a:path>
                            </a:pathLst>
                          </a:custGeom>
                          <a:solidFill>
                            <a:srgbClr val="D9D9D9"/>
                          </a:solidFill>
                        </wps:spPr>
                        <wps:bodyPr wrap="square" lIns="0" tIns="0" rIns="0" bIns="0" rtlCol="0">
                          <a:prstTxWarp prst="textNoShape">
                            <a:avLst/>
                          </a:prstTxWarp>
                          <a:noAutofit/>
                        </wps:bodyPr>
                      </wps:wsp>
                      <wps:wsp>
                        <wps:cNvPr id="260" name="Graphic 260"/>
                        <wps:cNvSpPr/>
                        <wps:spPr>
                          <a:xfrm>
                            <a:off x="0" y="1923275"/>
                            <a:ext cx="5883275" cy="187325"/>
                          </a:xfrm>
                          <a:custGeom>
                            <a:avLst/>
                            <a:gdLst/>
                            <a:ahLst/>
                            <a:cxnLst/>
                            <a:rect l="l" t="t" r="r" b="b"/>
                            <a:pathLst>
                              <a:path w="5883275" h="187325">
                                <a:moveTo>
                                  <a:pt x="6096" y="0"/>
                                </a:moveTo>
                                <a:lnTo>
                                  <a:pt x="0" y="0"/>
                                </a:lnTo>
                                <a:lnTo>
                                  <a:pt x="0" y="186702"/>
                                </a:lnTo>
                                <a:lnTo>
                                  <a:pt x="6096" y="186702"/>
                                </a:lnTo>
                                <a:lnTo>
                                  <a:pt x="6096" y="0"/>
                                </a:lnTo>
                                <a:close/>
                              </a:path>
                              <a:path w="5883275" h="187325">
                                <a:moveTo>
                                  <a:pt x="5882652" y="0"/>
                                </a:moveTo>
                                <a:lnTo>
                                  <a:pt x="5876544" y="0"/>
                                </a:lnTo>
                                <a:lnTo>
                                  <a:pt x="5876544" y="186702"/>
                                </a:lnTo>
                                <a:lnTo>
                                  <a:pt x="5882652" y="186702"/>
                                </a:lnTo>
                                <a:lnTo>
                                  <a:pt x="5882652" y="0"/>
                                </a:lnTo>
                                <a:close/>
                              </a:path>
                            </a:pathLst>
                          </a:custGeom>
                          <a:solidFill>
                            <a:srgbClr val="000000"/>
                          </a:solidFill>
                        </wps:spPr>
                        <wps:bodyPr wrap="square" lIns="0" tIns="0" rIns="0" bIns="0" rtlCol="0">
                          <a:prstTxWarp prst="textNoShape">
                            <a:avLst/>
                          </a:prstTxWarp>
                          <a:noAutofit/>
                        </wps:bodyPr>
                      </wps:wsp>
                      <wps:wsp>
                        <wps:cNvPr id="261" name="Graphic 261"/>
                        <wps:cNvSpPr/>
                        <wps:spPr>
                          <a:xfrm>
                            <a:off x="6095" y="2109977"/>
                            <a:ext cx="5870575" cy="175260"/>
                          </a:xfrm>
                          <a:custGeom>
                            <a:avLst/>
                            <a:gdLst/>
                            <a:ahLst/>
                            <a:cxnLst/>
                            <a:rect l="l" t="t" r="r" b="b"/>
                            <a:pathLst>
                              <a:path w="5870575" h="175260">
                                <a:moveTo>
                                  <a:pt x="5870447" y="0"/>
                                </a:moveTo>
                                <a:lnTo>
                                  <a:pt x="0" y="0"/>
                                </a:lnTo>
                                <a:lnTo>
                                  <a:pt x="0" y="175259"/>
                                </a:lnTo>
                                <a:lnTo>
                                  <a:pt x="5870447" y="175259"/>
                                </a:lnTo>
                                <a:lnTo>
                                  <a:pt x="5870447" y="0"/>
                                </a:lnTo>
                                <a:close/>
                              </a:path>
                            </a:pathLst>
                          </a:custGeom>
                          <a:solidFill>
                            <a:srgbClr val="D9D9D9"/>
                          </a:solidFill>
                        </wps:spPr>
                        <wps:bodyPr wrap="square" lIns="0" tIns="0" rIns="0" bIns="0" rtlCol="0">
                          <a:prstTxWarp prst="textNoShape">
                            <a:avLst/>
                          </a:prstTxWarp>
                          <a:noAutofit/>
                        </wps:bodyPr>
                      </wps:wsp>
                      <wps:wsp>
                        <wps:cNvPr id="262" name="Graphic 262"/>
                        <wps:cNvSpPr/>
                        <wps:spPr>
                          <a:xfrm>
                            <a:off x="0" y="2109977"/>
                            <a:ext cx="5883275" cy="175260"/>
                          </a:xfrm>
                          <a:custGeom>
                            <a:avLst/>
                            <a:gdLst/>
                            <a:ahLst/>
                            <a:cxnLst/>
                            <a:rect l="l" t="t" r="r" b="b"/>
                            <a:pathLst>
                              <a:path w="5883275" h="175260">
                                <a:moveTo>
                                  <a:pt x="6096" y="0"/>
                                </a:moveTo>
                                <a:lnTo>
                                  <a:pt x="0" y="0"/>
                                </a:lnTo>
                                <a:lnTo>
                                  <a:pt x="0" y="175260"/>
                                </a:lnTo>
                                <a:lnTo>
                                  <a:pt x="6096" y="175260"/>
                                </a:lnTo>
                                <a:lnTo>
                                  <a:pt x="6096" y="0"/>
                                </a:lnTo>
                                <a:close/>
                              </a:path>
                              <a:path w="5883275" h="175260">
                                <a:moveTo>
                                  <a:pt x="5882652" y="0"/>
                                </a:moveTo>
                                <a:lnTo>
                                  <a:pt x="5876544" y="0"/>
                                </a:lnTo>
                                <a:lnTo>
                                  <a:pt x="5876544" y="175260"/>
                                </a:lnTo>
                                <a:lnTo>
                                  <a:pt x="5882652" y="175260"/>
                                </a:lnTo>
                                <a:lnTo>
                                  <a:pt x="5882652" y="0"/>
                                </a:lnTo>
                                <a:close/>
                              </a:path>
                            </a:pathLst>
                          </a:custGeom>
                          <a:solidFill>
                            <a:srgbClr val="000000"/>
                          </a:solidFill>
                        </wps:spPr>
                        <wps:bodyPr wrap="square" lIns="0" tIns="0" rIns="0" bIns="0" rtlCol="0">
                          <a:prstTxWarp prst="textNoShape">
                            <a:avLst/>
                          </a:prstTxWarp>
                          <a:noAutofit/>
                        </wps:bodyPr>
                      </wps:wsp>
                      <wps:wsp>
                        <wps:cNvPr id="263" name="Graphic 263"/>
                        <wps:cNvSpPr/>
                        <wps:spPr>
                          <a:xfrm>
                            <a:off x="6095" y="2285238"/>
                            <a:ext cx="5870575" cy="251460"/>
                          </a:xfrm>
                          <a:custGeom>
                            <a:avLst/>
                            <a:gdLst/>
                            <a:ahLst/>
                            <a:cxnLst/>
                            <a:rect l="l" t="t" r="r" b="b"/>
                            <a:pathLst>
                              <a:path w="5870575" h="251460">
                                <a:moveTo>
                                  <a:pt x="5870447" y="0"/>
                                </a:moveTo>
                                <a:lnTo>
                                  <a:pt x="0" y="0"/>
                                </a:lnTo>
                                <a:lnTo>
                                  <a:pt x="0" y="251460"/>
                                </a:lnTo>
                                <a:lnTo>
                                  <a:pt x="5870447" y="251460"/>
                                </a:lnTo>
                                <a:lnTo>
                                  <a:pt x="5870447" y="0"/>
                                </a:lnTo>
                                <a:close/>
                              </a:path>
                            </a:pathLst>
                          </a:custGeom>
                          <a:solidFill>
                            <a:srgbClr val="D9D9D9"/>
                          </a:solidFill>
                        </wps:spPr>
                        <wps:bodyPr wrap="square" lIns="0" tIns="0" rIns="0" bIns="0" rtlCol="0">
                          <a:prstTxWarp prst="textNoShape">
                            <a:avLst/>
                          </a:prstTxWarp>
                          <a:noAutofit/>
                        </wps:bodyPr>
                      </wps:wsp>
                      <wps:wsp>
                        <wps:cNvPr id="264" name="Graphic 264"/>
                        <wps:cNvSpPr/>
                        <wps:spPr>
                          <a:xfrm>
                            <a:off x="0" y="2285237"/>
                            <a:ext cx="5883275" cy="251460"/>
                          </a:xfrm>
                          <a:custGeom>
                            <a:avLst/>
                            <a:gdLst/>
                            <a:ahLst/>
                            <a:cxnLst/>
                            <a:rect l="l" t="t" r="r" b="b"/>
                            <a:pathLst>
                              <a:path w="5883275" h="251460">
                                <a:moveTo>
                                  <a:pt x="6096" y="0"/>
                                </a:moveTo>
                                <a:lnTo>
                                  <a:pt x="0" y="0"/>
                                </a:lnTo>
                                <a:lnTo>
                                  <a:pt x="0" y="251460"/>
                                </a:lnTo>
                                <a:lnTo>
                                  <a:pt x="6096" y="251460"/>
                                </a:lnTo>
                                <a:lnTo>
                                  <a:pt x="6096" y="0"/>
                                </a:lnTo>
                                <a:close/>
                              </a:path>
                              <a:path w="5883275" h="251460">
                                <a:moveTo>
                                  <a:pt x="5882652" y="0"/>
                                </a:moveTo>
                                <a:lnTo>
                                  <a:pt x="5876544" y="0"/>
                                </a:lnTo>
                                <a:lnTo>
                                  <a:pt x="5876544" y="251460"/>
                                </a:lnTo>
                                <a:lnTo>
                                  <a:pt x="5882652" y="251460"/>
                                </a:lnTo>
                                <a:lnTo>
                                  <a:pt x="5882652" y="0"/>
                                </a:lnTo>
                                <a:close/>
                              </a:path>
                            </a:pathLst>
                          </a:custGeom>
                          <a:solidFill>
                            <a:srgbClr val="000000"/>
                          </a:solidFill>
                        </wps:spPr>
                        <wps:bodyPr wrap="square" lIns="0" tIns="0" rIns="0" bIns="0" rtlCol="0">
                          <a:prstTxWarp prst="textNoShape">
                            <a:avLst/>
                          </a:prstTxWarp>
                          <a:noAutofit/>
                        </wps:bodyPr>
                      </wps:wsp>
                      <wps:wsp>
                        <wps:cNvPr id="265" name="Graphic 265"/>
                        <wps:cNvSpPr/>
                        <wps:spPr>
                          <a:xfrm>
                            <a:off x="6095" y="2536698"/>
                            <a:ext cx="5870575" cy="186055"/>
                          </a:xfrm>
                          <a:custGeom>
                            <a:avLst/>
                            <a:gdLst/>
                            <a:ahLst/>
                            <a:cxnLst/>
                            <a:rect l="l" t="t" r="r" b="b"/>
                            <a:pathLst>
                              <a:path w="5870575" h="186055">
                                <a:moveTo>
                                  <a:pt x="5870447" y="0"/>
                                </a:moveTo>
                                <a:lnTo>
                                  <a:pt x="0" y="0"/>
                                </a:lnTo>
                                <a:lnTo>
                                  <a:pt x="0" y="185927"/>
                                </a:lnTo>
                                <a:lnTo>
                                  <a:pt x="5870447" y="185927"/>
                                </a:lnTo>
                                <a:lnTo>
                                  <a:pt x="5870447" y="0"/>
                                </a:lnTo>
                                <a:close/>
                              </a:path>
                            </a:pathLst>
                          </a:custGeom>
                          <a:solidFill>
                            <a:srgbClr val="D9D9D9"/>
                          </a:solidFill>
                        </wps:spPr>
                        <wps:bodyPr wrap="square" lIns="0" tIns="0" rIns="0" bIns="0" rtlCol="0">
                          <a:prstTxWarp prst="textNoShape">
                            <a:avLst/>
                          </a:prstTxWarp>
                          <a:noAutofit/>
                        </wps:bodyPr>
                      </wps:wsp>
                      <wps:wsp>
                        <wps:cNvPr id="266" name="Graphic 266"/>
                        <wps:cNvSpPr/>
                        <wps:spPr>
                          <a:xfrm>
                            <a:off x="0" y="2536710"/>
                            <a:ext cx="5883275" cy="186055"/>
                          </a:xfrm>
                          <a:custGeom>
                            <a:avLst/>
                            <a:gdLst/>
                            <a:ahLst/>
                            <a:cxnLst/>
                            <a:rect l="l" t="t" r="r" b="b"/>
                            <a:pathLst>
                              <a:path w="5883275" h="186055">
                                <a:moveTo>
                                  <a:pt x="6096" y="0"/>
                                </a:moveTo>
                                <a:lnTo>
                                  <a:pt x="0" y="0"/>
                                </a:lnTo>
                                <a:lnTo>
                                  <a:pt x="0" y="185915"/>
                                </a:lnTo>
                                <a:lnTo>
                                  <a:pt x="6096" y="185915"/>
                                </a:lnTo>
                                <a:lnTo>
                                  <a:pt x="6096" y="0"/>
                                </a:lnTo>
                                <a:close/>
                              </a:path>
                              <a:path w="5883275" h="186055">
                                <a:moveTo>
                                  <a:pt x="5882652" y="0"/>
                                </a:moveTo>
                                <a:lnTo>
                                  <a:pt x="5876544" y="0"/>
                                </a:lnTo>
                                <a:lnTo>
                                  <a:pt x="5876544" y="185915"/>
                                </a:lnTo>
                                <a:lnTo>
                                  <a:pt x="5882652" y="185915"/>
                                </a:lnTo>
                                <a:lnTo>
                                  <a:pt x="5882652" y="0"/>
                                </a:lnTo>
                                <a:close/>
                              </a:path>
                            </a:pathLst>
                          </a:custGeom>
                          <a:solidFill>
                            <a:srgbClr val="000000"/>
                          </a:solidFill>
                        </wps:spPr>
                        <wps:bodyPr wrap="square" lIns="0" tIns="0" rIns="0" bIns="0" rtlCol="0">
                          <a:prstTxWarp prst="textNoShape">
                            <a:avLst/>
                          </a:prstTxWarp>
                          <a:noAutofit/>
                        </wps:bodyPr>
                      </wps:wsp>
                      <wps:wsp>
                        <wps:cNvPr id="267" name="Graphic 267"/>
                        <wps:cNvSpPr/>
                        <wps:spPr>
                          <a:xfrm>
                            <a:off x="6095" y="2722626"/>
                            <a:ext cx="5870575" cy="175260"/>
                          </a:xfrm>
                          <a:custGeom>
                            <a:avLst/>
                            <a:gdLst/>
                            <a:ahLst/>
                            <a:cxnLst/>
                            <a:rect l="l" t="t" r="r" b="b"/>
                            <a:pathLst>
                              <a:path w="5870575" h="175260">
                                <a:moveTo>
                                  <a:pt x="5870447" y="0"/>
                                </a:moveTo>
                                <a:lnTo>
                                  <a:pt x="0" y="0"/>
                                </a:lnTo>
                                <a:lnTo>
                                  <a:pt x="0" y="175259"/>
                                </a:lnTo>
                                <a:lnTo>
                                  <a:pt x="5870447" y="175259"/>
                                </a:lnTo>
                                <a:lnTo>
                                  <a:pt x="5870447" y="0"/>
                                </a:lnTo>
                                <a:close/>
                              </a:path>
                            </a:pathLst>
                          </a:custGeom>
                          <a:solidFill>
                            <a:srgbClr val="D9D9D9"/>
                          </a:solidFill>
                        </wps:spPr>
                        <wps:bodyPr wrap="square" lIns="0" tIns="0" rIns="0" bIns="0" rtlCol="0">
                          <a:prstTxWarp prst="textNoShape">
                            <a:avLst/>
                          </a:prstTxWarp>
                          <a:noAutofit/>
                        </wps:bodyPr>
                      </wps:wsp>
                      <wps:wsp>
                        <wps:cNvPr id="268" name="Graphic 268"/>
                        <wps:cNvSpPr/>
                        <wps:spPr>
                          <a:xfrm>
                            <a:off x="0" y="2722625"/>
                            <a:ext cx="5883275" cy="175260"/>
                          </a:xfrm>
                          <a:custGeom>
                            <a:avLst/>
                            <a:gdLst/>
                            <a:ahLst/>
                            <a:cxnLst/>
                            <a:rect l="l" t="t" r="r" b="b"/>
                            <a:pathLst>
                              <a:path w="5883275" h="175260">
                                <a:moveTo>
                                  <a:pt x="6096" y="0"/>
                                </a:moveTo>
                                <a:lnTo>
                                  <a:pt x="0" y="0"/>
                                </a:lnTo>
                                <a:lnTo>
                                  <a:pt x="0" y="175260"/>
                                </a:lnTo>
                                <a:lnTo>
                                  <a:pt x="6096" y="175260"/>
                                </a:lnTo>
                                <a:lnTo>
                                  <a:pt x="6096" y="0"/>
                                </a:lnTo>
                                <a:close/>
                              </a:path>
                              <a:path w="5883275" h="175260">
                                <a:moveTo>
                                  <a:pt x="5882652" y="0"/>
                                </a:moveTo>
                                <a:lnTo>
                                  <a:pt x="5876544" y="0"/>
                                </a:lnTo>
                                <a:lnTo>
                                  <a:pt x="5876544" y="175260"/>
                                </a:lnTo>
                                <a:lnTo>
                                  <a:pt x="5882652" y="175260"/>
                                </a:lnTo>
                                <a:lnTo>
                                  <a:pt x="5882652" y="0"/>
                                </a:lnTo>
                                <a:close/>
                              </a:path>
                            </a:pathLst>
                          </a:custGeom>
                          <a:solidFill>
                            <a:srgbClr val="000000"/>
                          </a:solidFill>
                        </wps:spPr>
                        <wps:bodyPr wrap="square" lIns="0" tIns="0" rIns="0" bIns="0" rtlCol="0">
                          <a:prstTxWarp prst="textNoShape">
                            <a:avLst/>
                          </a:prstTxWarp>
                          <a:noAutofit/>
                        </wps:bodyPr>
                      </wps:wsp>
                      <wps:wsp>
                        <wps:cNvPr id="269" name="Graphic 269"/>
                        <wps:cNvSpPr/>
                        <wps:spPr>
                          <a:xfrm>
                            <a:off x="6095" y="2897885"/>
                            <a:ext cx="5870575" cy="175260"/>
                          </a:xfrm>
                          <a:custGeom>
                            <a:avLst/>
                            <a:gdLst/>
                            <a:ahLst/>
                            <a:cxnLst/>
                            <a:rect l="l" t="t" r="r" b="b"/>
                            <a:pathLst>
                              <a:path w="5870575" h="175260">
                                <a:moveTo>
                                  <a:pt x="5870447" y="0"/>
                                </a:moveTo>
                                <a:lnTo>
                                  <a:pt x="0" y="0"/>
                                </a:lnTo>
                                <a:lnTo>
                                  <a:pt x="0" y="175260"/>
                                </a:lnTo>
                                <a:lnTo>
                                  <a:pt x="5870447" y="175260"/>
                                </a:lnTo>
                                <a:lnTo>
                                  <a:pt x="5870447" y="0"/>
                                </a:lnTo>
                                <a:close/>
                              </a:path>
                            </a:pathLst>
                          </a:custGeom>
                          <a:solidFill>
                            <a:srgbClr val="D9D9D9"/>
                          </a:solidFill>
                        </wps:spPr>
                        <wps:bodyPr wrap="square" lIns="0" tIns="0" rIns="0" bIns="0" rtlCol="0">
                          <a:prstTxWarp prst="textNoShape">
                            <a:avLst/>
                          </a:prstTxWarp>
                          <a:noAutofit/>
                        </wps:bodyPr>
                      </wps:wsp>
                      <wps:wsp>
                        <wps:cNvPr id="270" name="Graphic 270"/>
                        <wps:cNvSpPr/>
                        <wps:spPr>
                          <a:xfrm>
                            <a:off x="0" y="2897885"/>
                            <a:ext cx="5883275" cy="175260"/>
                          </a:xfrm>
                          <a:custGeom>
                            <a:avLst/>
                            <a:gdLst/>
                            <a:ahLst/>
                            <a:cxnLst/>
                            <a:rect l="l" t="t" r="r" b="b"/>
                            <a:pathLst>
                              <a:path w="5883275" h="175260">
                                <a:moveTo>
                                  <a:pt x="6096" y="0"/>
                                </a:moveTo>
                                <a:lnTo>
                                  <a:pt x="0" y="0"/>
                                </a:lnTo>
                                <a:lnTo>
                                  <a:pt x="0" y="175260"/>
                                </a:lnTo>
                                <a:lnTo>
                                  <a:pt x="6096" y="175260"/>
                                </a:lnTo>
                                <a:lnTo>
                                  <a:pt x="6096" y="0"/>
                                </a:lnTo>
                                <a:close/>
                              </a:path>
                              <a:path w="5883275" h="175260">
                                <a:moveTo>
                                  <a:pt x="5882652" y="0"/>
                                </a:moveTo>
                                <a:lnTo>
                                  <a:pt x="5876544" y="0"/>
                                </a:lnTo>
                                <a:lnTo>
                                  <a:pt x="5876544" y="175260"/>
                                </a:lnTo>
                                <a:lnTo>
                                  <a:pt x="5882652" y="175260"/>
                                </a:lnTo>
                                <a:lnTo>
                                  <a:pt x="5882652" y="0"/>
                                </a:lnTo>
                                <a:close/>
                              </a:path>
                            </a:pathLst>
                          </a:custGeom>
                          <a:solidFill>
                            <a:srgbClr val="000000"/>
                          </a:solidFill>
                        </wps:spPr>
                        <wps:bodyPr wrap="square" lIns="0" tIns="0" rIns="0" bIns="0" rtlCol="0">
                          <a:prstTxWarp prst="textNoShape">
                            <a:avLst/>
                          </a:prstTxWarp>
                          <a:noAutofit/>
                        </wps:bodyPr>
                      </wps:wsp>
                      <wps:wsp>
                        <wps:cNvPr id="271" name="Graphic 271"/>
                        <wps:cNvSpPr/>
                        <wps:spPr>
                          <a:xfrm>
                            <a:off x="6095" y="3073145"/>
                            <a:ext cx="5870575" cy="175260"/>
                          </a:xfrm>
                          <a:custGeom>
                            <a:avLst/>
                            <a:gdLst/>
                            <a:ahLst/>
                            <a:cxnLst/>
                            <a:rect l="l" t="t" r="r" b="b"/>
                            <a:pathLst>
                              <a:path w="5870575" h="175260">
                                <a:moveTo>
                                  <a:pt x="5870447" y="0"/>
                                </a:moveTo>
                                <a:lnTo>
                                  <a:pt x="0" y="0"/>
                                </a:lnTo>
                                <a:lnTo>
                                  <a:pt x="0" y="175259"/>
                                </a:lnTo>
                                <a:lnTo>
                                  <a:pt x="5870447" y="175259"/>
                                </a:lnTo>
                                <a:lnTo>
                                  <a:pt x="5870447" y="0"/>
                                </a:lnTo>
                                <a:close/>
                              </a:path>
                            </a:pathLst>
                          </a:custGeom>
                          <a:solidFill>
                            <a:srgbClr val="D9D9D9"/>
                          </a:solidFill>
                        </wps:spPr>
                        <wps:bodyPr wrap="square" lIns="0" tIns="0" rIns="0" bIns="0" rtlCol="0">
                          <a:prstTxWarp prst="textNoShape">
                            <a:avLst/>
                          </a:prstTxWarp>
                          <a:noAutofit/>
                        </wps:bodyPr>
                      </wps:wsp>
                      <wps:wsp>
                        <wps:cNvPr id="272" name="Graphic 272"/>
                        <wps:cNvSpPr/>
                        <wps:spPr>
                          <a:xfrm>
                            <a:off x="0" y="3073133"/>
                            <a:ext cx="5883275" cy="175895"/>
                          </a:xfrm>
                          <a:custGeom>
                            <a:avLst/>
                            <a:gdLst/>
                            <a:ahLst/>
                            <a:cxnLst/>
                            <a:rect l="l" t="t" r="r" b="b"/>
                            <a:pathLst>
                              <a:path w="5883275" h="175895">
                                <a:moveTo>
                                  <a:pt x="6096" y="0"/>
                                </a:moveTo>
                                <a:lnTo>
                                  <a:pt x="0" y="0"/>
                                </a:lnTo>
                                <a:lnTo>
                                  <a:pt x="0" y="175272"/>
                                </a:lnTo>
                                <a:lnTo>
                                  <a:pt x="6096" y="175272"/>
                                </a:lnTo>
                                <a:lnTo>
                                  <a:pt x="6096" y="0"/>
                                </a:lnTo>
                                <a:close/>
                              </a:path>
                              <a:path w="5883275" h="175895">
                                <a:moveTo>
                                  <a:pt x="5882652" y="0"/>
                                </a:moveTo>
                                <a:lnTo>
                                  <a:pt x="5876544" y="0"/>
                                </a:lnTo>
                                <a:lnTo>
                                  <a:pt x="5876544" y="175272"/>
                                </a:lnTo>
                                <a:lnTo>
                                  <a:pt x="5882652" y="175272"/>
                                </a:lnTo>
                                <a:lnTo>
                                  <a:pt x="5882652" y="0"/>
                                </a:lnTo>
                                <a:close/>
                              </a:path>
                            </a:pathLst>
                          </a:custGeom>
                          <a:solidFill>
                            <a:srgbClr val="000000"/>
                          </a:solidFill>
                        </wps:spPr>
                        <wps:bodyPr wrap="square" lIns="0" tIns="0" rIns="0" bIns="0" rtlCol="0">
                          <a:prstTxWarp prst="textNoShape">
                            <a:avLst/>
                          </a:prstTxWarp>
                          <a:noAutofit/>
                        </wps:bodyPr>
                      </wps:wsp>
                      <wps:wsp>
                        <wps:cNvPr id="273" name="Graphic 273"/>
                        <wps:cNvSpPr/>
                        <wps:spPr>
                          <a:xfrm>
                            <a:off x="6095" y="3248405"/>
                            <a:ext cx="5870575" cy="251460"/>
                          </a:xfrm>
                          <a:custGeom>
                            <a:avLst/>
                            <a:gdLst/>
                            <a:ahLst/>
                            <a:cxnLst/>
                            <a:rect l="l" t="t" r="r" b="b"/>
                            <a:pathLst>
                              <a:path w="5870575" h="251460">
                                <a:moveTo>
                                  <a:pt x="5870447" y="0"/>
                                </a:moveTo>
                                <a:lnTo>
                                  <a:pt x="0" y="0"/>
                                </a:lnTo>
                                <a:lnTo>
                                  <a:pt x="0" y="251460"/>
                                </a:lnTo>
                                <a:lnTo>
                                  <a:pt x="5870447" y="251460"/>
                                </a:lnTo>
                                <a:lnTo>
                                  <a:pt x="5870447" y="0"/>
                                </a:lnTo>
                                <a:close/>
                              </a:path>
                            </a:pathLst>
                          </a:custGeom>
                          <a:solidFill>
                            <a:srgbClr val="D9D9D9"/>
                          </a:solidFill>
                        </wps:spPr>
                        <wps:bodyPr wrap="square" lIns="0" tIns="0" rIns="0" bIns="0" rtlCol="0">
                          <a:prstTxWarp prst="textNoShape">
                            <a:avLst/>
                          </a:prstTxWarp>
                          <a:noAutofit/>
                        </wps:bodyPr>
                      </wps:wsp>
                      <wps:wsp>
                        <wps:cNvPr id="274" name="Graphic 274"/>
                        <wps:cNvSpPr/>
                        <wps:spPr>
                          <a:xfrm>
                            <a:off x="0" y="3248405"/>
                            <a:ext cx="5883275" cy="251460"/>
                          </a:xfrm>
                          <a:custGeom>
                            <a:avLst/>
                            <a:gdLst/>
                            <a:ahLst/>
                            <a:cxnLst/>
                            <a:rect l="l" t="t" r="r" b="b"/>
                            <a:pathLst>
                              <a:path w="5883275" h="251460">
                                <a:moveTo>
                                  <a:pt x="6096" y="0"/>
                                </a:moveTo>
                                <a:lnTo>
                                  <a:pt x="0" y="0"/>
                                </a:lnTo>
                                <a:lnTo>
                                  <a:pt x="0" y="251460"/>
                                </a:lnTo>
                                <a:lnTo>
                                  <a:pt x="6096" y="251460"/>
                                </a:lnTo>
                                <a:lnTo>
                                  <a:pt x="6096" y="0"/>
                                </a:lnTo>
                                <a:close/>
                              </a:path>
                              <a:path w="5883275" h="251460">
                                <a:moveTo>
                                  <a:pt x="5882652" y="0"/>
                                </a:moveTo>
                                <a:lnTo>
                                  <a:pt x="5876544" y="0"/>
                                </a:lnTo>
                                <a:lnTo>
                                  <a:pt x="5876544" y="251460"/>
                                </a:lnTo>
                                <a:lnTo>
                                  <a:pt x="5882652" y="251460"/>
                                </a:lnTo>
                                <a:lnTo>
                                  <a:pt x="5882652" y="0"/>
                                </a:lnTo>
                                <a:close/>
                              </a:path>
                            </a:pathLst>
                          </a:custGeom>
                          <a:solidFill>
                            <a:srgbClr val="000000"/>
                          </a:solidFill>
                        </wps:spPr>
                        <wps:bodyPr wrap="square" lIns="0" tIns="0" rIns="0" bIns="0" rtlCol="0">
                          <a:prstTxWarp prst="textNoShape">
                            <a:avLst/>
                          </a:prstTxWarp>
                          <a:noAutofit/>
                        </wps:bodyPr>
                      </wps:wsp>
                      <wps:wsp>
                        <wps:cNvPr id="275" name="Textbox 275"/>
                        <wps:cNvSpPr txBox="1"/>
                        <wps:spPr>
                          <a:xfrm>
                            <a:off x="20320" y="44195"/>
                            <a:ext cx="5870575" cy="4436847"/>
                          </a:xfrm>
                          <a:prstGeom prst="rect">
                            <a:avLst/>
                          </a:prstGeom>
                        </wps:spPr>
                        <wps:txbx>
                          <w:txbxContent>
                            <w:p w14:paraId="72359448" w14:textId="77777777" w:rsidR="00E6279B" w:rsidRPr="004D53EC" w:rsidRDefault="00E6279B" w:rsidP="00E6279B">
                              <w:pPr>
                                <w:spacing w:before="19"/>
                                <w:ind w:left="109" w:right="106"/>
                                <w:jc w:val="both"/>
                                <w:rPr>
                                  <w:sz w:val="24"/>
                                  <w:lang w:val="sq-AL"/>
                                </w:rPr>
                              </w:pPr>
                              <w:r w:rsidRPr="004D53EC">
                                <w:rPr>
                                  <w:sz w:val="24"/>
                                  <w:lang w:val="sq-AL" w:bidi="sq-AL"/>
                                </w:rPr>
                                <w:t xml:space="preserve">Shqipëria është </w:t>
                              </w:r>
                              <w:r w:rsidRPr="004D53EC">
                                <w:rPr>
                                  <w:b/>
                                  <w:sz w:val="24"/>
                                  <w:lang w:val="sq-AL" w:bidi="sq-AL"/>
                                </w:rPr>
                                <w:t>e përgatitur mesatarisht</w:t>
                              </w:r>
                              <w:r w:rsidRPr="004D53EC">
                                <w:rPr>
                                  <w:sz w:val="24"/>
                                  <w:lang w:val="sq-AL" w:bidi="sq-AL"/>
                                </w:rPr>
                                <w:t xml:space="preserve"> në fushën e kontrollit financiar. </w:t>
                              </w:r>
                              <w:r w:rsidRPr="004D53EC">
                                <w:rPr>
                                  <w:b/>
                                  <w:sz w:val="24"/>
                                  <w:lang w:val="sq-AL" w:bidi="sq-AL"/>
                                </w:rPr>
                                <w:t>Progres i mirë</w:t>
                              </w:r>
                              <w:r w:rsidRPr="004D53EC">
                                <w:rPr>
                                  <w:sz w:val="24"/>
                                  <w:lang w:val="sq-AL" w:bidi="sq-AL"/>
                                </w:rPr>
                                <w:t xml:space="preserve"> është bërë gjatë periudhës së raportimit në lidhje me përditësimin e kuadrit ligjor për kontrollin dhe </w:t>
                              </w:r>
                              <w:proofErr w:type="spellStart"/>
                              <w:r w:rsidRPr="004D53EC">
                                <w:rPr>
                                  <w:sz w:val="24"/>
                                  <w:lang w:val="sq-AL" w:bidi="sq-AL"/>
                                </w:rPr>
                                <w:t>auditin</w:t>
                              </w:r>
                              <w:proofErr w:type="spellEnd"/>
                              <w:r w:rsidRPr="004D53EC">
                                <w:rPr>
                                  <w:sz w:val="24"/>
                                  <w:lang w:val="sq-AL" w:bidi="sq-AL"/>
                                </w:rPr>
                                <w:t xml:space="preserve"> e brendshëm. Zbatimi i dokumentit të politikave për forcimin e kontrollit të brendshëm financiar publik (PIFC) dhe </w:t>
                              </w:r>
                              <w:proofErr w:type="spellStart"/>
                              <w:r w:rsidRPr="004D53EC">
                                <w:rPr>
                                  <w:sz w:val="24"/>
                                  <w:lang w:val="sq-AL" w:bidi="sq-AL"/>
                                </w:rPr>
                                <w:t>auditimet</w:t>
                              </w:r>
                              <w:proofErr w:type="spellEnd"/>
                              <w:r w:rsidRPr="004D53EC">
                                <w:rPr>
                                  <w:sz w:val="24"/>
                                  <w:lang w:val="sq-AL" w:bidi="sq-AL"/>
                                </w:rPr>
                                <w:t xml:space="preserve"> e brendshme që synonin detyrimet e prapambetura vijuan. Shqipëria vijoi përafrimin e legjislacionit të vet kombëtar me </w:t>
                              </w:r>
                              <w:proofErr w:type="spellStart"/>
                              <w:r w:rsidRPr="004D53EC">
                                <w:rPr>
                                  <w:i/>
                                  <w:sz w:val="24"/>
                                  <w:lang w:val="sq-AL" w:bidi="sq-AL"/>
                                </w:rPr>
                                <w:t>acquis</w:t>
                              </w:r>
                              <w:proofErr w:type="spellEnd"/>
                              <w:r w:rsidRPr="004D53EC">
                                <w:rPr>
                                  <w:i/>
                                  <w:sz w:val="24"/>
                                  <w:lang w:val="sq-AL" w:bidi="sq-AL"/>
                                </w:rPr>
                                <w:t>-në</w:t>
                              </w:r>
                              <w:r w:rsidRPr="004D53EC">
                                <w:rPr>
                                  <w:sz w:val="24"/>
                                  <w:lang w:val="sq-AL" w:bidi="sq-AL"/>
                                </w:rPr>
                                <w:t xml:space="preserve"> e BE-së për kartëmonedhat dhe monedhat e falsifikuara. Kontrolli i brendshëm nuk është i siguruar ende në të gjitha organet buxhetore. Marrëdhëniet e punës mes Institucionit të Kontrollit të Lartë të Shtetit, Kuvendit dhe Ministrisë së Financave dhe Ekonomisë (MFE) duhet të forcohen më tej.</w:t>
                              </w:r>
                            </w:p>
                            <w:p w14:paraId="0C867350" w14:textId="77777777" w:rsidR="00E6279B" w:rsidRPr="004D53EC" w:rsidRDefault="00E6279B" w:rsidP="00E6279B">
                              <w:pPr>
                                <w:spacing w:before="120"/>
                                <w:ind w:left="109" w:right="106"/>
                                <w:jc w:val="both"/>
                                <w:rPr>
                                  <w:sz w:val="24"/>
                                  <w:lang w:val="sq-AL"/>
                                </w:rPr>
                              </w:pPr>
                              <w:r w:rsidRPr="004D53EC">
                                <w:rPr>
                                  <w:sz w:val="24"/>
                                  <w:lang w:val="sq-AL" w:bidi="sq-AL"/>
                                </w:rPr>
                                <w:t>Që prej vitit 2022, rekomandimet e Komisionit janë trajtuar vetëm pjesërisht dhe ato mbeten të vlefshme. Vitin e ardhshëm, në veçanti Shqipëria duhet të:</w:t>
                              </w:r>
                            </w:p>
                            <w:p w14:paraId="1D027FEF" w14:textId="77777777" w:rsidR="00E6279B" w:rsidRPr="004D53EC" w:rsidRDefault="00E6279B" w:rsidP="00E6279B">
                              <w:pPr>
                                <w:spacing w:before="120"/>
                                <w:ind w:left="469" w:right="106" w:hanging="360"/>
                                <w:jc w:val="both"/>
                                <w:rPr>
                                  <w:sz w:val="24"/>
                                  <w:lang w:val="sq-AL"/>
                                </w:rPr>
                              </w:pPr>
                              <w:r w:rsidRPr="004D53EC">
                                <w:rPr>
                                  <w:sz w:val="24"/>
                                  <w:lang w:val="sq-AL" w:bidi="sq-AL"/>
                                </w:rPr>
                                <w:t xml:space="preserve"> zbatojë udhëzimet për delegimin financiar të përgjegjësive dhe të nxjerrë udhëzimet për delegimin e përgjegjësive të menaxhimit me qëllim përmirësimin e llogaridhënies </w:t>
                              </w:r>
                              <w:proofErr w:type="spellStart"/>
                              <w:r w:rsidRPr="004D53EC">
                                <w:rPr>
                                  <w:sz w:val="24"/>
                                  <w:lang w:val="sq-AL" w:bidi="sq-AL"/>
                                </w:rPr>
                                <w:t>menaxheriale</w:t>
                              </w:r>
                              <w:proofErr w:type="spellEnd"/>
                              <w:r w:rsidRPr="004D53EC">
                                <w:rPr>
                                  <w:sz w:val="24"/>
                                  <w:lang w:val="sq-AL" w:bidi="sq-AL"/>
                                </w:rPr>
                                <w:t>;</w:t>
                              </w:r>
                            </w:p>
                            <w:p w14:paraId="03F2AC53" w14:textId="77777777" w:rsidR="00E6279B" w:rsidRDefault="00E6279B" w:rsidP="004D53EC">
                              <w:pPr>
                                <w:spacing w:before="120"/>
                                <w:ind w:left="469" w:right="106" w:hanging="360"/>
                                <w:jc w:val="both"/>
                                <w:rPr>
                                  <w:sz w:val="24"/>
                                  <w:lang w:val="sq-AL" w:bidi="sq-AL"/>
                                </w:rPr>
                              </w:pPr>
                              <w:r w:rsidRPr="004D53EC">
                                <w:rPr>
                                  <w:sz w:val="24"/>
                                  <w:lang w:val="sq-AL" w:bidi="sq-AL"/>
                                </w:rPr>
                                <w:t xml:space="preserve"> monitorojë dhe ndjekë zbatimin e rekomandimeve të bëra në raportin vjetor të PIFC-së në të gjitha institucionet buxhetore; të shtojë mbikëqyrjen parlamentare në organet e </w:t>
                              </w:r>
                              <w:proofErr w:type="spellStart"/>
                              <w:r w:rsidRPr="004D53EC">
                                <w:rPr>
                                  <w:sz w:val="24"/>
                                  <w:lang w:val="sq-AL" w:bidi="sq-AL"/>
                                </w:rPr>
                                <w:t>audituara</w:t>
                              </w:r>
                              <w:proofErr w:type="spellEnd"/>
                              <w:r w:rsidRPr="004D53EC">
                                <w:rPr>
                                  <w:sz w:val="24"/>
                                  <w:lang w:val="sq-AL" w:bidi="sq-AL"/>
                                </w:rPr>
                                <w:t xml:space="preserve"> gjatë zbatimit të rekomandimeve të </w:t>
                              </w:r>
                              <w:proofErr w:type="spellStart"/>
                              <w:r w:rsidRPr="004D53EC">
                                <w:rPr>
                                  <w:sz w:val="24"/>
                                  <w:lang w:val="sq-AL" w:bidi="sq-AL"/>
                                </w:rPr>
                                <w:t>auditit</w:t>
                              </w:r>
                              <w:proofErr w:type="spellEnd"/>
                              <w:r w:rsidRPr="004D53EC">
                                <w:rPr>
                                  <w:sz w:val="24"/>
                                  <w:lang w:val="sq-AL" w:bidi="sq-AL"/>
                                </w:rPr>
                                <w:t xml:space="preserve"> të jashtëm, përmes </w:t>
                              </w:r>
                              <w:proofErr w:type="spellStart"/>
                              <w:r w:rsidRPr="004D53EC">
                                <w:rPr>
                                  <w:sz w:val="24"/>
                                  <w:lang w:val="sq-AL" w:bidi="sq-AL"/>
                                </w:rPr>
                                <w:t>dëgjesave</w:t>
                              </w:r>
                              <w:proofErr w:type="spellEnd"/>
                              <w:r w:rsidRPr="004D53EC">
                                <w:rPr>
                                  <w:sz w:val="24"/>
                                  <w:lang w:val="sq-AL" w:bidi="sq-AL"/>
                                </w:rPr>
                                <w:t xml:space="preserve"> më të shpeshta parlamentare dhe krijimit të një kuadri monitorimi parlamentar për vlerësimin e rregullt të veprimeve ndjekëse të qeverisë;</w:t>
                              </w:r>
                            </w:p>
                            <w:p w14:paraId="03655DCB" w14:textId="77777777" w:rsidR="004D53EC" w:rsidRPr="0032048B" w:rsidRDefault="004D53EC" w:rsidP="004D53EC">
                              <w:pPr>
                                <w:pStyle w:val="TableParagraph"/>
                                <w:spacing w:before="15" w:line="276" w:lineRule="exact"/>
                                <w:ind w:left="473" w:right="100" w:hanging="360"/>
                                <w:jc w:val="both"/>
                                <w:rPr>
                                  <w:sz w:val="24"/>
                                  <w:lang w:val="sq-AL"/>
                                </w:rPr>
                              </w:pPr>
                              <w:r w:rsidRPr="0032048B">
                                <w:rPr>
                                  <w:sz w:val="24"/>
                                  <w:lang w:val="sq-AL" w:bidi="sq-AL"/>
                                </w:rPr>
                                <w:t> forcojë kontrollet dhe konsolidojë kapacitetet për mbrojtjen e interesave financiare të BE-së, duke siguruar korrektësi dhe transparencë lidhur me shpenzimet, në përputhje me parimet e menaxhimit të mirë financiar.</w:t>
                              </w:r>
                            </w:p>
                            <w:p w14:paraId="769582FF" w14:textId="77777777" w:rsidR="004D53EC" w:rsidRPr="004D53EC" w:rsidRDefault="004D53EC" w:rsidP="004D53EC">
                              <w:pPr>
                                <w:spacing w:before="120"/>
                                <w:ind w:left="469" w:right="106" w:hanging="360"/>
                                <w:jc w:val="both"/>
                                <w:rPr>
                                  <w:sz w:val="24"/>
                                  <w:lang w:val="sq-AL"/>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B7B4CD3" id="Group 238" o:spid="_x0000_s1189" style="position:absolute;left:0;text-align:left;margin-left:60.6pt;margin-top:-42.2pt;width:463.85pt;height:352.8pt;z-index:251676672;mso-wrap-distance-left:0;mso-wrap-distance-right:0;mso-position-horizontal-relative:page;mso-width-relative:margin;mso-height-relative:margin" coordsize="58908,44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">
                <v:shape id="Graphic 239" o:spid="_x0000_s1190" style="position:absolute;left:60;top:60;width:58706;height:1880;visibility:visible;mso-wrap-style:square;v-text-anchor:top" coordsize="5870575,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" path="m5870447,l,,,187451r5870447,l5870447,xe" fillcolor="#d9d9d9" stroked="f">
                  <v:path arrowok="t"/>
                </v:shape>
                <v:shape id="Graphic 240" o:spid="_x0000_s1191" style="position:absolute;width:58832;height:1936;visibility:visible;mso-wrap-style:square;v-text-anchor:top" coordsize="58832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" path="m6096,6108l,6108,,193548r6096,l6096,6108xem5882652,6108r-6108,l5876544,193548r6108,l5882652,6108xem5882652,r-6108,l6096,,,,,6096r6096,l5876544,6096r6108,l5882652,xe" fillcolor="black" stroked="f">
                  <v:path arrowok="t"/>
                </v:shape>
                <v:shape id="Graphic 241" o:spid="_x0000_s1192" style="position:absolute;left:60;top:1935;width:58706;height:1753;visibility:visible;mso-wrap-style:square;v-text-anchor:top" coordsize="587057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" path="m5870447,l,,,175260r5870447,l5870447,xe" fillcolor="#d9d9d9" stroked="f">
                  <v:path arrowok="t"/>
                </v:shape>
                <v:shape id="Graphic 242" o:spid="_x0000_s1193" style="position:absolute;top:1935;width:58832;height:1753;visibility:visible;mso-wrap-style:square;v-text-anchor:top" coordsize="588327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" path="m6096,l,,,175260r6096,l6096,xem5882652,r-6108,l5876544,175260r6108,l5882652,xe" fillcolor="black" stroked="f">
                  <v:path arrowok="t"/>
                </v:shape>
                <v:shape id="Graphic 243" o:spid="_x0000_s1194" style="position:absolute;left:60;top:3688;width:58706;height:1752;visibility:visible;mso-wrap-style:square;v-text-anchor:top" coordsize="587057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" path="m5870447,l,,,175260r5870447,l5870447,xe" fillcolor="#d9d9d9" stroked="f">
                  <v:path arrowok="t"/>
                </v:shape>
                <v:shape id="Graphic 244" o:spid="_x0000_s1195" style="position:absolute;top:3687;width:58832;height:1759;visibility:visible;mso-wrap-style:square;v-text-anchor:top" coordsize="588327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" path="m6096,l,,,175272r6096,l6096,xem5882652,r-6108,l5876544,175272r6108,l5882652,xe" fillcolor="black" stroked="f">
                  <v:path arrowok="t"/>
                </v:shape>
                <v:shape id="Graphic 245" o:spid="_x0000_s1196" style="position:absolute;left:60;top:5440;width:58706;height:1753;visibility:visible;mso-wrap-style:square;v-text-anchor:top" coordsize="587057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" path="m5870447,l,,,175260r5870447,l5870447,xe" fillcolor="#d9d9d9" stroked="f">
                  <v:path arrowok="t"/>
                </v:shape>
                <v:shape id="Graphic 246" o:spid="_x0000_s1197" style="position:absolute;top:5440;width:58832;height:1753;visibility:visible;mso-wrap-style:square;v-text-anchor:top" coordsize="588327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" path="m6096,l,,,175260r6096,l6096,xem5882652,r-6108,l5876544,175260r6108,l5882652,xe" fillcolor="black" stroked="f">
                  <v:path arrowok="t"/>
                </v:shape>
                <v:shape id="Graphic 247" o:spid="_x0000_s1198" style="position:absolute;left:60;top:7193;width:58706;height:1752;visibility:visible;mso-wrap-style:square;v-text-anchor:top" coordsize="587057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" path="m5870447,l,,,175260r5870447,l5870447,xe" fillcolor="#d9d9d9" stroked="f">
                  <v:path arrowok="t"/>
                </v:shape>
                <v:shape id="Graphic 248" o:spid="_x0000_s1199" style="position:absolute;top:7193;width:58832;height:1752;visibility:visible;mso-wrap-style:square;v-text-anchor:top" coordsize="588327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" path="m6096,l,,,175260r6096,l6096,xem5882652,r-6108,l5876544,175260r6108,l5882652,xe" fillcolor="black" stroked="f">
                  <v:path arrowok="t"/>
                </v:shape>
                <v:shape id="Graphic 249" o:spid="_x0000_s1200" style="position:absolute;left:60;top:8945;width:58706;height:1753;visibility:visible;mso-wrap-style:square;v-text-anchor:top" coordsize="587057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" path="m5870447,l,,,175259r5870447,l5870447,xe" fillcolor="#d9d9d9" stroked="f">
                  <v:path arrowok="t"/>
                </v:shape>
                <v:shape id="Graphic 250" o:spid="_x0000_s1201" style="position:absolute;top:8945;width:58832;height:1753;visibility:visible;mso-wrap-style:square;v-text-anchor:top" coordsize="588327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" path="m6096,l,,,175260r6096,l6096,xem5882652,r-6108,l5876544,175260r6108,l5882652,xe" fillcolor="black" stroked="f">
                  <v:path arrowok="t"/>
                </v:shape>
                <v:shape id="Graphic 251" o:spid="_x0000_s1202" style="position:absolute;left:60;top:10698;width:58706;height:1753;visibility:visible;mso-wrap-style:square;v-text-anchor:top" coordsize="587057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" path="m5870447,l,,,175259r5870447,l5870447,xe" fillcolor="#d9d9d9" stroked="f">
                  <v:path arrowok="t"/>
                </v:shape>
                <v:shape id="Graphic 252" o:spid="_x0000_s1203" style="position:absolute;top:10698;width:58832;height:1753;visibility:visible;mso-wrap-style:square;v-text-anchor:top" coordsize="588327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" path="m6096,l,,,175260r6096,l6096,xem5882652,r-6108,l5876544,175260r6108,l5882652,xe" fillcolor="black" stroked="f">
                  <v:path arrowok="t"/>
                </v:shape>
                <v:shape id="Graphic 253" o:spid="_x0000_s1204" style="position:absolute;left:60;top:12451;width:58706;height:2514;visibility:visible;mso-wrap-style:square;v-text-anchor:top" coordsize="587057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" path="m5870447,l,,,251460r5870447,l5870447,xe" fillcolor="#d9d9d9" stroked="f">
                  <v:path arrowok="t"/>
                </v:shape>
                <v:shape id="Graphic 254" o:spid="_x0000_s1205" style="position:absolute;top:12451;width:58832;height:2514;visibility:visible;mso-wrap-style:square;v-text-anchor:top" coordsize="588327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" path="m6096,l,,,251460r6096,l6096,xem5882652,r-6108,l5876544,251460r6108,l5882652,xe" fillcolor="black" stroked="f">
                  <v:path arrowok="t"/>
                </v:shape>
                <v:shape id="Graphic 255" o:spid="_x0000_s1206" style="position:absolute;left:60;top:14965;width:58706;height:1753;visibility:visible;mso-wrap-style:square;v-text-anchor:top" coordsize="587057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" path="m5870447,l,,,175260r5870447,l5870447,xe" fillcolor="#d9d9d9" stroked="f">
                  <v:path arrowok="t"/>
                </v:shape>
                <v:shape id="Graphic 256" o:spid="_x0000_s1207" style="position:absolute;top:14965;width:58832;height:1753;visibility:visible;mso-wrap-style:square;v-text-anchor:top" coordsize="588327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" path="m6096,l,,,175260r6096,l6096,xem5882652,r-6108,l5876544,175260r6108,l5882652,xe" fillcolor="black" stroked="f">
                  <v:path arrowok="t"/>
                </v:shape>
                <v:shape id="Graphic 257" o:spid="_x0000_s1208" style="position:absolute;left:60;top:16718;width:58706;height:2514;visibility:visible;mso-wrap-style:square;v-text-anchor:top" coordsize="587057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" path="m5870447,l,,,251459r5870447,l5870447,xe" fillcolor="#d9d9d9" stroked="f">
                  <v:path arrowok="t"/>
                </v:shape>
                <v:shape id="Graphic 258" o:spid="_x0000_s1209" style="position:absolute;top:16718;width:58832;height:2514;visibility:visible;mso-wrap-style:square;v-text-anchor:top" coordsize="588327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" path="m6096,l,,,251460r6096,l6096,xem5882652,r-6108,l5876544,251460r6108,l5882652,xe" fillcolor="black" stroked="f">
                  <v:path arrowok="t"/>
                </v:shape>
                <v:shape id="Graphic 259" o:spid="_x0000_s1210" style="position:absolute;left:60;top:19232;width:58706;height:1867;visibility:visible;mso-wrap-style:square;v-text-anchor:top" coordsize="5870575,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" path="m5870447,l,,,186689r5870447,l5870447,xe" fillcolor="#d9d9d9" stroked="f">
                  <v:path arrowok="t"/>
                </v:shape>
                <v:shape id="Graphic 260" o:spid="_x0000_s1211" style="position:absolute;top:19232;width:58832;height:1874;visibility:visible;mso-wrap-style:square;v-text-anchor:top" coordsize="5883275,18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" path="m6096,l,,,186702r6096,l6096,xem5882652,r-6108,l5876544,186702r6108,l5882652,xe" fillcolor="black" stroked="f">
                  <v:path arrowok="t"/>
                </v:shape>
                <v:shape id="Graphic 261" o:spid="_x0000_s1212" style="position:absolute;left:60;top:21099;width:58706;height:1753;visibility:visible;mso-wrap-style:square;v-text-anchor:top" coordsize="587057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" path="m5870447,l,,,175259r5870447,l5870447,xe" fillcolor="#d9d9d9" stroked="f">
                  <v:path arrowok="t"/>
                </v:shape>
                <v:shape id="Graphic 262" o:spid="_x0000_s1213" style="position:absolute;top:21099;width:58832;height:1753;visibility:visible;mso-wrap-style:square;v-text-anchor:top" coordsize="588327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" path="m6096,l,,,175260r6096,l6096,xem5882652,r-6108,l5876544,175260r6108,l5882652,xe" fillcolor="black" stroked="f">
                  <v:path arrowok="t"/>
                </v:shape>
                <v:shape id="Graphic 263" o:spid="_x0000_s1214" style="position:absolute;left:60;top:22852;width:58706;height:2514;visibility:visible;mso-wrap-style:square;v-text-anchor:top" coordsize="587057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" path="m5870447,l,,,251460r5870447,l5870447,xe" fillcolor="#d9d9d9" stroked="f">
                  <v:path arrowok="t"/>
                </v:shape>
                <v:shape id="Graphic 264" o:spid="_x0000_s1215" style="position:absolute;top:22852;width:58832;height:2514;visibility:visible;mso-wrap-style:square;v-text-anchor:top" coordsize="588327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" path="m6096,l,,,251460r6096,l6096,xem5882652,r-6108,l5876544,251460r6108,l5882652,xe" fillcolor="black" stroked="f">
                  <v:path arrowok="t"/>
                </v:shape>
                <v:shape id="Graphic 265" o:spid="_x0000_s1216" style="position:absolute;left:60;top:25366;width:58706;height:1861;visibility:visible;mso-wrap-style:square;v-text-anchor:top" coordsize="587057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" path="m5870447,l,,,185927r5870447,l5870447,xe" fillcolor="#d9d9d9" stroked="f">
                  <v:path arrowok="t"/>
                </v:shape>
                <v:shape id="Graphic 266" o:spid="_x0000_s1217" style="position:absolute;top:25367;width:58832;height:1860;visibility:visible;mso-wrap-style:square;v-text-anchor:top" coordsize="588327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" path="m6096,l,,,185915r6096,l6096,xem5882652,r-6108,l5876544,185915r6108,l5882652,xe" fillcolor="black" stroked="f">
                  <v:path arrowok="t"/>
                </v:shape>
                <v:shape id="Graphic 267" o:spid="_x0000_s1218" style="position:absolute;left:60;top:27226;width:58706;height:1752;visibility:visible;mso-wrap-style:square;v-text-anchor:top" coordsize="587057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" path="m5870447,l,,,175259r5870447,l5870447,xe" fillcolor="#d9d9d9" stroked="f">
                  <v:path arrowok="t"/>
                </v:shape>
                <v:shape id="Graphic 268" o:spid="_x0000_s1219" style="position:absolute;top:27226;width:58832;height:1752;visibility:visible;mso-wrap-style:square;v-text-anchor:top" coordsize="588327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" path="m6096,l,,,175260r6096,l6096,xem5882652,r-6108,l5876544,175260r6108,l5882652,xe" fillcolor="black" stroked="f">
                  <v:path arrowok="t"/>
                </v:shape>
                <v:shape id="Graphic 269" o:spid="_x0000_s1220" style="position:absolute;left:60;top:28978;width:58706;height:1753;visibility:visible;mso-wrap-style:square;v-text-anchor:top" coordsize="587057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" path="m5870447,l,,,175260r5870447,l5870447,xe" fillcolor="#d9d9d9" stroked="f">
                  <v:path arrowok="t"/>
                </v:shape>
                <v:shape id="Graphic 270" o:spid="_x0000_s1221" style="position:absolute;top:28978;width:58832;height:1753;visibility:visible;mso-wrap-style:square;v-text-anchor:top" coordsize="588327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" path="m6096,l,,,175260r6096,l6096,xem5882652,r-6108,l5876544,175260r6108,l5882652,xe" fillcolor="black" stroked="f">
                  <v:path arrowok="t"/>
                </v:shape>
                <v:shape id="Graphic 271" o:spid="_x0000_s1222" style="position:absolute;left:60;top:30731;width:58706;height:1753;visibility:visible;mso-wrap-style:square;v-text-anchor:top" coordsize="587057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" path="m5870447,l,,,175259r5870447,l5870447,xe" fillcolor="#d9d9d9" stroked="f">
                  <v:path arrowok="t"/>
                </v:shape>
                <v:shape id="Graphic 272" o:spid="_x0000_s1223" style="position:absolute;top:30731;width:58832;height:1759;visibility:visible;mso-wrap-style:square;v-text-anchor:top" coordsize="588327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" path="m6096,l,,,175272r6096,l6096,xem5882652,r-6108,l5876544,175272r6108,l5882652,xe" fillcolor="black" stroked="f">
                  <v:path arrowok="t"/>
                </v:shape>
                <v:shape id="Graphic 273" o:spid="_x0000_s1224" style="position:absolute;left:60;top:32484;width:58706;height:2514;visibility:visible;mso-wrap-style:square;v-text-anchor:top" coordsize="587057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" path="m5870447,l,,,251460r5870447,l5870447,xe" fillcolor="#d9d9d9" stroked="f">
                  <v:path arrowok="t"/>
                </v:shape>
                <v:shape id="Graphic 274" o:spid="_x0000_s1225" style="position:absolute;top:32484;width:58832;height:2514;visibility:visible;mso-wrap-style:square;v-text-anchor:top" coordsize="588327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" path="m6096,l,,,251460r6096,l6096,xem5882652,r-6108,l5876544,251460r6108,l5882652,xe" fillcolor="black" stroked="f">
                  <v:path arrowok="t"/>
                </v:shape>
                <v:shape id="Textbox 275" o:spid="_x0000_s1226" type="#_x0000_t202" style="position:absolute;left:203;top:441;width:58705;height:44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uB2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8orgdsYAAADcAAAA&#10;DwAAAAAAAAAAAAAAAAAHAgAAZHJzL2Rvd25yZXYueG1sUEsFBgAAAAADAAMAtwAAAPoCAAAAAA==&#10;" filled="f" stroked="f">
                  <v:textbox inset="0,0,0,0">
                    <w:txbxContent>
                      <w:p w14:paraId="72359448" w14:textId="77777777" w:rsidR="00E6279B" w:rsidRPr="004D53EC" w:rsidRDefault="00E6279B" w:rsidP="00E6279B">
                        <w:pPr>
                          <w:spacing w:before="19"/>
                          <w:ind w:left="109" w:right="106"/>
                          <w:jc w:val="both"/>
                          <w:rPr>
                            <w:sz w:val="24"/>
                            <w:lang w:val="sq-AL"/>
                          </w:rPr>
                        </w:pPr>
                        <w:r w:rsidRPr="004D53EC">
                          <w:rPr>
                            <w:sz w:val="24"/>
                            <w:lang w:val="sq-AL" w:bidi="sq-AL"/>
                          </w:rPr>
                          <w:t xml:space="preserve">Shqipëria është </w:t>
                        </w:r>
                        <w:r w:rsidRPr="004D53EC">
                          <w:rPr>
                            <w:b/>
                            <w:sz w:val="24"/>
                            <w:lang w:val="sq-AL" w:bidi="sq-AL"/>
                          </w:rPr>
                          <w:t>e përgatitur mesatarisht</w:t>
                        </w:r>
                        <w:r w:rsidRPr="004D53EC">
                          <w:rPr>
                            <w:sz w:val="24"/>
                            <w:lang w:val="sq-AL" w:bidi="sq-AL"/>
                          </w:rPr>
                          <w:t xml:space="preserve"> në fushën e kontrollit financiar. </w:t>
                        </w:r>
                        <w:r w:rsidRPr="004D53EC">
                          <w:rPr>
                            <w:b/>
                            <w:sz w:val="24"/>
                            <w:lang w:val="sq-AL" w:bidi="sq-AL"/>
                          </w:rPr>
                          <w:t>Progres i mirë</w:t>
                        </w:r>
                        <w:r w:rsidRPr="004D53EC">
                          <w:rPr>
                            <w:sz w:val="24"/>
                            <w:lang w:val="sq-AL" w:bidi="sq-AL"/>
                          </w:rPr>
                          <w:t xml:space="preserve"> është bërë gjatë periudhës së raportimit në lidhje me përditësimin e kuadrit ligjor për kontrollin dhe </w:t>
                        </w:r>
                        <w:proofErr w:type="spellStart"/>
                        <w:r w:rsidRPr="004D53EC">
                          <w:rPr>
                            <w:sz w:val="24"/>
                            <w:lang w:val="sq-AL" w:bidi="sq-AL"/>
                          </w:rPr>
                          <w:t>auditin</w:t>
                        </w:r>
                        <w:proofErr w:type="spellEnd"/>
                        <w:r w:rsidRPr="004D53EC">
                          <w:rPr>
                            <w:sz w:val="24"/>
                            <w:lang w:val="sq-AL" w:bidi="sq-AL"/>
                          </w:rPr>
                          <w:t xml:space="preserve"> e brendshëm. Zbatimi i dokumentit të politikave për forcimin e kontrollit të brendshëm financiar publik (PIFC) dhe </w:t>
                        </w:r>
                        <w:proofErr w:type="spellStart"/>
                        <w:r w:rsidRPr="004D53EC">
                          <w:rPr>
                            <w:sz w:val="24"/>
                            <w:lang w:val="sq-AL" w:bidi="sq-AL"/>
                          </w:rPr>
                          <w:t>auditimet</w:t>
                        </w:r>
                        <w:proofErr w:type="spellEnd"/>
                        <w:r w:rsidRPr="004D53EC">
                          <w:rPr>
                            <w:sz w:val="24"/>
                            <w:lang w:val="sq-AL" w:bidi="sq-AL"/>
                          </w:rPr>
                          <w:t xml:space="preserve"> e brendshme që synonin detyrimet e prapambetura vijuan. Shqipëria vijoi përafrimin e legjislacionit të vet kombëtar me </w:t>
                        </w:r>
                        <w:proofErr w:type="spellStart"/>
                        <w:r w:rsidRPr="004D53EC">
                          <w:rPr>
                            <w:i/>
                            <w:sz w:val="24"/>
                            <w:lang w:val="sq-AL" w:bidi="sq-AL"/>
                          </w:rPr>
                          <w:t>acquis</w:t>
                        </w:r>
                        <w:proofErr w:type="spellEnd"/>
                        <w:r w:rsidRPr="004D53EC">
                          <w:rPr>
                            <w:i/>
                            <w:sz w:val="24"/>
                            <w:lang w:val="sq-AL" w:bidi="sq-AL"/>
                          </w:rPr>
                          <w:t>-në</w:t>
                        </w:r>
                        <w:r w:rsidRPr="004D53EC">
                          <w:rPr>
                            <w:sz w:val="24"/>
                            <w:lang w:val="sq-AL" w:bidi="sq-AL"/>
                          </w:rPr>
                          <w:t xml:space="preserve"> e BE-së për kartëmonedhat dhe monedhat e falsifikuara. Kontrolli i brendshëm nuk është i siguruar ende në të gjitha organet buxhetore. Marrëdhëniet e punës mes Institucionit të Kontrollit të Lartë të Shtetit, Kuvendit dhe Ministrisë së Financave dhe Ekonomisë (MFE) duhet të forcohen më tej.</w:t>
                        </w:r>
                      </w:p>
                      <w:p w14:paraId="0C867350" w14:textId="77777777" w:rsidR="00E6279B" w:rsidRPr="004D53EC" w:rsidRDefault="00E6279B" w:rsidP="00E6279B">
                        <w:pPr>
                          <w:spacing w:before="120"/>
                          <w:ind w:left="109" w:right="106"/>
                          <w:jc w:val="both"/>
                          <w:rPr>
                            <w:sz w:val="24"/>
                            <w:lang w:val="sq-AL"/>
                          </w:rPr>
                        </w:pPr>
                        <w:r w:rsidRPr="004D53EC">
                          <w:rPr>
                            <w:sz w:val="24"/>
                            <w:lang w:val="sq-AL" w:bidi="sq-AL"/>
                          </w:rPr>
                          <w:t>Që prej vitit 2022, rekomandimet e Komisionit janë trajtuar vetëm pjesërisht dhe ato mbeten të vlefshme. Vitin e ardhshëm, në veçanti Shqipëria duhet të:</w:t>
                        </w:r>
                      </w:p>
                      <w:p w14:paraId="1D027FEF" w14:textId="77777777" w:rsidR="00E6279B" w:rsidRPr="004D53EC" w:rsidRDefault="00E6279B" w:rsidP="00E6279B">
                        <w:pPr>
                          <w:spacing w:before="120"/>
                          <w:ind w:left="469" w:right="106" w:hanging="360"/>
                          <w:jc w:val="both"/>
                          <w:rPr>
                            <w:sz w:val="24"/>
                            <w:lang w:val="sq-AL"/>
                          </w:rPr>
                        </w:pPr>
                        <w:r w:rsidRPr="004D53EC">
                          <w:rPr>
                            <w:sz w:val="24"/>
                            <w:lang w:val="sq-AL" w:bidi="sq-AL"/>
                          </w:rPr>
                          <w:t xml:space="preserve"> zbatojë udhëzimet për delegimin financiar të përgjegjësive dhe të nxjerrë udhëzimet për delegimin e përgjegjësive të menaxhimit me qëllim përmirësimin e llogaridhënies </w:t>
                        </w:r>
                        <w:proofErr w:type="spellStart"/>
                        <w:r w:rsidRPr="004D53EC">
                          <w:rPr>
                            <w:sz w:val="24"/>
                            <w:lang w:val="sq-AL" w:bidi="sq-AL"/>
                          </w:rPr>
                          <w:t>menaxheriale</w:t>
                        </w:r>
                        <w:proofErr w:type="spellEnd"/>
                        <w:r w:rsidRPr="004D53EC">
                          <w:rPr>
                            <w:sz w:val="24"/>
                            <w:lang w:val="sq-AL" w:bidi="sq-AL"/>
                          </w:rPr>
                          <w:t>;</w:t>
                        </w:r>
                      </w:p>
                      <w:p w14:paraId="03F2AC53" w14:textId="77777777" w:rsidR="00E6279B" w:rsidRDefault="00E6279B" w:rsidP="004D53EC">
                        <w:pPr>
                          <w:spacing w:before="120"/>
                          <w:ind w:left="469" w:right="106" w:hanging="360"/>
                          <w:jc w:val="both"/>
                          <w:rPr>
                            <w:sz w:val="24"/>
                            <w:lang w:val="sq-AL" w:bidi="sq-AL"/>
                          </w:rPr>
                        </w:pPr>
                        <w:r w:rsidRPr="004D53EC">
                          <w:rPr>
                            <w:sz w:val="24"/>
                            <w:lang w:val="sq-AL" w:bidi="sq-AL"/>
                          </w:rPr>
                          <w:t xml:space="preserve"> monitorojë dhe ndjekë zbatimin e rekomandimeve të bëra në raportin vjetor të PIFC-së në të gjitha institucionet buxhetore; të shtojë mbikëqyrjen parlamentare në organet e </w:t>
                        </w:r>
                        <w:proofErr w:type="spellStart"/>
                        <w:r w:rsidRPr="004D53EC">
                          <w:rPr>
                            <w:sz w:val="24"/>
                            <w:lang w:val="sq-AL" w:bidi="sq-AL"/>
                          </w:rPr>
                          <w:t>audituara</w:t>
                        </w:r>
                        <w:proofErr w:type="spellEnd"/>
                        <w:r w:rsidRPr="004D53EC">
                          <w:rPr>
                            <w:sz w:val="24"/>
                            <w:lang w:val="sq-AL" w:bidi="sq-AL"/>
                          </w:rPr>
                          <w:t xml:space="preserve"> gjatë zbatimit të rekomandimeve të </w:t>
                        </w:r>
                        <w:proofErr w:type="spellStart"/>
                        <w:r w:rsidRPr="004D53EC">
                          <w:rPr>
                            <w:sz w:val="24"/>
                            <w:lang w:val="sq-AL" w:bidi="sq-AL"/>
                          </w:rPr>
                          <w:t>auditit</w:t>
                        </w:r>
                        <w:proofErr w:type="spellEnd"/>
                        <w:r w:rsidRPr="004D53EC">
                          <w:rPr>
                            <w:sz w:val="24"/>
                            <w:lang w:val="sq-AL" w:bidi="sq-AL"/>
                          </w:rPr>
                          <w:t xml:space="preserve"> të jashtëm, përmes </w:t>
                        </w:r>
                        <w:proofErr w:type="spellStart"/>
                        <w:r w:rsidRPr="004D53EC">
                          <w:rPr>
                            <w:sz w:val="24"/>
                            <w:lang w:val="sq-AL" w:bidi="sq-AL"/>
                          </w:rPr>
                          <w:t>dëgjesave</w:t>
                        </w:r>
                        <w:proofErr w:type="spellEnd"/>
                        <w:r w:rsidRPr="004D53EC">
                          <w:rPr>
                            <w:sz w:val="24"/>
                            <w:lang w:val="sq-AL" w:bidi="sq-AL"/>
                          </w:rPr>
                          <w:t xml:space="preserve"> më të shpeshta parlamentare dhe krijimit të një kuadri monitorimi parlamentar për vlerësimin e rregullt të veprimeve ndjekëse të qeverisë;</w:t>
                        </w:r>
                      </w:p>
                      <w:p w14:paraId="03655DCB" w14:textId="77777777" w:rsidR="004D53EC" w:rsidRPr="0032048B" w:rsidRDefault="004D53EC" w:rsidP="004D53EC">
                        <w:pPr>
                          <w:pStyle w:val="TableParagraph"/>
                          <w:spacing w:before="15" w:line="276" w:lineRule="exact"/>
                          <w:ind w:left="473" w:right="100" w:hanging="360"/>
                          <w:jc w:val="both"/>
                          <w:rPr>
                            <w:sz w:val="24"/>
                            <w:lang w:val="sq-AL"/>
                          </w:rPr>
                        </w:pPr>
                        <w:r w:rsidRPr="0032048B">
                          <w:rPr>
                            <w:sz w:val="24"/>
                            <w:lang w:val="sq-AL" w:bidi="sq-AL"/>
                          </w:rPr>
                          <w:t> forcojë kontrollet dhe konsolidojë kapacitetet për mbrojtjen e interesave financiare të BE-së, duke siguruar korrektësi dhe transparencë lidhur me shpenzimet, në përputhje me parimet e menaxhimit të mirë financiar.</w:t>
                        </w:r>
                      </w:p>
                      <w:p w14:paraId="769582FF" w14:textId="77777777" w:rsidR="004D53EC" w:rsidRPr="004D53EC" w:rsidRDefault="004D53EC" w:rsidP="004D53EC">
                        <w:pPr>
                          <w:spacing w:before="120"/>
                          <w:ind w:left="469" w:right="106" w:hanging="360"/>
                          <w:jc w:val="both"/>
                          <w:rPr>
                            <w:sz w:val="24"/>
                            <w:lang w:val="sq-AL"/>
                          </w:rPr>
                        </w:pPr>
                      </w:p>
                    </w:txbxContent>
                  </v:textbox>
                </v:shape>
                <w10:wrap anchorx="page"/>
              </v:group>
            </w:pict>
          </mc:Fallback>
        </mc:AlternateContent>
      </w:r>
    </w:p>
    <w:p w14:paraId="760E9A9F" w14:textId="77777777" w:rsidR="004D53EC" w:rsidRDefault="004D53EC" w:rsidP="00E6279B">
      <w:pPr>
        <w:jc w:val="both"/>
        <w:rPr>
          <w:sz w:val="24"/>
          <w:lang w:val="sq-AL"/>
        </w:rPr>
      </w:pPr>
    </w:p>
    <w:p w14:paraId="1D485AF4" w14:textId="77777777" w:rsidR="004D53EC" w:rsidRPr="0032048B" w:rsidRDefault="004D53EC" w:rsidP="00E6279B">
      <w:pPr>
        <w:jc w:val="both"/>
        <w:rPr>
          <w:sz w:val="24"/>
          <w:lang w:val="sq-AL"/>
        </w:rPr>
        <w:sectPr w:rsidR="004D53EC" w:rsidRPr="0032048B">
          <w:pgSz w:w="11910" w:h="16840"/>
          <w:pgMar w:top="1360" w:right="460" w:bottom="1460" w:left="460" w:header="0" w:footer="1248" w:gutter="0"/>
          <w:cols w:space="720"/>
        </w:sectPr>
      </w:pPr>
    </w:p>
    <w:p w14:paraId="7908993C" w14:textId="77777777" w:rsidR="00E6279B" w:rsidRPr="0032048B" w:rsidRDefault="00E6279B" w:rsidP="00E6279B">
      <w:pPr>
        <w:pStyle w:val="BodyText"/>
        <w:spacing w:before="143"/>
        <w:ind w:right="0"/>
        <w:rPr>
          <w:lang w:val="sq-AL"/>
        </w:rPr>
      </w:pPr>
      <w:r w:rsidRPr="0032048B">
        <w:rPr>
          <w:u w:val="single"/>
          <w:lang w:val="sq-AL" w:bidi="sq-AL"/>
        </w:rPr>
        <w:t>Kontrolli i brendshëm financiar publik (PIFC)</w:t>
      </w:r>
    </w:p>
    <w:p w14:paraId="59EB84FD" w14:textId="77777777" w:rsidR="00E6279B" w:rsidRPr="0032048B" w:rsidRDefault="00E6279B" w:rsidP="00E6279B">
      <w:pPr>
        <w:pStyle w:val="BodyText"/>
        <w:ind w:left="979"/>
        <w:rPr>
          <w:lang w:val="sq-AL"/>
        </w:rPr>
      </w:pPr>
      <w:r w:rsidRPr="0032048B">
        <w:rPr>
          <w:lang w:val="sq-AL" w:bidi="sq-AL"/>
        </w:rPr>
        <w:t xml:space="preserve">Për PIFC-në është vënë në zbatim një </w:t>
      </w:r>
      <w:r w:rsidRPr="0032048B">
        <w:rPr>
          <w:b/>
          <w:lang w:val="sq-AL" w:bidi="sq-AL"/>
        </w:rPr>
        <w:t>kuadër strategjik.</w:t>
      </w:r>
      <w:r w:rsidRPr="0032048B">
        <w:rPr>
          <w:lang w:val="sq-AL" w:bidi="sq-AL"/>
        </w:rPr>
        <w:t xml:space="preserve"> Masat e PIFC-së janë përfshirë në menaxhimin financiar publik dhe strategjitë për reformën e administratës publike, dhe janë përcaktuar gjithashtu edhe në dokumentin e politikave për PIFC-në 2021-2022. Dokumenti i veçantë i politikave të PIFC-së do të integrohet brenda vitit 2023 në strategjinë e MFP-së 2023-2030, e cila po përgatitet. Raportet vjetore të PIFC-së përgatiten bazuar në dhe përmbledhin veprimtari raportimi dhe gjetje të vlerësimeve dhe vetëvlerësimeve lidhur me kontrollin dhe </w:t>
      </w:r>
      <w:proofErr w:type="spellStart"/>
      <w:r w:rsidRPr="0032048B">
        <w:rPr>
          <w:lang w:val="sq-AL" w:bidi="sq-AL"/>
        </w:rPr>
        <w:t>auditin</w:t>
      </w:r>
      <w:proofErr w:type="spellEnd"/>
      <w:r w:rsidRPr="0032048B">
        <w:rPr>
          <w:lang w:val="sq-AL" w:bidi="sq-AL"/>
        </w:rPr>
        <w:t xml:space="preserve"> e brendshëm. Ato i dorëzohen Këshillit të Ministrave dhe Kuvendit në kuadër të procesit të miratimit të buxhetit.</w:t>
      </w:r>
    </w:p>
    <w:p w14:paraId="3B59B0DB" w14:textId="77777777" w:rsidR="00E6279B" w:rsidRPr="0032048B" w:rsidRDefault="00E6279B" w:rsidP="00E6279B">
      <w:pPr>
        <w:pStyle w:val="BodyText"/>
        <w:spacing w:before="121"/>
        <w:rPr>
          <w:lang w:val="sq-AL"/>
        </w:rPr>
      </w:pPr>
      <w:r w:rsidRPr="0032048B">
        <w:rPr>
          <w:lang w:val="sq-AL" w:bidi="sq-AL"/>
        </w:rPr>
        <w:t xml:space="preserve">Sistemi i </w:t>
      </w:r>
      <w:r w:rsidRPr="0032048B">
        <w:rPr>
          <w:b/>
          <w:lang w:val="sq-AL" w:bidi="sq-AL"/>
        </w:rPr>
        <w:t xml:space="preserve">kontrollit të brendshëm </w:t>
      </w:r>
      <w:r w:rsidRPr="0032048B">
        <w:rPr>
          <w:lang w:val="sq-AL" w:bidi="sq-AL"/>
        </w:rPr>
        <w:t xml:space="preserve">është pjesërisht i efektshëm. Legjislacioni për kontrollin e brendshëm është kryesisht në përputhje me standardet ndërkombëtare. Ndryshimet e ligjit u miratuan në shkurt të vitit 2023, me qëllim shtrëngimin e alternativave të ekzekutimit dhe qartësimin e roleve dhe përgjegjësive. Ministria e Financave dhe Ekonomisë është përgjegjëse për monitorimin e zbatimit. Shqipëria ka zbatuar një sërë masash për përmirësimin e sistemit të kontrollit të brendshëm, veçanërisht për përmirësimin e ekzekutimit të procedurave dhe zhvillimin e kapaciteteve të nëpunësve civilë. Megjithatë, përpjekje të mëtejshme janë të nevojshme me qëllim përparimin e zbatimit të reformave për PIFC-në. Menaxhimi i riskut është ende në fazë të hershme në të gjitha nivelet dhe duhet të integrohet më mirë në menaxhimin e proceseve financiare ose </w:t>
      </w:r>
      <w:proofErr w:type="spellStart"/>
      <w:r w:rsidRPr="0032048B">
        <w:rPr>
          <w:lang w:val="sq-AL" w:bidi="sq-AL"/>
        </w:rPr>
        <w:t>operacionale</w:t>
      </w:r>
      <w:proofErr w:type="spellEnd"/>
      <w:r w:rsidRPr="0032048B">
        <w:rPr>
          <w:lang w:val="sq-AL" w:bidi="sq-AL"/>
        </w:rPr>
        <w:t>.</w:t>
      </w:r>
    </w:p>
    <w:p w14:paraId="7AE29E51" w14:textId="77777777" w:rsidR="00E6279B" w:rsidRPr="0032048B" w:rsidRDefault="00E6279B" w:rsidP="00E6279B">
      <w:pPr>
        <w:pStyle w:val="BodyText"/>
        <w:ind w:right="977"/>
        <w:rPr>
          <w:lang w:val="sq-AL"/>
        </w:rPr>
      </w:pPr>
      <w:r w:rsidRPr="0032048B">
        <w:rPr>
          <w:b/>
          <w:lang w:val="sq-AL" w:bidi="sq-AL"/>
        </w:rPr>
        <w:t xml:space="preserve">Llogaridhënia </w:t>
      </w:r>
      <w:proofErr w:type="spellStart"/>
      <w:r w:rsidRPr="0032048B">
        <w:rPr>
          <w:lang w:val="sq-AL" w:bidi="sq-AL"/>
        </w:rPr>
        <w:t>menaxheriale</w:t>
      </w:r>
      <w:proofErr w:type="spellEnd"/>
      <w:r w:rsidRPr="0032048B">
        <w:rPr>
          <w:lang w:val="sq-AL" w:bidi="sq-AL"/>
        </w:rPr>
        <w:t xml:space="preserve"> nuk është mishëruar ende plotësisht në legjislacion dhe praktikën administrative. Udhëzimet që janë miratuar për delegimin e përgjegjësive financiare duhet të zbatohen dhe të shoqërohen me delegimin e përgjegjësive </w:t>
      </w:r>
      <w:proofErr w:type="spellStart"/>
      <w:r w:rsidRPr="0032048B">
        <w:rPr>
          <w:lang w:val="sq-AL" w:bidi="sq-AL"/>
        </w:rPr>
        <w:t>operacionale</w:t>
      </w:r>
      <w:proofErr w:type="spellEnd"/>
      <w:r w:rsidRPr="0032048B">
        <w:rPr>
          <w:lang w:val="sq-AL" w:bidi="sq-AL"/>
        </w:rPr>
        <w:t xml:space="preserve"> dhe administrative, me qëllim përmirësimin e përgjithshëm të llogaridhënies </w:t>
      </w:r>
      <w:proofErr w:type="spellStart"/>
      <w:r w:rsidRPr="0032048B">
        <w:rPr>
          <w:lang w:val="sq-AL" w:bidi="sq-AL"/>
        </w:rPr>
        <w:t>menaxheriale</w:t>
      </w:r>
      <w:proofErr w:type="spellEnd"/>
      <w:r w:rsidRPr="0032048B">
        <w:rPr>
          <w:lang w:val="sq-AL" w:bidi="sq-AL"/>
        </w:rPr>
        <w:t>. Në praktikë, vetëm një numër shumë i vogël i vendimeve administrative i delegohen niveleve më të ulëta për shkak të sistemit të centralizuar të vendimmarrjes.</w:t>
      </w:r>
    </w:p>
    <w:p w14:paraId="62E084AE" w14:textId="77777777" w:rsidR="00E6279B" w:rsidRPr="0032048B" w:rsidRDefault="00E6279B" w:rsidP="00E6279B">
      <w:pPr>
        <w:pStyle w:val="BodyText"/>
        <w:ind w:right="977"/>
        <w:rPr>
          <w:lang w:val="sq-AL"/>
        </w:rPr>
      </w:pPr>
      <w:r w:rsidRPr="0032048B">
        <w:rPr>
          <w:lang w:val="sq-AL" w:bidi="sq-AL"/>
        </w:rPr>
        <w:t xml:space="preserve">Kuadri ligjor për </w:t>
      </w:r>
      <w:r w:rsidRPr="0032048B">
        <w:rPr>
          <w:b/>
          <w:lang w:val="sq-AL" w:bidi="sq-AL"/>
        </w:rPr>
        <w:t xml:space="preserve">praktikën e </w:t>
      </w:r>
      <w:proofErr w:type="spellStart"/>
      <w:r w:rsidRPr="0032048B">
        <w:rPr>
          <w:b/>
          <w:lang w:val="sq-AL" w:bidi="sq-AL"/>
        </w:rPr>
        <w:t>auditit</w:t>
      </w:r>
      <w:proofErr w:type="spellEnd"/>
      <w:r w:rsidRPr="0032048B">
        <w:rPr>
          <w:b/>
          <w:lang w:val="sq-AL" w:bidi="sq-AL"/>
        </w:rPr>
        <w:t xml:space="preserve"> të brendshëm</w:t>
      </w:r>
      <w:r w:rsidRPr="0032048B">
        <w:rPr>
          <w:lang w:val="sq-AL" w:bidi="sq-AL"/>
        </w:rPr>
        <w:t xml:space="preserve"> është në përputhje me standardet ndërkombëtare. Ligji u ndryshua në shkurt të vitit 2023 me qëllim forcimin e pavarësisë së </w:t>
      </w:r>
      <w:proofErr w:type="spellStart"/>
      <w:r w:rsidRPr="0032048B">
        <w:rPr>
          <w:lang w:val="sq-AL" w:bidi="sq-AL"/>
        </w:rPr>
        <w:t>auditit</w:t>
      </w:r>
      <w:proofErr w:type="spellEnd"/>
      <w:r w:rsidRPr="0032048B">
        <w:rPr>
          <w:lang w:val="sq-AL" w:bidi="sq-AL"/>
        </w:rPr>
        <w:t xml:space="preserve"> të brendshëm, përditësimin e kërkesave të përbërjes organizative dhe qartësimin e mënyrës së trajtimit të rasteve të dyshimit për korrupsion ose mashtrim.</w:t>
      </w:r>
    </w:p>
    <w:p w14:paraId="5A4EFFC5" w14:textId="77777777" w:rsidR="00E6279B" w:rsidRPr="0032048B" w:rsidRDefault="00E6279B" w:rsidP="00E6279B">
      <w:pPr>
        <w:pStyle w:val="BodyText"/>
        <w:rPr>
          <w:lang w:val="sq-AL"/>
        </w:rPr>
      </w:pPr>
      <w:r w:rsidRPr="0032048B">
        <w:rPr>
          <w:lang w:val="sq-AL" w:bidi="sq-AL"/>
        </w:rPr>
        <w:t xml:space="preserve">Në fund të vitit 2022, 83% e njësive të </w:t>
      </w:r>
      <w:proofErr w:type="spellStart"/>
      <w:r w:rsidRPr="0032048B">
        <w:rPr>
          <w:lang w:val="sq-AL" w:bidi="sq-AL"/>
        </w:rPr>
        <w:t>auditit</w:t>
      </w:r>
      <w:proofErr w:type="spellEnd"/>
      <w:r w:rsidRPr="0032048B">
        <w:rPr>
          <w:lang w:val="sq-AL" w:bidi="sq-AL"/>
        </w:rPr>
        <w:t xml:space="preserve"> të brendshëm u vlerësuan si të ngritura në përputhje me kërkesat ligjore. Gjithsej 31 njësi publike (kryesisht bashki të vogla dhe institucione të pavarura) nuk janë ngritur ende njësitë e tyre të </w:t>
      </w:r>
      <w:proofErr w:type="spellStart"/>
      <w:r w:rsidRPr="0032048B">
        <w:rPr>
          <w:lang w:val="sq-AL" w:bidi="sq-AL"/>
        </w:rPr>
        <w:t>auditit</w:t>
      </w:r>
      <w:proofErr w:type="spellEnd"/>
      <w:r w:rsidRPr="0032048B">
        <w:rPr>
          <w:lang w:val="sq-AL" w:bidi="sq-AL"/>
        </w:rPr>
        <w:t xml:space="preserve"> të brendshëm ose kanë përcaktuar një mënyrë tjetër organizimi, dhe disa prej tyre nuk kanë personel të mjaftueshëm. Në vitin 2022, kishte gjithsej 434 </w:t>
      </w:r>
      <w:proofErr w:type="spellStart"/>
      <w:r w:rsidRPr="0032048B">
        <w:rPr>
          <w:lang w:val="sq-AL" w:bidi="sq-AL"/>
        </w:rPr>
        <w:t>auditues</w:t>
      </w:r>
      <w:proofErr w:type="spellEnd"/>
      <w:r w:rsidRPr="0032048B">
        <w:rPr>
          <w:lang w:val="sq-AL" w:bidi="sq-AL"/>
        </w:rPr>
        <w:t xml:space="preserve"> të brendshëm, nga të cilët 353 kishin certifikim bazë (rritje nga 342 në vitin 2021 dhe 318 në vitin 2020). Është ngritur një sistem i ri për certifikimin e avancuar të </w:t>
      </w:r>
      <w:proofErr w:type="spellStart"/>
      <w:r w:rsidRPr="0032048B">
        <w:rPr>
          <w:lang w:val="sq-AL" w:bidi="sq-AL"/>
        </w:rPr>
        <w:t>audituesve</w:t>
      </w:r>
      <w:proofErr w:type="spellEnd"/>
      <w:r w:rsidRPr="0032048B">
        <w:rPr>
          <w:lang w:val="sq-AL" w:bidi="sq-AL"/>
        </w:rPr>
        <w:t xml:space="preserve"> dhe një grup i parë prej 25 pjesëmarrësish është përzgjedhur.</w:t>
      </w:r>
    </w:p>
    <w:p w14:paraId="23B70C5F" w14:textId="77777777" w:rsidR="00E6279B" w:rsidRPr="0032048B" w:rsidRDefault="00E6279B" w:rsidP="00E6279B">
      <w:pPr>
        <w:pStyle w:val="BodyText"/>
        <w:rPr>
          <w:lang w:val="sq-AL"/>
        </w:rPr>
      </w:pPr>
      <w:r w:rsidRPr="0032048B">
        <w:rPr>
          <w:lang w:val="sq-AL" w:bidi="sq-AL"/>
        </w:rPr>
        <w:t xml:space="preserve">Fakti që sistemi i </w:t>
      </w:r>
      <w:proofErr w:type="spellStart"/>
      <w:r w:rsidRPr="0032048B">
        <w:rPr>
          <w:lang w:val="sq-AL" w:bidi="sq-AL"/>
        </w:rPr>
        <w:t>auditit</w:t>
      </w:r>
      <w:proofErr w:type="spellEnd"/>
      <w:r w:rsidRPr="0032048B">
        <w:rPr>
          <w:lang w:val="sq-AL" w:bidi="sq-AL"/>
        </w:rPr>
        <w:t xml:space="preserve"> të brendshëm nuk nxjerr ende opinione </w:t>
      </w:r>
      <w:proofErr w:type="spellStart"/>
      <w:r w:rsidRPr="0032048B">
        <w:rPr>
          <w:lang w:val="sq-AL" w:bidi="sq-AL"/>
        </w:rPr>
        <w:t>auditimi</w:t>
      </w:r>
      <w:proofErr w:type="spellEnd"/>
      <w:r w:rsidRPr="0032048B">
        <w:rPr>
          <w:lang w:val="sq-AL" w:bidi="sq-AL"/>
        </w:rPr>
        <w:t xml:space="preserve"> për </w:t>
      </w:r>
      <w:proofErr w:type="spellStart"/>
      <w:r w:rsidRPr="0032048B">
        <w:rPr>
          <w:lang w:val="sq-AL" w:bidi="sq-AL"/>
        </w:rPr>
        <w:t>efektshmërinë</w:t>
      </w:r>
      <w:proofErr w:type="spellEnd"/>
      <w:r w:rsidRPr="0032048B">
        <w:rPr>
          <w:lang w:val="sq-AL" w:bidi="sq-AL"/>
        </w:rPr>
        <w:t xml:space="preserve"> e sistemeve të kontrollit të brendshëm në organe të ndryshme buxhetore, vijon të jetë problem.</w:t>
      </w:r>
    </w:p>
    <w:p w14:paraId="40627041" w14:textId="77777777" w:rsidR="00E6279B" w:rsidRPr="0032048B" w:rsidRDefault="00E6279B" w:rsidP="00E6279B">
      <w:pPr>
        <w:pStyle w:val="BodyText"/>
        <w:ind w:right="977"/>
        <w:rPr>
          <w:lang w:val="sq-AL"/>
        </w:rPr>
      </w:pPr>
      <w:r w:rsidRPr="0032048B">
        <w:rPr>
          <w:lang w:val="sq-AL" w:bidi="sq-AL"/>
        </w:rPr>
        <w:t xml:space="preserve">Në vitin 2022, </w:t>
      </w:r>
      <w:r w:rsidRPr="0032048B">
        <w:rPr>
          <w:b/>
          <w:lang w:val="sq-AL" w:bidi="sq-AL"/>
        </w:rPr>
        <w:t>Njësia Qendrore e Harmonizimit</w:t>
      </w:r>
      <w:r w:rsidRPr="0032048B">
        <w:rPr>
          <w:lang w:val="sq-AL" w:bidi="sq-AL"/>
        </w:rPr>
        <w:t xml:space="preserve"> vlerësoi përmbushjen e manualeve dhe udhëzimeve të veprimtarive të </w:t>
      </w:r>
      <w:proofErr w:type="spellStart"/>
      <w:r w:rsidRPr="0032048B">
        <w:rPr>
          <w:lang w:val="sq-AL" w:bidi="sq-AL"/>
        </w:rPr>
        <w:t>auditit</w:t>
      </w:r>
      <w:proofErr w:type="spellEnd"/>
      <w:r w:rsidRPr="0032048B">
        <w:rPr>
          <w:lang w:val="sq-AL" w:bidi="sq-AL"/>
        </w:rPr>
        <w:t xml:space="preserve"> të brendshëm, në 25 njësi të </w:t>
      </w:r>
      <w:proofErr w:type="spellStart"/>
      <w:r w:rsidRPr="0032048B">
        <w:rPr>
          <w:lang w:val="sq-AL" w:bidi="sq-AL"/>
        </w:rPr>
        <w:t>auditit</w:t>
      </w:r>
      <w:proofErr w:type="spellEnd"/>
      <w:r w:rsidRPr="0032048B">
        <w:rPr>
          <w:lang w:val="sq-AL" w:bidi="sq-AL"/>
        </w:rPr>
        <w:t xml:space="preserve"> të brendshëm. Ajo arriti në përfundimin se vetëm 36% e tyre kishin përmbushje të pjesshme ose të plotë.</w:t>
      </w:r>
    </w:p>
    <w:p w14:paraId="1D4501AF" w14:textId="5DCFC25E" w:rsidR="00E6279B" w:rsidRPr="0032048B" w:rsidRDefault="00E6279B" w:rsidP="006C790B">
      <w:pPr>
        <w:pStyle w:val="BodyText"/>
        <w:ind w:right="977"/>
        <w:rPr>
          <w:lang w:val="sq-AL"/>
        </w:rPr>
      </w:pPr>
      <w:r w:rsidRPr="0032048B">
        <w:rPr>
          <w:lang w:val="sq-AL" w:bidi="sq-AL"/>
        </w:rPr>
        <w:t xml:space="preserve">Sistemet </w:t>
      </w:r>
      <w:proofErr w:type="spellStart"/>
      <w:r w:rsidRPr="0032048B">
        <w:rPr>
          <w:lang w:val="sq-AL" w:bidi="sq-AL"/>
        </w:rPr>
        <w:t>mirëfunksionuese</w:t>
      </w:r>
      <w:proofErr w:type="spellEnd"/>
      <w:r w:rsidRPr="0032048B">
        <w:rPr>
          <w:lang w:val="sq-AL" w:bidi="sq-AL"/>
        </w:rPr>
        <w:t xml:space="preserve"> të kontrollit të brendshëm, </w:t>
      </w:r>
      <w:proofErr w:type="spellStart"/>
      <w:r w:rsidRPr="0032048B">
        <w:rPr>
          <w:lang w:val="sq-AL" w:bidi="sq-AL"/>
        </w:rPr>
        <w:t>auditit</w:t>
      </w:r>
      <w:proofErr w:type="spellEnd"/>
      <w:r w:rsidRPr="0032048B">
        <w:rPr>
          <w:lang w:val="sq-AL" w:bidi="sq-AL"/>
        </w:rPr>
        <w:t xml:space="preserve"> të brendshëm dhe inspektimit janë kritike për forcimin e sistemeve të parandalimit të korrupsionit. Rishikimi i kohëve të fundit i ligjit për </w:t>
      </w:r>
      <w:proofErr w:type="spellStart"/>
      <w:r w:rsidRPr="0032048B">
        <w:rPr>
          <w:lang w:val="sq-AL" w:bidi="sq-AL"/>
        </w:rPr>
        <w:t>auditin</w:t>
      </w:r>
      <w:proofErr w:type="spellEnd"/>
      <w:r w:rsidRPr="0032048B">
        <w:rPr>
          <w:lang w:val="sq-AL" w:bidi="sq-AL"/>
        </w:rPr>
        <w:t xml:space="preserve"> e brendshëm ka qartësuar procedurat e </w:t>
      </w:r>
      <w:proofErr w:type="spellStart"/>
      <w:r w:rsidRPr="0032048B">
        <w:rPr>
          <w:lang w:val="sq-AL" w:bidi="sq-AL"/>
        </w:rPr>
        <w:t>audituesve</w:t>
      </w:r>
      <w:proofErr w:type="spellEnd"/>
      <w:r w:rsidRPr="0032048B">
        <w:rPr>
          <w:lang w:val="sq-AL" w:bidi="sq-AL"/>
        </w:rPr>
        <w:t xml:space="preserve"> të brendshëm, kur </w:t>
      </w:r>
      <w:r w:rsidRPr="0032048B">
        <w:rPr>
          <w:lang w:val="sq-AL" w:bidi="sq-AL"/>
        </w:rPr>
        <w:lastRenderedPageBreak/>
        <w:t xml:space="preserve">këta përballen me vepra të mundshme penale (raportim tek inspektori financiar dhe pezullim i </w:t>
      </w:r>
      <w:proofErr w:type="spellStart"/>
      <w:r w:rsidRPr="0032048B">
        <w:rPr>
          <w:lang w:val="sq-AL" w:bidi="sq-AL"/>
        </w:rPr>
        <w:t>auditit</w:t>
      </w:r>
      <w:proofErr w:type="spellEnd"/>
      <w:r w:rsidRPr="0032048B">
        <w:rPr>
          <w:lang w:val="sq-AL" w:bidi="sq-AL"/>
        </w:rPr>
        <w:t>). Në vitin 2021, inspektimit financiar i janë raportuar 6</w:t>
      </w:r>
      <w:r w:rsidR="004D53EC">
        <w:rPr>
          <w:lang w:val="sq-AL" w:bidi="sq-AL"/>
        </w:rPr>
        <w:t xml:space="preserve"> </w:t>
      </w:r>
      <w:r w:rsidRPr="0032048B">
        <w:rPr>
          <w:lang w:val="sq-AL" w:bidi="sq-AL"/>
        </w:rPr>
        <w:t xml:space="preserve">raste nga </w:t>
      </w:r>
      <w:proofErr w:type="spellStart"/>
      <w:r w:rsidRPr="0032048B">
        <w:rPr>
          <w:lang w:val="sq-AL" w:bidi="sq-AL"/>
        </w:rPr>
        <w:t>auditi</w:t>
      </w:r>
      <w:proofErr w:type="spellEnd"/>
      <w:r w:rsidRPr="0032048B">
        <w:rPr>
          <w:lang w:val="sq-AL" w:bidi="sq-AL"/>
        </w:rPr>
        <w:t xml:space="preserve"> i brendshëm. Inspektimi financiar i ka referuar relativisht pak raste Prokurorisë (1 në vitin 2021).</w:t>
      </w:r>
    </w:p>
    <w:p w14:paraId="7B5E51D7" w14:textId="77777777" w:rsidR="00E6279B" w:rsidRPr="0032048B" w:rsidRDefault="00E6279B" w:rsidP="00E6279B">
      <w:pPr>
        <w:pStyle w:val="BodyText"/>
        <w:ind w:right="0"/>
        <w:rPr>
          <w:lang w:val="sq-AL"/>
        </w:rPr>
      </w:pPr>
      <w:proofErr w:type="spellStart"/>
      <w:r w:rsidRPr="0032048B">
        <w:rPr>
          <w:u w:val="single"/>
          <w:lang w:val="sq-AL" w:bidi="sq-AL"/>
        </w:rPr>
        <w:t>Auditi</w:t>
      </w:r>
      <w:proofErr w:type="spellEnd"/>
      <w:r w:rsidRPr="0032048B">
        <w:rPr>
          <w:u w:val="single"/>
          <w:lang w:val="sq-AL" w:bidi="sq-AL"/>
        </w:rPr>
        <w:t xml:space="preserve"> i jashtëm</w:t>
      </w:r>
    </w:p>
    <w:p w14:paraId="6C7698F1" w14:textId="77777777" w:rsidR="00E6279B" w:rsidRPr="0032048B" w:rsidRDefault="00E6279B" w:rsidP="00E6279B">
      <w:pPr>
        <w:pStyle w:val="BodyText"/>
        <w:ind w:right="977"/>
        <w:rPr>
          <w:lang w:val="sq-AL"/>
        </w:rPr>
      </w:pPr>
      <w:r w:rsidRPr="0032048B">
        <w:rPr>
          <w:lang w:val="sq-AL" w:bidi="sq-AL"/>
        </w:rPr>
        <w:t xml:space="preserve">Në përputhje me standardet e Organizatës Ndërkombëtare të Institucioneve të </w:t>
      </w:r>
      <w:proofErr w:type="spellStart"/>
      <w:r w:rsidRPr="0032048B">
        <w:rPr>
          <w:lang w:val="sq-AL" w:bidi="sq-AL"/>
        </w:rPr>
        <w:t>Auditit</w:t>
      </w:r>
      <w:proofErr w:type="spellEnd"/>
      <w:r w:rsidRPr="0032048B">
        <w:rPr>
          <w:lang w:val="sq-AL" w:bidi="sq-AL"/>
        </w:rPr>
        <w:t xml:space="preserve"> të Lartë, </w:t>
      </w:r>
      <w:r w:rsidRPr="0032048B">
        <w:rPr>
          <w:b/>
          <w:lang w:val="sq-AL" w:bidi="sq-AL"/>
        </w:rPr>
        <w:t xml:space="preserve">kuadri kushtetues dhe ligjor </w:t>
      </w:r>
      <w:r w:rsidRPr="0032048B">
        <w:rPr>
          <w:lang w:val="sq-AL" w:bidi="sq-AL"/>
        </w:rPr>
        <w:t>i Shqipërisë garanton pavarësinë e Kontrollit të Lartë të Shtetit. Kontrolli i Lartë i Shtetit ka miratuar planin e ri të zhvillimit strategjik për periudhën 2023-2027.</w:t>
      </w:r>
    </w:p>
    <w:p w14:paraId="1CD64EDD" w14:textId="77777777" w:rsidR="00E6279B" w:rsidRPr="0032048B" w:rsidRDefault="00E6279B" w:rsidP="00E6279B">
      <w:pPr>
        <w:pStyle w:val="BodyText"/>
        <w:rPr>
          <w:lang w:val="sq-AL"/>
        </w:rPr>
      </w:pPr>
      <w:r w:rsidRPr="0032048B">
        <w:rPr>
          <w:lang w:val="sq-AL" w:bidi="sq-AL"/>
        </w:rPr>
        <w:t xml:space="preserve">Shqipëria duhet të përmirësojë zbatimin e rekomandimeve të </w:t>
      </w:r>
      <w:proofErr w:type="spellStart"/>
      <w:r w:rsidRPr="0032048B">
        <w:rPr>
          <w:lang w:val="sq-AL" w:bidi="sq-AL"/>
        </w:rPr>
        <w:t>auditit</w:t>
      </w:r>
      <w:proofErr w:type="spellEnd"/>
      <w:r w:rsidRPr="0032048B">
        <w:rPr>
          <w:lang w:val="sq-AL" w:bidi="sq-AL"/>
        </w:rPr>
        <w:t xml:space="preserve"> të jashtëm dhe të zhvillojë më tej mbikëqyrjen parlamentare të organeve të </w:t>
      </w:r>
      <w:proofErr w:type="spellStart"/>
      <w:r w:rsidRPr="0032048B">
        <w:rPr>
          <w:lang w:val="sq-AL" w:bidi="sq-AL"/>
        </w:rPr>
        <w:t>audituara</w:t>
      </w:r>
      <w:proofErr w:type="spellEnd"/>
      <w:r w:rsidRPr="0032048B">
        <w:rPr>
          <w:lang w:val="sq-AL" w:bidi="sq-AL"/>
        </w:rPr>
        <w:t xml:space="preserve">. Kontrolli i Lartë i Shtetit ka vijuar të ndërmarrë hapa për përmirësimin e </w:t>
      </w:r>
      <w:r w:rsidRPr="0032048B">
        <w:rPr>
          <w:b/>
          <w:lang w:val="sq-AL" w:bidi="sq-AL"/>
        </w:rPr>
        <w:t>kapaciteteve të tij institucionale</w:t>
      </w:r>
      <w:r w:rsidRPr="0032048B">
        <w:rPr>
          <w:lang w:val="sq-AL" w:bidi="sq-AL"/>
        </w:rPr>
        <w:t xml:space="preserve">. Ai zbaton veprimtari të përvitshme të zhvillimit profesional për personelin e </w:t>
      </w:r>
      <w:proofErr w:type="spellStart"/>
      <w:r w:rsidRPr="0032048B">
        <w:rPr>
          <w:lang w:val="sq-AL" w:bidi="sq-AL"/>
        </w:rPr>
        <w:t>auditit</w:t>
      </w:r>
      <w:proofErr w:type="spellEnd"/>
      <w:r w:rsidRPr="0032048B">
        <w:rPr>
          <w:lang w:val="sq-AL" w:bidi="sq-AL"/>
        </w:rPr>
        <w:t xml:space="preserve">. Numri i personelit është rritur në 212, pjesërisht si përgjigje ndaj detyrimit të përcaktuar nga Gjykata e Lartë për </w:t>
      </w:r>
      <w:proofErr w:type="spellStart"/>
      <w:r w:rsidRPr="0032048B">
        <w:rPr>
          <w:lang w:val="sq-AL" w:bidi="sq-AL"/>
        </w:rPr>
        <w:t>auditimin</w:t>
      </w:r>
      <w:proofErr w:type="spellEnd"/>
      <w:r w:rsidRPr="0032048B">
        <w:rPr>
          <w:lang w:val="sq-AL" w:bidi="sq-AL"/>
        </w:rPr>
        <w:t xml:space="preserve"> e të 61 bashkive rregullisht.</w:t>
      </w:r>
    </w:p>
    <w:p w14:paraId="649C2AC2" w14:textId="77777777" w:rsidR="00E6279B" w:rsidRPr="0032048B" w:rsidRDefault="00E6279B" w:rsidP="00E6279B">
      <w:pPr>
        <w:pStyle w:val="BodyText"/>
        <w:rPr>
          <w:lang w:val="sq-AL"/>
        </w:rPr>
      </w:pPr>
      <w:r w:rsidRPr="0032048B">
        <w:rPr>
          <w:b/>
          <w:lang w:val="sq-AL" w:bidi="sq-AL"/>
        </w:rPr>
        <w:t xml:space="preserve">Cilësia e punës </w:t>
      </w:r>
      <w:proofErr w:type="spellStart"/>
      <w:r w:rsidRPr="0032048B">
        <w:rPr>
          <w:b/>
          <w:lang w:val="sq-AL" w:bidi="sq-AL"/>
        </w:rPr>
        <w:t>audituese</w:t>
      </w:r>
      <w:proofErr w:type="spellEnd"/>
      <w:r w:rsidRPr="0032048B">
        <w:rPr>
          <w:lang w:val="sq-AL" w:bidi="sq-AL"/>
        </w:rPr>
        <w:t xml:space="preserve"> duhet të përmirësohet më tej për të përmbushur plotësisht standardet e Organizatës Ndërkombëtare të Institucioneve të </w:t>
      </w:r>
      <w:proofErr w:type="spellStart"/>
      <w:r w:rsidRPr="0032048B">
        <w:rPr>
          <w:lang w:val="sq-AL" w:bidi="sq-AL"/>
        </w:rPr>
        <w:t>Auditit</w:t>
      </w:r>
      <w:proofErr w:type="spellEnd"/>
      <w:r w:rsidRPr="0032048B">
        <w:rPr>
          <w:lang w:val="sq-AL" w:bidi="sq-AL"/>
        </w:rPr>
        <w:t xml:space="preserve"> të Lartë. Në vitin 2022, u përditësuan manualet e </w:t>
      </w:r>
      <w:proofErr w:type="spellStart"/>
      <w:r w:rsidRPr="0032048B">
        <w:rPr>
          <w:lang w:val="sq-AL" w:bidi="sq-AL"/>
        </w:rPr>
        <w:t>auditit</w:t>
      </w:r>
      <w:proofErr w:type="spellEnd"/>
      <w:r w:rsidRPr="0032048B">
        <w:rPr>
          <w:lang w:val="sq-AL" w:bidi="sq-AL"/>
        </w:rPr>
        <w:t xml:space="preserve"> të përmbushjes dhe </w:t>
      </w:r>
      <w:proofErr w:type="spellStart"/>
      <w:r w:rsidRPr="0032048B">
        <w:rPr>
          <w:lang w:val="sq-AL" w:bidi="sq-AL"/>
        </w:rPr>
        <w:t>performancës</w:t>
      </w:r>
      <w:proofErr w:type="spellEnd"/>
      <w:r w:rsidRPr="0032048B">
        <w:rPr>
          <w:lang w:val="sq-AL" w:bidi="sq-AL"/>
        </w:rPr>
        <w:t xml:space="preserve">. Objektivat e Kontrollit të Lartë të Shtetit kanë ndryshuar nga </w:t>
      </w:r>
      <w:proofErr w:type="spellStart"/>
      <w:r w:rsidRPr="0032048B">
        <w:rPr>
          <w:lang w:val="sq-AL" w:bidi="sq-AL"/>
        </w:rPr>
        <w:t>auditet</w:t>
      </w:r>
      <w:proofErr w:type="spellEnd"/>
      <w:r w:rsidRPr="0032048B">
        <w:rPr>
          <w:lang w:val="sq-AL" w:bidi="sq-AL"/>
        </w:rPr>
        <w:t xml:space="preserve"> e përmbushjes dhe rregullsisë tek ato të </w:t>
      </w:r>
      <w:proofErr w:type="spellStart"/>
      <w:r w:rsidRPr="0032048B">
        <w:rPr>
          <w:lang w:val="sq-AL" w:bidi="sq-AL"/>
        </w:rPr>
        <w:t>performancës</w:t>
      </w:r>
      <w:proofErr w:type="spellEnd"/>
      <w:r w:rsidRPr="0032048B">
        <w:rPr>
          <w:lang w:val="sq-AL" w:bidi="sq-AL"/>
        </w:rPr>
        <w:t xml:space="preserve"> dhe financiarë. Institucioni zbaton një qasje të </w:t>
      </w:r>
      <w:proofErr w:type="spellStart"/>
      <w:r w:rsidRPr="0032048B">
        <w:rPr>
          <w:lang w:val="sq-AL" w:bidi="sq-AL"/>
        </w:rPr>
        <w:t>auditit</w:t>
      </w:r>
      <w:proofErr w:type="spellEnd"/>
      <w:r w:rsidRPr="0032048B">
        <w:rPr>
          <w:lang w:val="sq-AL" w:bidi="sq-AL"/>
        </w:rPr>
        <w:t xml:space="preserve"> të jashtëm të bazuar në risk.</w:t>
      </w:r>
    </w:p>
    <w:p w14:paraId="56213056" w14:textId="77777777" w:rsidR="00E6279B" w:rsidRPr="0032048B" w:rsidRDefault="00E6279B" w:rsidP="00E6279B">
      <w:pPr>
        <w:pStyle w:val="BodyText"/>
        <w:rPr>
          <w:lang w:val="sq-AL"/>
        </w:rPr>
      </w:pPr>
      <w:r w:rsidRPr="0032048B">
        <w:rPr>
          <w:b/>
          <w:lang w:val="sq-AL" w:bidi="sq-AL"/>
        </w:rPr>
        <w:t xml:space="preserve">Ndikimi i punës së </w:t>
      </w:r>
      <w:proofErr w:type="spellStart"/>
      <w:r w:rsidRPr="0032048B">
        <w:rPr>
          <w:b/>
          <w:lang w:val="sq-AL" w:bidi="sq-AL"/>
        </w:rPr>
        <w:t>auditit</w:t>
      </w:r>
      <w:proofErr w:type="spellEnd"/>
      <w:r w:rsidRPr="0032048B">
        <w:rPr>
          <w:lang w:val="sq-AL" w:bidi="sq-AL"/>
        </w:rPr>
        <w:t xml:space="preserve"> ka sjellë progres të mirë. Kontrolli i Lartë i Shtetit i Shqipërisë vijon të përgatisë raporte vjetore të veprimtarisë së vet, i boton ato në faqen e vet të internetit dhe i raporton Kuvendit sipas rregullave. </w:t>
      </w:r>
      <w:proofErr w:type="spellStart"/>
      <w:r w:rsidRPr="0032048B">
        <w:rPr>
          <w:lang w:val="sq-AL" w:bidi="sq-AL"/>
        </w:rPr>
        <w:t>Auditi</w:t>
      </w:r>
      <w:proofErr w:type="spellEnd"/>
      <w:r w:rsidRPr="0032048B">
        <w:rPr>
          <w:lang w:val="sq-AL" w:bidi="sq-AL"/>
        </w:rPr>
        <w:t xml:space="preserve"> i buxhetit të shtetit kryhet brenda afateve. Në vitin 2022, Kuvendit i janë dorëzuar 177 raporte </w:t>
      </w:r>
      <w:proofErr w:type="spellStart"/>
      <w:r w:rsidRPr="0032048B">
        <w:rPr>
          <w:lang w:val="sq-AL" w:bidi="sq-AL"/>
        </w:rPr>
        <w:t>auditi</w:t>
      </w:r>
      <w:proofErr w:type="spellEnd"/>
      <w:r w:rsidRPr="0032048B">
        <w:rPr>
          <w:lang w:val="sq-AL" w:bidi="sq-AL"/>
        </w:rPr>
        <w:t xml:space="preserve">. Kontrolli i Lartë i Shtetit raporton rregullisht edhe për zbatimin e rekomandimeve të lëna. Nivelin i zbatimit të rekomandimeve të </w:t>
      </w:r>
      <w:proofErr w:type="spellStart"/>
      <w:r w:rsidRPr="0032048B">
        <w:rPr>
          <w:lang w:val="sq-AL" w:bidi="sq-AL"/>
        </w:rPr>
        <w:t>auditit</w:t>
      </w:r>
      <w:proofErr w:type="spellEnd"/>
      <w:r w:rsidRPr="0032048B">
        <w:rPr>
          <w:lang w:val="sq-AL" w:bidi="sq-AL"/>
        </w:rPr>
        <w:t xml:space="preserve"> të jashtëm është ende i pamjaftueshëm (50% e rekomandimeve të lëna në vitin 2021 janë zbatuar plotësisht ose pjesërisht), megjithëse një pjesë e madhe e rekomandimeve (97%) janë pranuar nga institucionet. Mbikëqyrja parlamentare në organet e </w:t>
      </w:r>
      <w:proofErr w:type="spellStart"/>
      <w:r w:rsidRPr="0032048B">
        <w:rPr>
          <w:lang w:val="sq-AL" w:bidi="sq-AL"/>
        </w:rPr>
        <w:t>audituara</w:t>
      </w:r>
      <w:proofErr w:type="spellEnd"/>
      <w:r w:rsidRPr="0032048B">
        <w:rPr>
          <w:lang w:val="sq-AL" w:bidi="sq-AL"/>
        </w:rPr>
        <w:t xml:space="preserve"> për zbatimin e rekomandimeve është ende e kufizuar dhe duhet të shtohet, përmes </w:t>
      </w:r>
      <w:proofErr w:type="spellStart"/>
      <w:r w:rsidRPr="0032048B">
        <w:rPr>
          <w:lang w:val="sq-AL" w:bidi="sq-AL"/>
        </w:rPr>
        <w:t>dëgjesave</w:t>
      </w:r>
      <w:proofErr w:type="spellEnd"/>
      <w:r w:rsidRPr="0032048B">
        <w:rPr>
          <w:lang w:val="sq-AL" w:bidi="sq-AL"/>
        </w:rPr>
        <w:t xml:space="preserve"> më të shpeshta parlamentare dhe krijimit të një kuadri monitorimi parlamentar për vlerësimin e rregullt të veprimeve ndjekëse të qeverisë.</w:t>
      </w:r>
    </w:p>
    <w:p w14:paraId="5248479B" w14:textId="77777777" w:rsidR="00E6279B" w:rsidRPr="0032048B" w:rsidRDefault="00E6279B" w:rsidP="00E6279B">
      <w:pPr>
        <w:pStyle w:val="BodyText"/>
        <w:spacing w:before="119"/>
        <w:ind w:right="977"/>
        <w:rPr>
          <w:lang w:val="sq-AL"/>
        </w:rPr>
      </w:pPr>
      <w:r w:rsidRPr="0032048B">
        <w:rPr>
          <w:lang w:val="sq-AL" w:bidi="sq-AL"/>
        </w:rPr>
        <w:t xml:space="preserve">KLSH-ja ka të drejtën t'i referojë organeve të ndjekjes penale gjetje </w:t>
      </w:r>
      <w:proofErr w:type="spellStart"/>
      <w:r w:rsidRPr="0032048B">
        <w:rPr>
          <w:lang w:val="sq-AL" w:bidi="sq-AL"/>
        </w:rPr>
        <w:t>auditi</w:t>
      </w:r>
      <w:proofErr w:type="spellEnd"/>
      <w:r w:rsidRPr="0032048B">
        <w:rPr>
          <w:lang w:val="sq-AL" w:bidi="sq-AL"/>
        </w:rPr>
        <w:t xml:space="preserve"> që janë kompetencë e tyre. Në vitin 2022, KLSH i referoi Prokurorisë katër çështje penale, që përfshinin 16 zyrtarë, krahasuar me 14 çështje që përfshinin 62 punonjës në vitin 2021. Për më tepër, ai monitoron zbatimin e masave disiplinore të rekomanduara. KLSH-ja ka nënshkruar Marrëveshje Bashkëpunimi me Prokurorinë e Përgjithshme, SPAK-un dhe ILDKPKI.</w:t>
      </w:r>
    </w:p>
    <w:p w14:paraId="39EFE285" w14:textId="77777777" w:rsidR="00E6279B" w:rsidRPr="0032048B" w:rsidRDefault="00E6279B" w:rsidP="00E6279B">
      <w:pPr>
        <w:pStyle w:val="BodyText"/>
        <w:ind w:right="0"/>
        <w:rPr>
          <w:lang w:val="sq-AL"/>
        </w:rPr>
      </w:pPr>
      <w:r w:rsidRPr="0032048B">
        <w:rPr>
          <w:u w:val="single"/>
          <w:lang w:val="sq-AL" w:bidi="sq-AL"/>
        </w:rPr>
        <w:t>Mbrojtja e interesave financiare të BE-së</w:t>
      </w:r>
    </w:p>
    <w:p w14:paraId="42D1E0A8" w14:textId="77777777" w:rsidR="00E6279B" w:rsidRPr="0032048B" w:rsidRDefault="00E6279B" w:rsidP="00E6279B">
      <w:pPr>
        <w:pStyle w:val="BodyText"/>
        <w:ind w:right="977"/>
        <w:rPr>
          <w:lang w:val="sq-AL"/>
        </w:rPr>
      </w:pPr>
      <w:r w:rsidRPr="0032048B">
        <w:rPr>
          <w:lang w:val="sq-AL" w:bidi="sq-AL"/>
        </w:rPr>
        <w:t xml:space="preserve">Shqipëria ka siguruar një farë niveli </w:t>
      </w:r>
      <w:r w:rsidRPr="0032048B">
        <w:rPr>
          <w:b/>
          <w:lang w:val="sq-AL" w:bidi="sq-AL"/>
        </w:rPr>
        <w:t xml:space="preserve">përafrimi me </w:t>
      </w:r>
      <w:proofErr w:type="spellStart"/>
      <w:r w:rsidRPr="0032048B">
        <w:rPr>
          <w:b/>
          <w:i/>
          <w:lang w:val="sq-AL" w:bidi="sq-AL"/>
        </w:rPr>
        <w:t>acquis</w:t>
      </w:r>
      <w:proofErr w:type="spellEnd"/>
      <w:r w:rsidRPr="0032048B">
        <w:rPr>
          <w:b/>
          <w:i/>
          <w:lang w:val="sq-AL" w:bidi="sq-AL"/>
        </w:rPr>
        <w:t>-në</w:t>
      </w:r>
      <w:r w:rsidRPr="0032048B">
        <w:rPr>
          <w:i/>
          <w:lang w:val="sq-AL" w:bidi="sq-AL"/>
        </w:rPr>
        <w:t xml:space="preserve"> </w:t>
      </w:r>
      <w:r w:rsidRPr="0032048B">
        <w:rPr>
          <w:b/>
          <w:lang w:val="sq-AL" w:bidi="sq-AL"/>
        </w:rPr>
        <w:t>e BE-së</w:t>
      </w:r>
      <w:r w:rsidRPr="0032048B">
        <w:rPr>
          <w:lang w:val="sq-AL" w:bidi="sq-AL"/>
        </w:rPr>
        <w:t xml:space="preserve"> në këtë fushë. Megjithatë, ajo duhet ende të përafrojë plotësisht legjislacionin e saj me Direktivën e BE-së për luftën kundër mashtrimit ndaj interesave financiare të BE-së përmes legjislacionit penal.</w:t>
      </w:r>
    </w:p>
    <w:p w14:paraId="08A46CCB" w14:textId="77777777" w:rsidR="00E6279B" w:rsidRPr="0032048B" w:rsidRDefault="00E6279B" w:rsidP="00E6279B">
      <w:pPr>
        <w:pStyle w:val="BodyText"/>
        <w:rPr>
          <w:lang w:val="sq-AL"/>
        </w:rPr>
      </w:pPr>
      <w:r w:rsidRPr="0032048B">
        <w:rPr>
          <w:b/>
          <w:lang w:val="sq-AL" w:bidi="sq-AL"/>
        </w:rPr>
        <w:t xml:space="preserve">Shërbimi </w:t>
      </w:r>
      <w:r w:rsidRPr="0032048B">
        <w:rPr>
          <w:lang w:val="sq-AL" w:bidi="sq-AL"/>
        </w:rPr>
        <w:t>kombëtar</w:t>
      </w:r>
      <w:r w:rsidRPr="0032048B">
        <w:rPr>
          <w:b/>
          <w:lang w:val="sq-AL" w:bidi="sq-AL"/>
        </w:rPr>
        <w:t xml:space="preserve"> i koordinimit kundër mashtrimit</w:t>
      </w:r>
      <w:r w:rsidRPr="0032048B">
        <w:rPr>
          <w:lang w:val="sq-AL" w:bidi="sq-AL"/>
        </w:rPr>
        <w:t xml:space="preserve"> ka ngritur një rrjet që përfshin autoritete të tjera përkatëse, i cili mblidhet rregullisht. Megjithatë, rolet e autoriteteve që janë pjesë e rrjetit AFCOS duhet të qartësohen më tej, sa i përket mbrojtjes së interesave financiare të BE-së. Ende nuk është miratuar një strategji kombëtare kundër mashtrimit.</w:t>
      </w:r>
    </w:p>
    <w:p w14:paraId="26EE6078" w14:textId="77777777" w:rsidR="00E6279B" w:rsidRPr="0032048B" w:rsidRDefault="00E6279B" w:rsidP="00E6279B">
      <w:pPr>
        <w:pStyle w:val="BodyText"/>
        <w:ind w:right="0"/>
        <w:rPr>
          <w:lang w:val="sq-AL"/>
        </w:rPr>
      </w:pPr>
      <w:r w:rsidRPr="0032048B">
        <w:rPr>
          <w:lang w:val="sq-AL" w:bidi="sq-AL"/>
        </w:rPr>
        <w:t>Manuali i procedurave për parregullsitë vijon të përditësohet.</w:t>
      </w:r>
    </w:p>
    <w:p w14:paraId="21F7A254" w14:textId="77777777" w:rsidR="00E6279B" w:rsidRPr="0032048B" w:rsidRDefault="00E6279B" w:rsidP="00E6279B">
      <w:pPr>
        <w:pStyle w:val="BodyText"/>
        <w:ind w:left="979" w:right="977"/>
        <w:rPr>
          <w:lang w:val="sq-AL"/>
        </w:rPr>
      </w:pPr>
      <w:r w:rsidRPr="0032048B">
        <w:rPr>
          <w:lang w:val="sq-AL" w:bidi="sq-AL"/>
        </w:rPr>
        <w:t xml:space="preserve">Shqipëria duhet të përmirësojë </w:t>
      </w:r>
      <w:r w:rsidRPr="0032048B">
        <w:rPr>
          <w:b/>
          <w:lang w:val="sq-AL" w:bidi="sq-AL"/>
        </w:rPr>
        <w:t xml:space="preserve">bashkëpunimin </w:t>
      </w:r>
      <w:r w:rsidRPr="0032048B">
        <w:rPr>
          <w:lang w:val="sq-AL" w:bidi="sq-AL"/>
        </w:rPr>
        <w:t xml:space="preserve">e saj </w:t>
      </w:r>
      <w:r w:rsidRPr="0032048B">
        <w:rPr>
          <w:b/>
          <w:lang w:val="sq-AL" w:bidi="sq-AL"/>
        </w:rPr>
        <w:t>me Komisionin Evropian</w:t>
      </w:r>
      <w:r w:rsidRPr="0032048B">
        <w:rPr>
          <w:lang w:val="sq-AL" w:bidi="sq-AL"/>
        </w:rPr>
        <w:t xml:space="preserve"> për hetimet. </w:t>
      </w:r>
      <w:r w:rsidRPr="0032048B">
        <w:rPr>
          <w:lang w:val="sq-AL" w:bidi="sq-AL"/>
        </w:rPr>
        <w:lastRenderedPageBreak/>
        <w:t>Në vitin 2022, u raportuan 71 raste parregullsish dhe dyshimi për mashtrim në programet IPA dhe IPARD. Megjithëse bashkëpunimi për hetimin është përmirësuar, Shqipëria duhet</w:t>
      </w:r>
    </w:p>
    <w:p w14:paraId="12F279E9" w14:textId="77777777" w:rsidR="00E6279B" w:rsidRPr="0032048B" w:rsidRDefault="00E6279B" w:rsidP="00E6279B">
      <w:pPr>
        <w:pStyle w:val="BodyText"/>
        <w:spacing w:before="62"/>
        <w:rPr>
          <w:lang w:val="sq-AL"/>
        </w:rPr>
      </w:pPr>
      <w:r w:rsidRPr="0032048B">
        <w:rPr>
          <w:lang w:val="sq-AL" w:bidi="sq-AL"/>
        </w:rPr>
        <w:t xml:space="preserve">të shtojë përpjekjet e saj për krijimin e një historiku pozitiv lidhur me bashkëpunimin në hetime duke ofruar, ndër të tjera, ndihmë të efektshme </w:t>
      </w:r>
      <w:proofErr w:type="spellStart"/>
      <w:r w:rsidRPr="0032048B">
        <w:rPr>
          <w:lang w:val="sq-AL" w:bidi="sq-AL"/>
        </w:rPr>
        <w:t>operacionale</w:t>
      </w:r>
      <w:proofErr w:type="spellEnd"/>
      <w:r w:rsidRPr="0032048B">
        <w:rPr>
          <w:lang w:val="sq-AL" w:bidi="sq-AL"/>
        </w:rPr>
        <w:t xml:space="preserve"> për hetuesit e Zyrës Evropiane Kundër Mashtrimit (OLAF) me qëllim që ata të kenë mundësi të kryejnë plotësisht detyrën e tyre gjatë kontrolleve në vend, në përputhje me Rregulloren (BE, </w:t>
      </w:r>
      <w:proofErr w:type="spellStart"/>
      <w:r w:rsidRPr="0032048B">
        <w:rPr>
          <w:lang w:val="sq-AL" w:bidi="sq-AL"/>
        </w:rPr>
        <w:t>Euratom</w:t>
      </w:r>
      <w:proofErr w:type="spellEnd"/>
      <w:r w:rsidRPr="0032048B">
        <w:rPr>
          <w:lang w:val="sq-AL" w:bidi="sq-AL"/>
        </w:rPr>
        <w:t xml:space="preserve">) Nr. 883/2013 dhe Rregulloren (KE, </w:t>
      </w:r>
      <w:proofErr w:type="spellStart"/>
      <w:r w:rsidRPr="0032048B">
        <w:rPr>
          <w:lang w:val="sq-AL" w:bidi="sq-AL"/>
        </w:rPr>
        <w:t>Euratom</w:t>
      </w:r>
      <w:proofErr w:type="spellEnd"/>
      <w:r w:rsidRPr="0032048B">
        <w:rPr>
          <w:lang w:val="sq-AL" w:bidi="sq-AL"/>
        </w:rPr>
        <w:t>) Nr. 2185/1996. Gjithashtu, Shqipëria duhet të vijojë përpjekjet e veta për përmirësimin e historikut të raportimit të parregullsive.</w:t>
      </w:r>
    </w:p>
    <w:p w14:paraId="7B3B9B0F" w14:textId="77777777" w:rsidR="00E6279B" w:rsidRPr="0032048B" w:rsidRDefault="00E6279B" w:rsidP="00E6279B">
      <w:pPr>
        <w:pStyle w:val="BodyText"/>
        <w:ind w:right="0"/>
        <w:rPr>
          <w:lang w:val="sq-AL"/>
        </w:rPr>
      </w:pPr>
      <w:r w:rsidRPr="0032048B">
        <w:rPr>
          <w:u w:val="single"/>
          <w:lang w:val="sq-AL" w:bidi="sq-AL"/>
        </w:rPr>
        <w:t>Mbrojtja e Euro-s ndaj falsifikimit.</w:t>
      </w:r>
    </w:p>
    <w:p w14:paraId="38B8903A" w14:textId="77777777" w:rsidR="00E6279B" w:rsidRPr="0032048B" w:rsidRDefault="00E6279B" w:rsidP="00E6279B">
      <w:pPr>
        <w:pStyle w:val="BodyText"/>
        <w:ind w:right="977"/>
        <w:rPr>
          <w:lang w:val="sq-AL"/>
        </w:rPr>
      </w:pPr>
      <w:r w:rsidRPr="0032048B">
        <w:rPr>
          <w:lang w:val="sq-AL" w:bidi="sq-AL"/>
        </w:rPr>
        <w:t xml:space="preserve">Shqipëria arriti </w:t>
      </w:r>
      <w:r w:rsidRPr="0032048B">
        <w:rPr>
          <w:b/>
          <w:lang w:val="sq-AL" w:bidi="sq-AL"/>
        </w:rPr>
        <w:t xml:space="preserve">përafrim të mëtejshëm me </w:t>
      </w:r>
      <w:proofErr w:type="spellStart"/>
      <w:r w:rsidRPr="0032048B">
        <w:rPr>
          <w:b/>
          <w:i/>
          <w:lang w:val="sq-AL" w:bidi="sq-AL"/>
        </w:rPr>
        <w:t>acquis</w:t>
      </w:r>
      <w:proofErr w:type="spellEnd"/>
      <w:r w:rsidRPr="0032048B">
        <w:rPr>
          <w:b/>
          <w:i/>
          <w:lang w:val="sq-AL" w:bidi="sq-AL"/>
        </w:rPr>
        <w:t xml:space="preserve">-në </w:t>
      </w:r>
      <w:r w:rsidRPr="0032048B">
        <w:rPr>
          <w:b/>
          <w:lang w:val="sq-AL" w:bidi="sq-AL"/>
        </w:rPr>
        <w:t xml:space="preserve">e BE-së </w:t>
      </w:r>
      <w:r w:rsidRPr="0032048B">
        <w:rPr>
          <w:lang w:val="sq-AL" w:bidi="sq-AL"/>
        </w:rPr>
        <w:t>lidhur me përkufizimin e kartëmonedhave dhe monedhave të falsifikuara, si dhe procedurat për mbledhjen, ruajtjen dhe tërheqjen e tyre nga qarkullimi.</w:t>
      </w:r>
    </w:p>
    <w:p w14:paraId="1B81CBA0" w14:textId="77777777" w:rsidR="00E6279B" w:rsidRPr="0032048B" w:rsidRDefault="00E6279B" w:rsidP="00E6279B">
      <w:pPr>
        <w:pStyle w:val="BodyText"/>
        <w:ind w:left="979"/>
        <w:rPr>
          <w:lang w:val="sq-AL"/>
        </w:rPr>
      </w:pPr>
      <w:r w:rsidRPr="0032048B">
        <w:rPr>
          <w:b/>
          <w:lang w:val="sq-AL" w:bidi="sq-AL"/>
        </w:rPr>
        <w:t xml:space="preserve">Analiza teknike </w:t>
      </w:r>
      <w:r w:rsidRPr="0032048B">
        <w:rPr>
          <w:lang w:val="sq-AL" w:bidi="sq-AL"/>
        </w:rPr>
        <w:t>sigurohet nga qendra kombëtare e analizës në Bankën e Shqipërisë dhe nga Instituti i Policisë Shkencore. Në janar të vitit 2023, Banka e Shqipërisë, Prokuroria e Përgjithshme dhe Ministria e Punëve të Brendshme nënshkruan një marrëveshje bashkëpunimi për mbrojtjen e valutës nga falsifikimi.</w:t>
      </w:r>
    </w:p>
    <w:p w14:paraId="5D6D88B3" w14:textId="77777777" w:rsidR="00E6279B" w:rsidRPr="0032048B" w:rsidRDefault="00E6279B" w:rsidP="00E6279B">
      <w:pPr>
        <w:pStyle w:val="BodyText"/>
        <w:ind w:right="978"/>
        <w:rPr>
          <w:lang w:val="sq-AL"/>
        </w:rPr>
      </w:pPr>
      <w:r w:rsidRPr="0032048B">
        <w:rPr>
          <w:lang w:val="sq-AL" w:bidi="sq-AL"/>
        </w:rPr>
        <w:t xml:space="preserve">Në vitin 2022, Shqipëria sekuestroi 834 monedha Euro të falsifikuara dhe 134 kartëmonedha Euro të falsifikuara, që përfaqësojnë 68% të </w:t>
      </w:r>
      <w:proofErr w:type="spellStart"/>
      <w:r w:rsidRPr="0032048B">
        <w:rPr>
          <w:lang w:val="sq-AL" w:bidi="sq-AL"/>
        </w:rPr>
        <w:t>të</w:t>
      </w:r>
      <w:proofErr w:type="spellEnd"/>
      <w:r w:rsidRPr="0032048B">
        <w:rPr>
          <w:lang w:val="sq-AL" w:bidi="sq-AL"/>
        </w:rPr>
        <w:t xml:space="preserve"> gjitha valutave të falsifikuara të sekuestruara në vend, krahasuar me 38% në vitin 2020.</w:t>
      </w:r>
    </w:p>
    <w:p w14:paraId="4E22111F" w14:textId="77777777" w:rsidR="00E6279B" w:rsidRPr="0032048B" w:rsidRDefault="00E6279B" w:rsidP="00E6279B">
      <w:pPr>
        <w:pStyle w:val="BodyText"/>
        <w:spacing w:before="240"/>
        <w:ind w:left="0" w:right="0"/>
        <w:jc w:val="left"/>
        <w:rPr>
          <w:lang w:val="sq-AL"/>
        </w:rPr>
      </w:pPr>
    </w:p>
    <w:p w14:paraId="0BF7A0CA" w14:textId="77777777" w:rsidR="00E6279B" w:rsidRPr="0032048B" w:rsidRDefault="00E6279B" w:rsidP="00E6279B">
      <w:pPr>
        <w:pStyle w:val="Heading1"/>
        <w:numPr>
          <w:ilvl w:val="0"/>
          <w:numId w:val="6"/>
        </w:numPr>
        <w:tabs>
          <w:tab w:val="left" w:pos="1220"/>
        </w:tabs>
        <w:spacing w:before="0"/>
        <w:ind w:left="1220" w:hanging="240"/>
        <w:jc w:val="left"/>
        <w:rPr>
          <w:lang w:val="sq-AL"/>
        </w:rPr>
      </w:pPr>
      <w:bookmarkStart w:id="49" w:name="3._Good_neighbourly_relations_and_region"/>
      <w:bookmarkStart w:id="50" w:name="_bookmark32"/>
      <w:bookmarkEnd w:id="49"/>
      <w:bookmarkEnd w:id="50"/>
      <w:r w:rsidRPr="0032048B">
        <w:rPr>
          <w:lang w:val="sq-AL" w:bidi="sq-AL"/>
        </w:rPr>
        <w:t>MARRËDHËNIET E FQINJËSISË SË MIRË DHE BASHKËPUNIMI RAJONAL</w:t>
      </w:r>
    </w:p>
    <w:p w14:paraId="35E026A5" w14:textId="77777777" w:rsidR="00E6279B" w:rsidRPr="0032048B" w:rsidRDefault="00E6279B" w:rsidP="00E6279B">
      <w:pPr>
        <w:pStyle w:val="BodyText"/>
        <w:rPr>
          <w:lang w:val="sq-AL"/>
        </w:rPr>
      </w:pPr>
      <w:r w:rsidRPr="0032048B">
        <w:rPr>
          <w:lang w:val="sq-AL" w:bidi="sq-AL"/>
        </w:rPr>
        <w:t>Marrëdhëniet e fqinjësisë së mirë dhe bashkëpunimi rajonal përbëjnë një pjesë thelbësore të procesit të integrimit evropian të Shqipërisë. Ato japin kontribut për stabilitetin, pajtimin, dhe një klimë që mëkon trajtimin e çështjeve të hapura dypalëshe dhe trashëgimitë e të shkuarës.</w:t>
      </w:r>
    </w:p>
    <w:p w14:paraId="733769CC" w14:textId="77777777" w:rsidR="00E6279B" w:rsidRPr="0032048B" w:rsidRDefault="00E6279B" w:rsidP="00E6279B">
      <w:pPr>
        <w:pStyle w:val="BodyText"/>
        <w:rPr>
          <w:lang w:val="sq-AL"/>
        </w:rPr>
      </w:pPr>
      <w:r w:rsidRPr="0032048B">
        <w:rPr>
          <w:lang w:val="sq-AL" w:bidi="sq-AL"/>
        </w:rPr>
        <w:t>Shqipëria vijoi angazhimin e saj në një sërë nismash bashkëpunimi rajonal, si Marrëveshja e Evropës Qendrore për Tregtinë e Lirë (CEFTA), Komuniteti i Energjisë, Komuniteti i Transportit, Procesi i Bashkëpunimit i Evropës Juglindore (SEECP) dhe Këshilli i Bashkëpunimit Rajonal (RCC).</w:t>
      </w:r>
    </w:p>
    <w:p w14:paraId="2FE2997E" w14:textId="77777777" w:rsidR="00E6279B" w:rsidRPr="0032048B" w:rsidRDefault="00E6279B" w:rsidP="00E6279B">
      <w:pPr>
        <w:pStyle w:val="BodyText"/>
        <w:rPr>
          <w:lang w:val="sq-AL"/>
        </w:rPr>
      </w:pPr>
      <w:r w:rsidRPr="0032048B">
        <w:rPr>
          <w:lang w:val="sq-AL" w:bidi="sq-AL"/>
        </w:rPr>
        <mc:AlternateContent>
          <mc:Choice Requires="wps">
            <w:drawing>
              <wp:anchor distT="0" distB="0" distL="0" distR="0" simplePos="0" relativeHeight="251675648" behindDoc="0" locked="0" layoutInCell="1" allowOverlap="1" wp14:anchorId="6E420E26" wp14:editId="7725B20D">
                <wp:simplePos x="0" y="0"/>
                <wp:positionH relativeFrom="page">
                  <wp:posOffset>1760982</wp:posOffset>
                </wp:positionH>
                <wp:positionV relativeFrom="paragraph">
                  <wp:posOffset>760579</wp:posOffset>
                </wp:positionV>
                <wp:extent cx="38100" cy="7620"/>
                <wp:effectExtent l="0" t="0" r="0" b="0"/>
                <wp:wrapNone/>
                <wp:docPr id="276" name="Graphic 2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8CF091" id="Graphic 276" o:spid="_x0000_s1026" style="position:absolute;margin-left:138.65pt;margin-top:59.9pt;width:3pt;height:.6pt;z-index:251675648;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" path="m38100,l,,,7620r38100,l38100,xe" fillcolor="black" stroked="f">
                <v:path arrowok="t"/>
                <w10:wrap anchorx="page"/>
              </v:shape>
            </w:pict>
          </mc:Fallback>
        </mc:AlternateContent>
      </w:r>
      <w:r w:rsidRPr="0032048B">
        <w:rPr>
          <w:lang w:val="sq-AL" w:bidi="sq-AL"/>
        </w:rPr>
        <w:t xml:space="preserve">Samiti ndërmjet BE-së dhe Ballkanit Perëndimor i dhjetorit 2022 u mbajt për herë të parë në rajon, në Tiranë. Samiti u përqendrua në mbështetjen e rajonit në fushat e energjisë dhe migracionit, dhe në bashkëpunimin e të rinjve, </w:t>
      </w:r>
      <w:proofErr w:type="spellStart"/>
      <w:r w:rsidRPr="0032048B">
        <w:rPr>
          <w:lang w:val="sq-AL" w:bidi="sq-AL"/>
        </w:rPr>
        <w:t>roaming</w:t>
      </w:r>
      <w:proofErr w:type="spellEnd"/>
      <w:r w:rsidRPr="0032048B">
        <w:rPr>
          <w:lang w:val="sq-AL" w:bidi="sq-AL"/>
        </w:rPr>
        <w:t>, linjat e gjelbra dhe përparimin e përgjithshëm për zbatimin e Planit Ekonomik dhe të Investimit.</w:t>
      </w:r>
    </w:p>
    <w:p w14:paraId="23273D48" w14:textId="77777777" w:rsidR="00E6279B" w:rsidRPr="0032048B" w:rsidRDefault="00E6279B" w:rsidP="00E6279B">
      <w:pPr>
        <w:pStyle w:val="BodyText"/>
        <w:spacing w:before="119"/>
        <w:rPr>
          <w:lang w:val="sq-AL"/>
        </w:rPr>
      </w:pPr>
      <w:r w:rsidRPr="0032048B">
        <w:rPr>
          <w:lang w:val="sq-AL" w:bidi="sq-AL"/>
        </w:rPr>
        <w:t>Që prej janarit të vitit 2023, Shqipëria ka marrë Kryesimin e Zyrës së Fondit të Ballkanit Perëndimor. Shqipëria ka marrë gjithashtu kryesimin e Zyrës së Procesit të Berlinit.</w:t>
      </w:r>
    </w:p>
    <w:p w14:paraId="3366CA13" w14:textId="77777777" w:rsidR="00E6279B" w:rsidRPr="0032048B" w:rsidRDefault="00E6279B" w:rsidP="00E6279B">
      <w:pPr>
        <w:pStyle w:val="BodyText"/>
        <w:rPr>
          <w:lang w:val="sq-AL"/>
        </w:rPr>
      </w:pPr>
      <w:r w:rsidRPr="0032048B">
        <w:rPr>
          <w:lang w:val="sq-AL" w:bidi="sq-AL"/>
        </w:rPr>
        <w:t xml:space="preserve">Në kuadër të </w:t>
      </w:r>
      <w:r w:rsidRPr="0032048B">
        <w:rPr>
          <w:b/>
          <w:lang w:val="sq-AL" w:bidi="sq-AL"/>
        </w:rPr>
        <w:t xml:space="preserve">Tregut të Përbashkët Rajonal (CRM), </w:t>
      </w:r>
      <w:r w:rsidRPr="0032048B">
        <w:rPr>
          <w:lang w:val="sq-AL" w:bidi="sq-AL"/>
        </w:rPr>
        <w:t xml:space="preserve">në Samitin e Procesit të Berlinit në nëntor të vitit 2022 u arrit një sukses politik, në kuadër të </w:t>
      </w:r>
      <w:proofErr w:type="spellStart"/>
      <w:r w:rsidRPr="0032048B">
        <w:rPr>
          <w:lang w:val="sq-AL" w:bidi="sq-AL"/>
        </w:rPr>
        <w:t>të</w:t>
      </w:r>
      <w:proofErr w:type="spellEnd"/>
      <w:r w:rsidRPr="0032048B">
        <w:rPr>
          <w:lang w:val="sq-AL" w:bidi="sq-AL"/>
        </w:rPr>
        <w:t xml:space="preserve"> cilit udhëheqësit ranë dakord për tre marrëveshje lëvizshmërie për kualifikimet e arsimit të lartë, për kualifikimet profesionale dhe për lëvizjen e lirë me karta identiteti. Shqipëria ka ratifikuar të tre marrëveshjet e lëvizshmërisë dhe ka dorëzuar instrumentet përkatëse të njoftimit. Një sërë vendimesh të rëndësishme për të cilat është rënë dakord në nivel teknik në kuadër të CEFTA-s janë ende të bllokuara.</w:t>
      </w:r>
    </w:p>
    <w:p w14:paraId="0963095B" w14:textId="77777777" w:rsidR="00E6279B" w:rsidRPr="0032048B" w:rsidRDefault="00E6279B" w:rsidP="00E6279B">
      <w:pPr>
        <w:pStyle w:val="BodyText"/>
        <w:ind w:right="977"/>
        <w:rPr>
          <w:lang w:val="sq-AL"/>
        </w:rPr>
      </w:pPr>
      <w:r w:rsidRPr="0032048B">
        <w:rPr>
          <w:lang w:val="sq-AL" w:bidi="sq-AL"/>
        </w:rPr>
        <w:t xml:space="preserve">Në përgjithësi, Shqipëria ruan </w:t>
      </w:r>
      <w:r w:rsidRPr="0032048B">
        <w:rPr>
          <w:b/>
          <w:lang w:val="sq-AL" w:bidi="sq-AL"/>
        </w:rPr>
        <w:t>marrëdhënie të mira dypalëshe</w:t>
      </w:r>
      <w:r w:rsidRPr="0032048B">
        <w:rPr>
          <w:lang w:val="sq-AL" w:bidi="sq-AL"/>
        </w:rPr>
        <w:t xml:space="preserve"> me vendet e tjera të zgjerimit dhe Vendet Anëtare të BE-së fqinj me të.</w:t>
      </w:r>
    </w:p>
    <w:p w14:paraId="376AA25B" w14:textId="77777777" w:rsidR="00E6279B" w:rsidRPr="0032048B" w:rsidRDefault="00E6279B" w:rsidP="00E6279B">
      <w:pPr>
        <w:pStyle w:val="BodyText"/>
        <w:rPr>
          <w:lang w:val="sq-AL"/>
        </w:rPr>
      </w:pPr>
      <w:r w:rsidRPr="0032048B">
        <w:rPr>
          <w:lang w:val="sq-AL" w:bidi="sq-AL"/>
        </w:rPr>
        <w:t xml:space="preserve">Marrëdhëniet me </w:t>
      </w:r>
      <w:r w:rsidRPr="0032048B">
        <w:rPr>
          <w:b/>
          <w:i/>
          <w:lang w:val="sq-AL" w:bidi="sq-AL"/>
        </w:rPr>
        <w:t>Bosnje dhe Hercegovinën</w:t>
      </w:r>
      <w:r w:rsidRPr="0032048B">
        <w:rPr>
          <w:b/>
          <w:lang w:val="sq-AL" w:bidi="sq-AL"/>
        </w:rPr>
        <w:t xml:space="preserve"> </w:t>
      </w:r>
      <w:r w:rsidRPr="0032048B">
        <w:rPr>
          <w:lang w:val="sq-AL" w:bidi="sq-AL"/>
        </w:rPr>
        <w:t xml:space="preserve">vijojnë të jenë miqësore pa çështje të pazgjidhura, </w:t>
      </w:r>
      <w:r w:rsidRPr="0032048B">
        <w:rPr>
          <w:lang w:val="sq-AL" w:bidi="sq-AL"/>
        </w:rPr>
        <w:lastRenderedPageBreak/>
        <w:t>me vizita dypalëshe të nivelit të lartë, të herëpashershme. Vendet nuk kanë vendosur ende ambasada dypalëshe në vendet përkatëse, siç është rënë dakord në vitin 2020. Qarkullimi tregtar mbetet i ulët.</w:t>
      </w:r>
    </w:p>
    <w:p w14:paraId="10E33CAD" w14:textId="77777777" w:rsidR="00E6279B" w:rsidRPr="0032048B" w:rsidRDefault="00E6279B" w:rsidP="00E6279B">
      <w:pPr>
        <w:pStyle w:val="BodyText"/>
        <w:ind w:right="977"/>
        <w:rPr>
          <w:lang w:val="sq-AL"/>
        </w:rPr>
      </w:pPr>
      <w:r w:rsidRPr="0032048B">
        <w:rPr>
          <w:lang w:val="sq-AL" w:bidi="sq-AL"/>
        </w:rPr>
        <w:t xml:space="preserve">Marrëdhëniet me </w:t>
      </w:r>
      <w:r w:rsidRPr="0032048B">
        <w:rPr>
          <w:b/>
          <w:i/>
          <w:lang w:val="sq-AL" w:bidi="sq-AL"/>
        </w:rPr>
        <w:t>Gjeorgjinë</w:t>
      </w:r>
      <w:r w:rsidRPr="0032048B">
        <w:rPr>
          <w:lang w:val="sq-AL" w:bidi="sq-AL"/>
        </w:rPr>
        <w:t xml:space="preserve"> janë të mira. Shqipëria mbështet integritetin territorial dhe sovranitetin e Gjeorgjisë. Shqipëria shprehu vlerësim për aspiratat e </w:t>
      </w:r>
      <w:proofErr w:type="spellStart"/>
      <w:r w:rsidRPr="0032048B">
        <w:rPr>
          <w:lang w:val="sq-AL" w:bidi="sq-AL"/>
        </w:rPr>
        <w:t>Gjerogjisë</w:t>
      </w:r>
      <w:proofErr w:type="spellEnd"/>
      <w:r w:rsidRPr="0032048B">
        <w:rPr>
          <w:lang w:val="sq-AL" w:bidi="sq-AL"/>
        </w:rPr>
        <w:t xml:space="preserve"> për integrimin e saj në BE dhe NATO.</w:t>
      </w:r>
    </w:p>
    <w:p w14:paraId="7ED0CFB9" w14:textId="77777777" w:rsidR="00E6279B" w:rsidRPr="0032048B" w:rsidRDefault="00E6279B" w:rsidP="00E6279B">
      <w:pPr>
        <w:pStyle w:val="BodyText"/>
        <w:spacing w:before="62"/>
        <w:ind w:left="979" w:right="977"/>
        <w:rPr>
          <w:lang w:val="sq-AL"/>
        </w:rPr>
      </w:pPr>
      <w:r w:rsidRPr="0032048B">
        <w:rPr>
          <w:lang w:val="sq-AL" w:bidi="sq-AL"/>
        </w:rPr>
        <w:t xml:space="preserve">Marrëdhëniet e Shqipërisë me </w:t>
      </w:r>
      <w:r w:rsidRPr="0032048B">
        <w:rPr>
          <w:b/>
          <w:i/>
          <w:lang w:val="sq-AL" w:bidi="sq-AL"/>
        </w:rPr>
        <w:t>Kosovën</w:t>
      </w:r>
      <w:r w:rsidRPr="0032048B">
        <w:rPr>
          <w:lang w:val="sq-AL" w:bidi="sq-AL"/>
        </w:rPr>
        <w:t xml:space="preserve"> ishin të mira në përgjithësi. Autoritetet shqiptare kanë demonstruar vijueshmëri dhe mbështetje të fortë për dialogun e lehtësuar nga BE-ja mes Beogradit dhe Prishtinës. Kryeministri i Kosovës vizitoi Tiranën në mars të vitit 2023. Në shtator të vitit 2023, Presidenti i Kosovës vizitoi Shqipërinë.</w:t>
      </w:r>
    </w:p>
    <w:p w14:paraId="2BBDF733" w14:textId="77777777" w:rsidR="00E6279B" w:rsidRPr="0032048B" w:rsidRDefault="00E6279B" w:rsidP="00E6279B">
      <w:pPr>
        <w:pStyle w:val="BodyText"/>
        <w:ind w:left="979"/>
        <w:rPr>
          <w:lang w:val="sq-AL"/>
        </w:rPr>
      </w:pPr>
      <w:r w:rsidRPr="0032048B">
        <w:rPr>
          <w:lang w:val="sq-AL" w:bidi="sq-AL"/>
        </w:rPr>
        <w:t xml:space="preserve">Marrëdhëniet me </w:t>
      </w:r>
      <w:r w:rsidRPr="0032048B">
        <w:rPr>
          <w:b/>
          <w:i/>
          <w:lang w:val="sq-AL" w:bidi="sq-AL"/>
        </w:rPr>
        <w:t>Republikën e Moldavisë</w:t>
      </w:r>
      <w:r w:rsidRPr="0032048B">
        <w:rPr>
          <w:lang w:val="sq-AL" w:bidi="sq-AL"/>
        </w:rPr>
        <w:t xml:space="preserve"> janë të mira, dhe konsultimet e para diplomatike dypalëshe u mbajtën në vitin 2022, së bashku me angazhimin e përbashkët për zhvillimin e marrëdhënieve ekonomike dypalëshe. Shqipëria ka mirëpritur vendimin e BE-së për t'i akorduar Moldavisë statusin e vendit kandidat.</w:t>
      </w:r>
    </w:p>
    <w:p w14:paraId="31C13745" w14:textId="77777777" w:rsidR="00E6279B" w:rsidRPr="0032048B" w:rsidRDefault="00E6279B" w:rsidP="00E6279B">
      <w:pPr>
        <w:pStyle w:val="BodyText"/>
        <w:ind w:left="979"/>
        <w:rPr>
          <w:lang w:val="sq-AL"/>
        </w:rPr>
      </w:pPr>
      <w:r w:rsidRPr="0032048B">
        <w:rPr>
          <w:lang w:val="sq-AL" w:bidi="sq-AL"/>
        </w:rPr>
        <w:t xml:space="preserve">Marrëdhëniet me </w:t>
      </w:r>
      <w:r w:rsidRPr="0032048B">
        <w:rPr>
          <w:b/>
          <w:i/>
          <w:lang w:val="sq-AL" w:bidi="sq-AL"/>
        </w:rPr>
        <w:t>Malin e Zi</w:t>
      </w:r>
      <w:r w:rsidRPr="0032048B">
        <w:rPr>
          <w:lang w:val="sq-AL" w:bidi="sq-AL"/>
        </w:rPr>
        <w:t xml:space="preserve"> vijuan të jenë të mira në përgjithësi. Pas një periudhe 3 vjeçare, mbledhja e dytë qeveritare e përbashkët ndërmjet Shqipërisë dhe Malit të Zi u mbajt në Podgoricë në shkurt të vitit 2023. Shqipëria nënshkroi një sërë marrëveshjesh dypalëshe me qeverinë provizore të Malit të Zi, me qëllim përmirësimin e bashkëpunimit ndërmjet fqinjëve në një sërë fushash me interes të përbashkët lidhur me energjinë, peshkimin, mbrojtjen e bimëve, mbrojtjen sociale, sportet, kulturën, median, mbrojtjen dhe shëndetësinë. Palët nënshkruan një marrëveshje dypalëshe për ndërtimin e një ure mbi Lumin Buna me qëllim lidhjen e zonave bregdetare të Ulqinit (Mali i Zi) dhe Velipojës (Shqipëri) dhe shpalljen e hapjes së pikës së kalimit kufitar Shën </w:t>
      </w:r>
      <w:proofErr w:type="spellStart"/>
      <w:r w:rsidRPr="0032048B">
        <w:rPr>
          <w:lang w:val="sq-AL" w:bidi="sq-AL"/>
        </w:rPr>
        <w:t>Nikollë</w:t>
      </w:r>
      <w:proofErr w:type="spellEnd"/>
      <w:r w:rsidRPr="0032048B">
        <w:rPr>
          <w:lang w:val="sq-AL" w:bidi="sq-AL"/>
        </w:rPr>
        <w:t xml:space="preserve"> - </w:t>
      </w:r>
      <w:proofErr w:type="spellStart"/>
      <w:r w:rsidRPr="0032048B">
        <w:rPr>
          <w:lang w:val="sq-AL" w:bidi="sq-AL"/>
        </w:rPr>
        <w:t>Pulaj</w:t>
      </w:r>
      <w:proofErr w:type="spellEnd"/>
      <w:r w:rsidRPr="0032048B">
        <w:rPr>
          <w:lang w:val="sq-AL" w:bidi="sq-AL"/>
        </w:rPr>
        <w:t>.</w:t>
      </w:r>
    </w:p>
    <w:p w14:paraId="5C722071" w14:textId="77777777" w:rsidR="00E6279B" w:rsidRPr="0032048B" w:rsidRDefault="00E6279B" w:rsidP="00E6279B">
      <w:pPr>
        <w:pStyle w:val="BodyText"/>
        <w:ind w:left="979"/>
        <w:rPr>
          <w:lang w:val="sq-AL"/>
        </w:rPr>
      </w:pPr>
      <w:r w:rsidRPr="0032048B">
        <w:rPr>
          <w:lang w:val="sq-AL" w:bidi="sq-AL"/>
        </w:rPr>
        <w:t xml:space="preserve">Marrëdhëniet me </w:t>
      </w:r>
      <w:r w:rsidRPr="0032048B">
        <w:rPr>
          <w:b/>
          <w:i/>
          <w:lang w:val="sq-AL" w:bidi="sq-AL"/>
        </w:rPr>
        <w:t>Maqedoninë e Veriut</w:t>
      </w:r>
      <w:r w:rsidRPr="0032048B">
        <w:rPr>
          <w:lang w:val="sq-AL" w:bidi="sq-AL"/>
        </w:rPr>
        <w:t xml:space="preserve"> vijuan të jenë të mira. Në nëntor të vitit 2022 mbledhja e dytë qeveri me qeveri u mbajt në Shkup ndërmjet Shqipërisë dhe Maqedonisë së Veriut. Qeveritë nënshkruan 21 marrëveshje, memorandume mirëkuptimi dhe protokolle dhe u zotuan të bashkëpunojnë lidhur me procesin e tyre të integrimit evropian dhe për trajtimin e krizës energjetike si pasojë e pushtimit të paprovokuar të Ukrainës nga Rusia. Të dy qeveritë ranë dakord për tre nisma që lidhen me infrastrukturën e Korridorit VIII, ndërtimin e një porti të thatë në Strugë dhe hapjen e pikës kufitare Strugë-Pogradec. Shqipëria dhe Maqedonia e Veriut do të krijojnë edhe ekipe të përbashkëta hetimore në luftën kundër krimit të organizuar. Mundësi të tjera bashkëpunimi lidhen me mbrojtjen, sigurinë, digjitalizimin, kontrollin kufitar, përmirësimin e mbrojtjes së fëmijëve dhe zbatimin e gjuhës shqipe të shenjave në të dy vendet.</w:t>
      </w:r>
    </w:p>
    <w:p w14:paraId="215368BE" w14:textId="77777777" w:rsidR="00E6279B" w:rsidRPr="0032048B" w:rsidRDefault="00E6279B" w:rsidP="00E6279B">
      <w:pPr>
        <w:pStyle w:val="BodyText"/>
        <w:spacing w:before="119"/>
        <w:ind w:left="979" w:right="978"/>
        <w:rPr>
          <w:lang w:val="sq-AL"/>
        </w:rPr>
      </w:pPr>
      <w:r w:rsidRPr="0032048B">
        <w:rPr>
          <w:lang w:val="sq-AL" w:bidi="sq-AL"/>
        </w:rPr>
        <w:t xml:space="preserve">Marrëdhëniet me </w:t>
      </w:r>
      <w:r w:rsidRPr="0032048B">
        <w:rPr>
          <w:b/>
          <w:i/>
          <w:lang w:val="sq-AL" w:bidi="sq-AL"/>
        </w:rPr>
        <w:t>Serbinë</w:t>
      </w:r>
      <w:r w:rsidRPr="0032048B">
        <w:rPr>
          <w:lang w:val="sq-AL" w:bidi="sq-AL"/>
        </w:rPr>
        <w:t xml:space="preserve"> mbetën të mira në përgjithësi, me kontakte të rregullta të nivelit lartë politik. Autoritetet e Shqipërisë kanë treguar mbështetje të palëkundur për dialogun e lehtësuar nga BE-ja Beograd-Prishtinë.</w:t>
      </w:r>
    </w:p>
    <w:p w14:paraId="17E604C3" w14:textId="77777777" w:rsidR="00E6279B" w:rsidRPr="0032048B" w:rsidRDefault="00E6279B" w:rsidP="00E6279B">
      <w:pPr>
        <w:pStyle w:val="BodyText"/>
        <w:ind w:left="979"/>
        <w:rPr>
          <w:lang w:val="sq-AL"/>
        </w:rPr>
      </w:pPr>
      <w:r w:rsidRPr="0032048B">
        <w:rPr>
          <w:lang w:val="sq-AL" w:bidi="sq-AL"/>
        </w:rPr>
        <w:t xml:space="preserve">Marrëdhëniet me </w:t>
      </w:r>
      <w:r w:rsidRPr="0032048B">
        <w:rPr>
          <w:b/>
          <w:i/>
          <w:lang w:val="sq-AL" w:bidi="sq-AL"/>
        </w:rPr>
        <w:t xml:space="preserve">Turqinë </w:t>
      </w:r>
      <w:r w:rsidRPr="0032048B">
        <w:rPr>
          <w:lang w:val="sq-AL" w:bidi="sq-AL"/>
        </w:rPr>
        <w:t>kanë vijuar të forcohen, siç pasqyrohet nga shkëmbimi i vizitave të nivelit të lartë. Në nëntor të vitit 2022, Ministri për Evropën dhe Punët e Jashtme i Shqipërisë vizitoi Ankaranë dhe drejtoi së bashku me homologen e saj mbledhjen e parë të Grupit të Dialogut Politik. Kryeministri i Shqipërisë vizitoi vendin dhe u takua me Presidentin e Turqisë në dhjetor të vitit 2022. Shqipëria ofroi mbështetje të menjëhershme për Turqinë me anë të mobilizimit të një ekipi prej 56 vetash gjatë përpjekjeve pas tërmetit që goditi vendin në shkurt. Turqia vijon të ushtrojë trysni mbi Shqipërinë për rezultate me shpërbërjen e lëvizjes së "</w:t>
      </w:r>
      <w:proofErr w:type="spellStart"/>
      <w:r w:rsidRPr="0032048B">
        <w:rPr>
          <w:lang w:val="sq-AL" w:bidi="sq-AL"/>
        </w:rPr>
        <w:t>Gulen</w:t>
      </w:r>
      <w:proofErr w:type="spellEnd"/>
      <w:r w:rsidRPr="0032048B">
        <w:rPr>
          <w:lang w:val="sq-AL" w:bidi="sq-AL"/>
        </w:rPr>
        <w:t>-it" në vend.</w:t>
      </w:r>
    </w:p>
    <w:p w14:paraId="6E51681B" w14:textId="77777777" w:rsidR="00E6279B" w:rsidRPr="0032048B" w:rsidRDefault="00E6279B" w:rsidP="00E6279B">
      <w:pPr>
        <w:pStyle w:val="BodyText"/>
        <w:rPr>
          <w:lang w:val="sq-AL"/>
        </w:rPr>
      </w:pPr>
      <w:r w:rsidRPr="0032048B">
        <w:rPr>
          <w:lang w:val="sq-AL" w:bidi="sq-AL"/>
        </w:rPr>
        <w:t xml:space="preserve">Marrëdhëniet </w:t>
      </w:r>
      <w:r w:rsidRPr="0032048B">
        <w:rPr>
          <w:b/>
          <w:i/>
          <w:lang w:val="sq-AL" w:bidi="sq-AL"/>
        </w:rPr>
        <w:t>Ukrainë</w:t>
      </w:r>
      <w:r w:rsidRPr="0032048B">
        <w:rPr>
          <w:lang w:val="sq-AL" w:bidi="sq-AL"/>
        </w:rPr>
        <w:t xml:space="preserve">-Shqipëri janë intensifikuar që prej fillimit të luftës dhe agresionit rus kundër Ukrainës. Shqipëria ka sponsorizuar dhe është </w:t>
      </w:r>
      <w:proofErr w:type="spellStart"/>
      <w:r w:rsidRPr="0032048B">
        <w:rPr>
          <w:lang w:val="sq-AL" w:bidi="sq-AL"/>
        </w:rPr>
        <w:t>bashkautore</w:t>
      </w:r>
      <w:proofErr w:type="spellEnd"/>
      <w:r w:rsidRPr="0032048B">
        <w:rPr>
          <w:lang w:val="sq-AL" w:bidi="sq-AL"/>
        </w:rPr>
        <w:t xml:space="preserve"> e të gjitha rezolutave në mbështetje të Ukrainës gjatë anëtarësimit të vet jo të përhershëm në Këshillin e Sigurimit të </w:t>
      </w:r>
      <w:r w:rsidRPr="0032048B">
        <w:rPr>
          <w:lang w:val="sq-AL" w:bidi="sq-AL"/>
        </w:rPr>
        <w:lastRenderedPageBreak/>
        <w:t>BE-së. Kryeministri vizitoi Kievin në qershor të vitit 2022, së bashku me Kryeministrin e Malit të Zi. Shqipëria ka mirëpritur vendimin e BE-së për t'i akorduar Ukrainës statusin e vendit kandidat.</w:t>
      </w:r>
    </w:p>
    <w:p w14:paraId="4413C7A6" w14:textId="77777777" w:rsidR="00E6279B" w:rsidRPr="0032048B" w:rsidRDefault="00E6279B" w:rsidP="00E6279B">
      <w:pPr>
        <w:pStyle w:val="BodyText"/>
        <w:ind w:left="979"/>
        <w:rPr>
          <w:lang w:val="sq-AL"/>
        </w:rPr>
      </w:pPr>
      <w:r w:rsidRPr="0032048B">
        <w:rPr>
          <w:lang w:val="sq-AL" w:bidi="sq-AL"/>
        </w:rPr>
        <w:t xml:space="preserve">Marrëdhëniet me </w:t>
      </w:r>
      <w:r w:rsidRPr="0032048B">
        <w:rPr>
          <w:b/>
          <w:i/>
          <w:lang w:val="sq-AL" w:bidi="sq-AL"/>
        </w:rPr>
        <w:t>Greqinë</w:t>
      </w:r>
      <w:r w:rsidRPr="0032048B">
        <w:rPr>
          <w:lang w:val="sq-AL" w:bidi="sq-AL"/>
        </w:rPr>
        <w:t xml:space="preserve"> mbeten të mira në përgjithësi, me kontakte të vazhdueshme politike. Të drejtat e pakicës kombëtare greke, veçanërisht të drejtat pronësore të pakicës kombëtare greke mbeten tema mbi të cilat nuk ka </w:t>
      </w:r>
      <w:proofErr w:type="spellStart"/>
      <w:r w:rsidRPr="0032048B">
        <w:rPr>
          <w:lang w:val="sq-AL" w:bidi="sq-AL"/>
        </w:rPr>
        <w:t>dakordësi</w:t>
      </w:r>
      <w:proofErr w:type="spellEnd"/>
      <w:r w:rsidRPr="0032048B">
        <w:rPr>
          <w:lang w:val="sq-AL" w:bidi="sq-AL"/>
        </w:rPr>
        <w:t xml:space="preserve"> në marrëdhëniet dypalëshe. Paraburgimi i një </w:t>
      </w:r>
      <w:proofErr w:type="spellStart"/>
      <w:r w:rsidRPr="0032048B">
        <w:rPr>
          <w:lang w:val="sq-AL" w:bidi="sq-AL"/>
        </w:rPr>
        <w:t>kryebashkiaku</w:t>
      </w:r>
      <w:proofErr w:type="spellEnd"/>
      <w:r w:rsidRPr="0032048B">
        <w:rPr>
          <w:lang w:val="sq-AL" w:bidi="sq-AL"/>
        </w:rPr>
        <w:t xml:space="preserve"> të zgjedhur me enti greke, i cili u arrestua një ditë përpara zgjedhjeve vendore dhe gjykimi i të cilit ka nisur më 14 shtator për akuzën e blerjes së votave, është bërë burim i tensioneve dypalëshe dhe rezulton në shqetësime serioze.</w:t>
      </w:r>
    </w:p>
    <w:p w14:paraId="16CCBA04" w14:textId="77777777" w:rsidR="00E6279B" w:rsidRPr="0032048B" w:rsidRDefault="00E6279B" w:rsidP="00E6279B">
      <w:pPr>
        <w:pStyle w:val="BodyText"/>
        <w:spacing w:before="62"/>
        <w:rPr>
          <w:lang w:val="sq-AL"/>
        </w:rPr>
      </w:pPr>
      <w:r w:rsidRPr="0032048B">
        <w:rPr>
          <w:lang w:val="sq-AL" w:bidi="sq-AL"/>
        </w:rPr>
        <w:t xml:space="preserve">Kërkesat e tij për leje të veçantë me qëllim bërjen e betimit në detyrë janë refuzuar dhe Gjykata e Lartë pritet të marrë në shqyrtim caktimin e apelit përkatës në gjykatën kompetente. Gjykata Kushtetuese pranoi në tetor të shprehet lidhur me </w:t>
      </w:r>
      <w:proofErr w:type="spellStart"/>
      <w:r w:rsidRPr="0032048B">
        <w:rPr>
          <w:lang w:val="sq-AL" w:bidi="sq-AL"/>
        </w:rPr>
        <w:t>kushtetueshmërinë</w:t>
      </w:r>
      <w:proofErr w:type="spellEnd"/>
      <w:r w:rsidRPr="0032048B">
        <w:rPr>
          <w:lang w:val="sq-AL" w:bidi="sq-AL"/>
        </w:rPr>
        <w:t xml:space="preserve"> e procesit gjyqësor penal pas arrestimit të tij. Sa përket çështjes së përcaktimit të kufirit detar, të dy palët kanë rënë dakord ta referojnë së bashku çështjen në Gjykatën Ndërkombëtare të Drejtësisë. Në dhjetor të vitit 2022, Ministrat e Punëve të Jashtme vizituan kryeqytetet e njëri-tjetrit. Në shtator të vitit 2022, mbledhja e parë teknike e përbashkët në kontekstin e marrëveshjes së ardhshme për skemat e sigurimeve shoqërore u mbajt në Athinë.</w:t>
      </w:r>
    </w:p>
    <w:p w14:paraId="4708D9FC" w14:textId="77777777" w:rsidR="00E6279B" w:rsidRPr="0032048B" w:rsidRDefault="00E6279B" w:rsidP="00E6279B">
      <w:pPr>
        <w:pStyle w:val="BodyText"/>
        <w:spacing w:before="240"/>
        <w:rPr>
          <w:lang w:val="sq-AL"/>
        </w:rPr>
      </w:pPr>
      <w:r w:rsidRPr="0032048B">
        <w:rPr>
          <w:lang w:val="sq-AL" w:bidi="sq-AL"/>
        </w:rPr>
        <w:t xml:space="preserve">Marrëdhëniet me </w:t>
      </w:r>
      <w:r w:rsidRPr="0032048B">
        <w:rPr>
          <w:b/>
          <w:i/>
          <w:lang w:val="sq-AL" w:bidi="sq-AL"/>
        </w:rPr>
        <w:t>Italinë</w:t>
      </w:r>
      <w:r w:rsidRPr="0032048B">
        <w:rPr>
          <w:lang w:val="sq-AL" w:bidi="sq-AL"/>
        </w:rPr>
        <w:t xml:space="preserve"> mbeten shumë të mira. Dialogu politik është intensifikuar me vizita të nivelit të lartë nga të dy palët. Në shtator të vitit 2022, Presidenti i Italisë vizitoi Shqipërinë. Në dhjetor të vitit 2022, Kryeministri i Shqipërisë u takua me Kryeministren e Italisë. Ministri për Evropën dhe Punët e Jashtme i Shqipërisë u takua me Zëvendës Kryeministrin dhe Ministrin e Punëve të Jashtme të Italisë në Romë, në nëntor të vitit 2022. Bashkëpunimi në fushën e mbrojtjes, drejtësisë dhe punëve të brendshme u përforcua më tej, përfshirë fushat e luftës kundër krimit </w:t>
      </w:r>
      <w:proofErr w:type="spellStart"/>
      <w:r w:rsidRPr="0032048B">
        <w:rPr>
          <w:lang w:val="sq-AL" w:bidi="sq-AL"/>
        </w:rPr>
        <w:t>kibernetik</w:t>
      </w:r>
      <w:proofErr w:type="spellEnd"/>
      <w:r w:rsidRPr="0032048B">
        <w:rPr>
          <w:lang w:val="sq-AL" w:bidi="sq-AL"/>
        </w:rPr>
        <w:t>, trafikimit të qenieve njerëzore, migracionit të parregullt dhe azilit.</w:t>
      </w:r>
    </w:p>
    <w:p w14:paraId="399F6AAB" w14:textId="77777777" w:rsidR="00E6279B" w:rsidRPr="0032048B" w:rsidRDefault="00E6279B" w:rsidP="00E6279B">
      <w:pPr>
        <w:pStyle w:val="BodyText"/>
        <w:spacing w:before="240"/>
        <w:ind w:left="0" w:right="0"/>
        <w:jc w:val="left"/>
        <w:rPr>
          <w:lang w:val="sq-AL"/>
        </w:rPr>
      </w:pPr>
    </w:p>
    <w:p w14:paraId="33CBFEF5" w14:textId="77777777" w:rsidR="00E6279B" w:rsidRPr="0032048B" w:rsidRDefault="00E6279B" w:rsidP="00E6279B">
      <w:pPr>
        <w:pStyle w:val="ListParagraph"/>
        <w:numPr>
          <w:ilvl w:val="0"/>
          <w:numId w:val="6"/>
        </w:numPr>
        <w:tabs>
          <w:tab w:val="left" w:pos="1220"/>
        </w:tabs>
        <w:spacing w:before="0" w:line="343" w:lineRule="auto"/>
        <w:ind w:left="980" w:right="2830" w:firstLine="0"/>
        <w:rPr>
          <w:b/>
          <w:sz w:val="19"/>
          <w:lang w:val="sq-AL"/>
        </w:rPr>
      </w:pPr>
      <w:bookmarkStart w:id="51" w:name="4._Ability_to_assume_the_obligations_of_"/>
      <w:bookmarkStart w:id="52" w:name="_bookmark33"/>
      <w:bookmarkEnd w:id="51"/>
      <w:bookmarkEnd w:id="52"/>
      <w:r w:rsidRPr="0032048B">
        <w:rPr>
          <w:b/>
          <w:sz w:val="24"/>
          <w:lang w:val="sq-AL" w:bidi="sq-AL"/>
        </w:rPr>
        <w:t xml:space="preserve">AFTËSIA PËR NDËRMARRJEN E DETYRIMEVE TË ANËTARËSISË </w:t>
      </w:r>
      <w:bookmarkStart w:id="53" w:name="Cluster_2:_Internal_Market"/>
      <w:bookmarkStart w:id="54" w:name="_bookmark34"/>
      <w:bookmarkEnd w:id="53"/>
      <w:bookmarkEnd w:id="54"/>
      <w:r w:rsidRPr="0032048B">
        <w:rPr>
          <w:b/>
          <w:sz w:val="24"/>
          <w:lang w:val="sq-AL" w:bidi="sq-AL"/>
        </w:rPr>
        <w:t>G</w:t>
      </w:r>
      <w:r w:rsidRPr="0032048B">
        <w:rPr>
          <w:b/>
          <w:sz w:val="19"/>
          <w:lang w:val="sq-AL" w:bidi="sq-AL"/>
        </w:rPr>
        <w:t xml:space="preserve">RUP KAPITUJT </w:t>
      </w:r>
      <w:r w:rsidRPr="0032048B">
        <w:rPr>
          <w:b/>
          <w:sz w:val="24"/>
          <w:lang w:val="sq-AL" w:bidi="sq-AL"/>
        </w:rPr>
        <w:t>2: T</w:t>
      </w:r>
      <w:r w:rsidRPr="0032048B">
        <w:rPr>
          <w:b/>
          <w:sz w:val="19"/>
          <w:lang w:val="sq-AL" w:bidi="sq-AL"/>
        </w:rPr>
        <w:t xml:space="preserve">REGU </w:t>
      </w:r>
      <w:r w:rsidRPr="0032048B">
        <w:rPr>
          <w:b/>
          <w:sz w:val="24"/>
          <w:lang w:val="sq-AL" w:bidi="sq-AL"/>
        </w:rPr>
        <w:t xml:space="preserve">I </w:t>
      </w:r>
      <w:r w:rsidRPr="0032048B">
        <w:rPr>
          <w:b/>
          <w:sz w:val="19"/>
          <w:lang w:val="sq-AL" w:bidi="sq-AL"/>
        </w:rPr>
        <w:t>BRENDSHËM</w:t>
      </w:r>
    </w:p>
    <w:p w14:paraId="3400D8DE" w14:textId="77777777" w:rsidR="00E6279B" w:rsidRPr="0032048B" w:rsidRDefault="00E6279B" w:rsidP="00E6279B">
      <w:pPr>
        <w:pStyle w:val="BodyText"/>
        <w:spacing w:before="3"/>
        <w:rPr>
          <w:lang w:val="sq-AL"/>
        </w:rPr>
      </w:pPr>
      <w:r w:rsidRPr="0032048B">
        <w:rPr>
          <w:lang w:val="sq-AL" w:bidi="sq-AL"/>
        </w:rPr>
        <w:t xml:space="preserve">Ky grup kapitujsh përfshin: lëvizjen e lirë të mallrave (Kapitulli 1); lirinë e lëvizjes së punëtorëve (Kapitulli 2); të drejtën e themelimit dhe lirinë e ofrimit të shërbimeve (Kapitulli 3); lëvizjen e lirë të kapitalit (Kapitulli 4); legjislacionin për shoqëritë tregtare (Kapitulli 6); legjislacionin për pronësinë intelektuale (Kapitulli 7); politikat e </w:t>
      </w:r>
      <w:proofErr w:type="spellStart"/>
      <w:r w:rsidRPr="0032048B">
        <w:rPr>
          <w:lang w:val="sq-AL" w:bidi="sq-AL"/>
        </w:rPr>
        <w:t>konkurrueshmërisë</w:t>
      </w:r>
      <w:proofErr w:type="spellEnd"/>
      <w:r w:rsidRPr="0032048B">
        <w:rPr>
          <w:lang w:val="sq-AL" w:bidi="sq-AL"/>
        </w:rPr>
        <w:t xml:space="preserve"> (Kapitulli 8); shërbimet financiare (Kapitulli 9) dhe mbrojtjen e konsumatorit dhe shëndetit (Kapitulli 28). Ky grup kapitujsh është kyç për përgatitjet e Shqipërisë lidhur me kërkesat e tregut të brendshëm të BE-së dhe është shumë i rëndësishëm për zhvillimin e Tregut të Përbashkët Rajonal.</w:t>
      </w:r>
    </w:p>
    <w:p w14:paraId="1F8C8AA7" w14:textId="40C2878D" w:rsidR="00E6279B" w:rsidRPr="0032048B" w:rsidRDefault="00E6279B" w:rsidP="00E6279B">
      <w:pPr>
        <w:pStyle w:val="BodyText"/>
        <w:spacing w:before="119"/>
        <w:rPr>
          <w:lang w:val="sq-AL"/>
        </w:rPr>
      </w:pPr>
      <w:r w:rsidRPr="0032048B">
        <w:rPr>
          <w:lang w:val="sq-AL" w:bidi="sq-AL"/>
        </w:rPr>
        <w:t xml:space="preserve">Shqipëria është e përgatitur mesatarisht në fushat e të drejtës së themelimit dhe lirisë së ofrimit të shërbimeve, lëvizjes së lirë të kapitalit, legjislacionit për shoqëritë tregtare, legjislacionit për pronësinë intelektuale, dhe shërbimeve financiare. Është arritur progres i mirë me legjislacionin për pronësinë intelektuale si dhe me lëvizjen e lirë të kapitalit, çka mund të rezultojë në nxjerrjen e vendit nga lista e juridiksioneve nën monitorim të shtuar. Megjithatë, Shqipëria duhet të sigurojë që aktet e ardhshme ligjore për VTC-në (përfshirë amnistitë e mundshme penale) të jenë në përputhje me </w:t>
      </w:r>
      <w:proofErr w:type="spellStart"/>
      <w:r w:rsidRPr="0032048B">
        <w:rPr>
          <w:i/>
          <w:lang w:val="sq-AL" w:bidi="sq-AL"/>
        </w:rPr>
        <w:t>acquis</w:t>
      </w:r>
      <w:proofErr w:type="spellEnd"/>
      <w:r w:rsidRPr="0032048B">
        <w:rPr>
          <w:i/>
          <w:lang w:val="sq-AL" w:bidi="sq-AL"/>
        </w:rPr>
        <w:t>-në</w:t>
      </w:r>
      <w:r w:rsidR="004D53EC">
        <w:rPr>
          <w:i/>
          <w:lang w:val="sq-AL" w:bidi="sq-AL"/>
        </w:rPr>
        <w:t xml:space="preserve"> </w:t>
      </w:r>
      <w:r w:rsidRPr="0032048B">
        <w:rPr>
          <w:lang w:val="sq-AL" w:bidi="sq-AL"/>
        </w:rPr>
        <w:t xml:space="preserve">e BE-së dhe standardet ndërkombëtare. Vendi është midis nivelit të mjaftueshëm dhe mesatar sa i përket përgatitjes në fushën e lëvizjes së lirë të mallrave, në të cilën është bërë progres i kufizuar, dhe në fushën e politikave të konkurrencës. Lidhur me lëvizjen e lirë të punëtorëve është shënuar përgatitje e mjaftueshme, me progres të </w:t>
      </w:r>
      <w:r w:rsidRPr="0032048B">
        <w:rPr>
          <w:lang w:val="sq-AL" w:bidi="sq-AL"/>
        </w:rPr>
        <w:lastRenderedPageBreak/>
        <w:t xml:space="preserve">mirë veçanërisht lidhur me lëvizjen e lirë të anëtarëve të familjes së shtetasve të BE-së. Është arritur progres i kufizuar edhe lidhur me lirinë e ofrimit të shërbimeve dhe legjislacionin për shoqëritë tregtare. Përgatitjet janë në fazë të hershme lidhur me mbrojtjen e konsumatorit dhe shëndetit, lidhur me të cilat vendi ka arritur progres të kufizuar. Nevojiten ende përpjekje domethënëse, veçanërisht për sigurimin e kujdesit shëndetësor cilësor për të gjithë. Nuk ka progres lidhur me politikat për konkurrencën, ku Komisioni i Ndihmës Shtetërore (KNSH) nuk ka ende pavarësi </w:t>
      </w:r>
      <w:proofErr w:type="spellStart"/>
      <w:r w:rsidRPr="0032048B">
        <w:rPr>
          <w:lang w:val="sq-AL" w:bidi="sq-AL"/>
        </w:rPr>
        <w:t>operacionale</w:t>
      </w:r>
      <w:proofErr w:type="spellEnd"/>
      <w:r w:rsidRPr="0032048B">
        <w:rPr>
          <w:lang w:val="sq-AL" w:bidi="sq-AL"/>
        </w:rPr>
        <w:t>.</w:t>
      </w:r>
    </w:p>
    <w:p w14:paraId="6DAFDF83" w14:textId="77777777" w:rsidR="00E6279B" w:rsidRPr="0032048B" w:rsidRDefault="00E6279B" w:rsidP="00E6279B">
      <w:pPr>
        <w:pStyle w:val="Heading1"/>
        <w:rPr>
          <w:lang w:val="sq-AL"/>
        </w:rPr>
      </w:pPr>
      <w:bookmarkStart w:id="55" w:name="Chapter_1:_Free_movement_of_goods"/>
      <w:bookmarkStart w:id="56" w:name="_bookmark35"/>
      <w:bookmarkEnd w:id="55"/>
      <w:bookmarkEnd w:id="56"/>
      <w:r w:rsidRPr="0032048B">
        <w:rPr>
          <w:lang w:val="sq-AL" w:bidi="sq-AL"/>
        </w:rPr>
        <w:t>Kapitulli 1: Lëvizja e lirë e mallrave</w:t>
      </w:r>
    </w:p>
    <w:p w14:paraId="0F1EA34C" w14:textId="77777777" w:rsidR="00E6279B" w:rsidRPr="0032048B" w:rsidRDefault="00E6279B" w:rsidP="00E6279B">
      <w:pPr>
        <w:spacing w:before="120"/>
        <w:ind w:left="979" w:right="976"/>
        <w:jc w:val="both"/>
        <w:rPr>
          <w:i/>
          <w:sz w:val="24"/>
          <w:lang w:val="sq-AL"/>
        </w:rPr>
      </w:pPr>
      <w:r w:rsidRPr="0032048B">
        <w:rPr>
          <w:i/>
          <w:sz w:val="24"/>
          <w:lang w:val="sq-AL" w:bidi="sq-AL"/>
        </w:rPr>
        <w:t>Lëvizja e lirë e mallrave siguron tregtimin e lirë të shumë produkteve në të gjithë BE-në, bazuar në rregulla dhe procedura të njëjta. Në rastet kur produktet rregullohen nga rregulloret kombëtare, parimi i lëvizjes së lirë të mallrave u parandalon këtyre rregullave të ngrenë pengesa të justifikuara ndaj tregtisë.</w:t>
      </w:r>
    </w:p>
    <w:p w14:paraId="38A92ACA" w14:textId="77777777" w:rsidR="00E6279B" w:rsidRDefault="00E6279B" w:rsidP="00E6279B">
      <w:pPr>
        <w:jc w:val="both"/>
        <w:rPr>
          <w:sz w:val="24"/>
          <w:lang w:val="sq-AL"/>
        </w:rPr>
      </w:pP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4"/>
      </w:tblGrid>
      <w:tr w:rsidR="00E6279B" w:rsidRPr="0032048B" w14:paraId="0EBC6910" w14:textId="77777777" w:rsidTr="00456F1B">
        <w:trPr>
          <w:trHeight w:val="5261"/>
        </w:trPr>
        <w:tc>
          <w:tcPr>
            <w:tcW w:w="9254" w:type="dxa"/>
            <w:shd w:val="clear" w:color="auto" w:fill="D9D9D9"/>
          </w:tcPr>
          <w:p w14:paraId="21856952" w14:textId="77777777" w:rsidR="00E6279B" w:rsidRPr="0032048B" w:rsidRDefault="00E6279B" w:rsidP="00456F1B">
            <w:pPr>
              <w:pStyle w:val="TableParagraph"/>
              <w:spacing w:before="19"/>
              <w:ind w:left="113" w:right="100"/>
              <w:jc w:val="both"/>
              <w:rPr>
                <w:sz w:val="24"/>
                <w:lang w:val="sq-AL"/>
              </w:rPr>
            </w:pPr>
            <w:r w:rsidRPr="0032048B">
              <w:rPr>
                <w:sz w:val="24"/>
                <w:lang w:val="sq-AL" w:bidi="sq-AL"/>
              </w:rPr>
              <w:t xml:space="preserve">Shqipëria është </w:t>
            </w:r>
            <w:r w:rsidRPr="0032048B">
              <w:rPr>
                <w:b/>
                <w:sz w:val="24"/>
                <w:lang w:val="sq-AL" w:bidi="sq-AL"/>
              </w:rPr>
              <w:t>midis përgatitjes së mjaftueshme dhe mesatare</w:t>
            </w:r>
            <w:r w:rsidRPr="0032048B">
              <w:rPr>
                <w:sz w:val="24"/>
                <w:lang w:val="sq-AL" w:bidi="sq-AL"/>
              </w:rPr>
              <w:t xml:space="preserve"> në fushën e lëvizjes së lirë të mallrave. Ka </w:t>
            </w:r>
            <w:r w:rsidRPr="0032048B">
              <w:rPr>
                <w:b/>
                <w:sz w:val="24"/>
                <w:lang w:val="sq-AL" w:bidi="sq-AL"/>
              </w:rPr>
              <w:t>progres të kufizuar</w:t>
            </w:r>
            <w:r w:rsidRPr="0032048B">
              <w:rPr>
                <w:sz w:val="24"/>
                <w:lang w:val="sq-AL" w:bidi="sq-AL"/>
              </w:rPr>
              <w:t xml:space="preserve"> në përgjithësi si dhe për rekomandimet e vitit të shkuar lidhur me përafrimin e </w:t>
            </w:r>
            <w:proofErr w:type="spellStart"/>
            <w:r w:rsidRPr="0032048B">
              <w:rPr>
                <w:i/>
                <w:sz w:val="24"/>
                <w:lang w:val="sq-AL" w:bidi="sq-AL"/>
              </w:rPr>
              <w:t>acquis</w:t>
            </w:r>
            <w:proofErr w:type="spellEnd"/>
            <w:r w:rsidRPr="0032048B">
              <w:rPr>
                <w:i/>
                <w:sz w:val="24"/>
                <w:lang w:val="sq-AL" w:bidi="sq-AL"/>
              </w:rPr>
              <w:t>-ve</w:t>
            </w:r>
            <w:r w:rsidRPr="0032048B">
              <w:rPr>
                <w:sz w:val="24"/>
                <w:lang w:val="sq-AL" w:bidi="sq-AL"/>
              </w:rPr>
              <w:t xml:space="preserve"> të BE-së për enët me trysni të thjeshtë, në veçanti. Pavarësisht një kontrolli fillestar të përputhjes me Nenet 34-36 të TFBE-së, kjo është e kufizuar në fushën e harmonizimit deri tani). Në lidhje me infrastrukturën cilësore, disa kuadro ligjore nuk janë përafruar ende dhe megjithëse Shqipëria ka nisur procesin, ajo nuk është anëtarësuar ende plotësisht në të gjitha organet e standardeve të BE-së. Për këto arsye, rekomandimet e vitit të shkuar mbeten të vlefshme, duke qenë se duhen bërë ende përpjekje për sigurimin e përafrimit ligjor dhe përforcimit të ekzekutimit.</w:t>
            </w:r>
          </w:p>
          <w:p w14:paraId="16263167" w14:textId="77777777" w:rsidR="00E6279B" w:rsidRPr="0032048B" w:rsidRDefault="00E6279B" w:rsidP="00456F1B">
            <w:pPr>
              <w:pStyle w:val="TableParagraph"/>
              <w:spacing w:before="120"/>
              <w:ind w:left="113"/>
              <w:jc w:val="both"/>
              <w:rPr>
                <w:sz w:val="24"/>
                <w:lang w:val="sq-AL"/>
              </w:rPr>
            </w:pPr>
            <w:r w:rsidRPr="0032048B">
              <w:rPr>
                <w:sz w:val="24"/>
                <w:lang w:val="sq-AL" w:bidi="sq-AL"/>
              </w:rPr>
              <w:t>Gjatë vitit të ardhshëm, në veçanti vendi duhet të:</w:t>
            </w:r>
          </w:p>
          <w:p w14:paraId="52420240" w14:textId="77777777" w:rsidR="00E6279B" w:rsidRPr="0032048B" w:rsidRDefault="00E6279B" w:rsidP="00456F1B">
            <w:pPr>
              <w:pStyle w:val="TableParagraph"/>
              <w:spacing w:before="120"/>
              <w:ind w:left="473" w:right="102" w:hanging="360"/>
              <w:jc w:val="both"/>
              <w:rPr>
                <w:sz w:val="24"/>
                <w:lang w:val="sq-AL"/>
              </w:rPr>
            </w:pPr>
            <w:r w:rsidRPr="0032048B">
              <w:rPr>
                <w:sz w:val="24"/>
                <w:lang w:val="sq-AL" w:bidi="sq-AL"/>
              </w:rPr>
              <w:t xml:space="preserve"> përfundojë përafrimin e legjislacionit vendas me </w:t>
            </w:r>
            <w:proofErr w:type="spellStart"/>
            <w:r w:rsidRPr="0032048B">
              <w:rPr>
                <w:i/>
                <w:sz w:val="24"/>
                <w:lang w:val="sq-AL" w:bidi="sq-AL"/>
              </w:rPr>
              <w:t>acquis</w:t>
            </w:r>
            <w:proofErr w:type="spellEnd"/>
            <w:r w:rsidRPr="0032048B">
              <w:rPr>
                <w:i/>
                <w:sz w:val="24"/>
                <w:lang w:val="sq-AL" w:bidi="sq-AL"/>
              </w:rPr>
              <w:t>-në</w:t>
            </w:r>
            <w:r w:rsidRPr="0032048B">
              <w:rPr>
                <w:sz w:val="24"/>
                <w:lang w:val="sq-AL" w:bidi="sq-AL"/>
              </w:rPr>
              <w:t xml:space="preserve"> e BE-së për infrastrukturën cilësore, pra për akreditimin, vlerësimin e përputhshmërisë dhe mbikëqyrjen e tregut;</w:t>
            </w:r>
          </w:p>
          <w:p w14:paraId="495D362E" w14:textId="77777777" w:rsidR="00E6279B" w:rsidRPr="0032048B" w:rsidRDefault="00E6279B" w:rsidP="00456F1B">
            <w:pPr>
              <w:pStyle w:val="TableParagraph"/>
              <w:spacing w:before="119"/>
              <w:ind w:left="113"/>
              <w:jc w:val="both"/>
              <w:rPr>
                <w:sz w:val="24"/>
                <w:lang w:val="sq-AL"/>
              </w:rPr>
            </w:pPr>
            <w:r w:rsidRPr="0032048B">
              <w:rPr>
                <w:sz w:val="24"/>
                <w:lang w:val="sq-AL" w:bidi="sq-AL"/>
              </w:rPr>
              <w:t> përforcojë në mënyrë thelbësore kapacitetet e ekzekutimit të inspektoratit për mbikëqyrjen e tregut;</w:t>
            </w:r>
          </w:p>
          <w:p w14:paraId="17F44FE4" w14:textId="77777777" w:rsidR="00E6279B" w:rsidRPr="0032048B" w:rsidRDefault="00E6279B" w:rsidP="00456F1B">
            <w:pPr>
              <w:pStyle w:val="TableParagraph"/>
              <w:spacing w:before="118"/>
              <w:ind w:left="473" w:right="100" w:hanging="360"/>
              <w:jc w:val="both"/>
              <w:rPr>
                <w:sz w:val="24"/>
                <w:lang w:val="sq-AL"/>
              </w:rPr>
            </w:pPr>
            <w:r w:rsidRPr="0032048B">
              <w:rPr>
                <w:sz w:val="24"/>
                <w:lang w:val="sq-AL" w:bidi="sq-AL"/>
              </w:rPr>
              <w:t xml:space="preserve"> miratojë një plan veprimi për vlerësimin e të gjithë legjislacionit, procedurave dhe praktikave administrative vendase për përputhjen me nenet 34-36 të Traktatit për Funksionimin e Bashkimit Evropian (TFBE), që trajton plotësisht fushën e </w:t>
            </w:r>
            <w:proofErr w:type="spellStart"/>
            <w:r w:rsidRPr="0032048B">
              <w:rPr>
                <w:sz w:val="24"/>
                <w:lang w:val="sq-AL" w:bidi="sq-AL"/>
              </w:rPr>
              <w:t>paharmonizuar</w:t>
            </w:r>
            <w:proofErr w:type="spellEnd"/>
            <w:r w:rsidRPr="0032048B">
              <w:rPr>
                <w:sz w:val="24"/>
                <w:lang w:val="sq-AL" w:bidi="sq-AL"/>
              </w:rPr>
              <w:t>, me afate</w:t>
            </w:r>
          </w:p>
          <w:p w14:paraId="12A994C1" w14:textId="77777777" w:rsidR="00E6279B" w:rsidRPr="0032048B" w:rsidRDefault="00E6279B" w:rsidP="00456F1B">
            <w:pPr>
              <w:pStyle w:val="TableParagraph"/>
              <w:spacing w:line="270" w:lineRule="atLeast"/>
              <w:ind w:left="473" w:right="101"/>
              <w:jc w:val="both"/>
              <w:rPr>
                <w:sz w:val="24"/>
                <w:lang w:val="sq-AL"/>
              </w:rPr>
            </w:pPr>
            <w:r w:rsidRPr="0032048B">
              <w:rPr>
                <w:sz w:val="24"/>
                <w:lang w:val="sq-AL" w:bidi="sq-AL"/>
              </w:rPr>
              <w:t xml:space="preserve">për vlerësimin analitik të </w:t>
            </w:r>
            <w:proofErr w:type="spellStart"/>
            <w:r w:rsidRPr="0032048B">
              <w:rPr>
                <w:sz w:val="24"/>
                <w:lang w:val="sq-AL" w:bidi="sq-AL"/>
              </w:rPr>
              <w:t>të</w:t>
            </w:r>
            <w:proofErr w:type="spellEnd"/>
            <w:r w:rsidRPr="0032048B">
              <w:rPr>
                <w:sz w:val="24"/>
                <w:lang w:val="sq-AL" w:bidi="sq-AL"/>
              </w:rPr>
              <w:t xml:space="preserve"> gjithë këtij legjislacioni, dhe praktika për përfshirjen e dispozitave të njohjes së ndërsjellë, ose shfuqizimin dhe/ose ndryshimin e legjislacionit dhe praktikave sipas nevojës.</w:t>
            </w:r>
          </w:p>
        </w:tc>
      </w:tr>
    </w:tbl>
    <w:p w14:paraId="6D174016" w14:textId="77777777" w:rsidR="00E6279B" w:rsidRPr="0032048B" w:rsidRDefault="00E6279B" w:rsidP="00E6279B">
      <w:pPr>
        <w:pStyle w:val="BodyText"/>
        <w:spacing w:before="144"/>
        <w:ind w:right="0"/>
        <w:rPr>
          <w:lang w:val="sq-AL"/>
        </w:rPr>
      </w:pPr>
      <w:r w:rsidRPr="0032048B">
        <w:rPr>
          <w:u w:val="single"/>
          <w:lang w:val="sq-AL" w:bidi="sq-AL"/>
        </w:rPr>
        <w:t>Parime të përgjithshme</w:t>
      </w:r>
    </w:p>
    <w:p w14:paraId="30026B74" w14:textId="77777777" w:rsidR="00E6279B" w:rsidRPr="0032048B" w:rsidRDefault="00E6279B" w:rsidP="00E6279B">
      <w:pPr>
        <w:pStyle w:val="BodyText"/>
        <w:ind w:left="979"/>
        <w:rPr>
          <w:lang w:val="sq-AL"/>
        </w:rPr>
      </w:pPr>
      <w:r w:rsidRPr="0032048B">
        <w:rPr>
          <w:lang w:val="sq-AL" w:bidi="sq-AL"/>
        </w:rPr>
        <w:t xml:space="preserve">Legjislacioni i Shqipërisë nuk është i përafruar me Nenet 34-36 të TFBE-së. Planet për përafrimin e mëtejshëm të </w:t>
      </w:r>
      <w:proofErr w:type="spellStart"/>
      <w:r w:rsidRPr="0032048B">
        <w:rPr>
          <w:i/>
          <w:lang w:val="sq-AL" w:bidi="sq-AL"/>
        </w:rPr>
        <w:t>acquis</w:t>
      </w:r>
      <w:proofErr w:type="spellEnd"/>
      <w:r w:rsidRPr="0032048B">
        <w:rPr>
          <w:i/>
          <w:lang w:val="sq-AL" w:bidi="sq-AL"/>
        </w:rPr>
        <w:t>-ve</w:t>
      </w:r>
      <w:r w:rsidRPr="0032048B">
        <w:rPr>
          <w:lang w:val="sq-AL" w:bidi="sq-AL"/>
        </w:rPr>
        <w:t xml:space="preserve"> të BE-së janë përcaktuar në planin kombëtar për integrimin evropian 2023-2025 të miratuar në shkurt 2023, dhe në strategjinë aktuale për mbrojtjen e konsumatorit dhe mbikëqyrjen e tregut.</w:t>
      </w:r>
    </w:p>
    <w:p w14:paraId="67E10480" w14:textId="77777777" w:rsidR="00E6279B" w:rsidRPr="0032048B" w:rsidRDefault="00E6279B" w:rsidP="00E6279B">
      <w:pPr>
        <w:pStyle w:val="BodyText"/>
        <w:ind w:right="0"/>
        <w:rPr>
          <w:lang w:val="sq-AL"/>
        </w:rPr>
      </w:pPr>
      <w:r w:rsidRPr="0032048B">
        <w:rPr>
          <w:u w:val="single"/>
          <w:lang w:val="sq-AL" w:bidi="sq-AL"/>
        </w:rPr>
        <w:t xml:space="preserve">Fusha e </w:t>
      </w:r>
      <w:proofErr w:type="spellStart"/>
      <w:r w:rsidRPr="0032048B">
        <w:rPr>
          <w:u w:val="single"/>
          <w:lang w:val="sq-AL" w:bidi="sq-AL"/>
        </w:rPr>
        <w:t>paharmonizuar</w:t>
      </w:r>
      <w:proofErr w:type="spellEnd"/>
    </w:p>
    <w:p w14:paraId="3E7687A7" w14:textId="77777777" w:rsidR="00E6279B" w:rsidRPr="0032048B" w:rsidRDefault="00E6279B" w:rsidP="00E6279B">
      <w:pPr>
        <w:pStyle w:val="BodyText"/>
        <w:ind w:right="977"/>
        <w:rPr>
          <w:lang w:val="sq-AL"/>
        </w:rPr>
      </w:pPr>
      <w:r w:rsidRPr="0032048B">
        <w:rPr>
          <w:lang w:val="sq-AL" w:bidi="sq-AL"/>
        </w:rPr>
        <w:t xml:space="preserve">Shqipëria duhet të zgjerojë objektin e saj të punës për hartimin e një plani veprimi për vlerësimin e rregulloreve teknike kombëtare me qëllim përputhjen me </w:t>
      </w:r>
      <w:r w:rsidRPr="0032048B">
        <w:rPr>
          <w:b/>
          <w:lang w:val="sq-AL" w:bidi="sq-AL"/>
        </w:rPr>
        <w:t>Nenet 34-36 të TFBE-së</w:t>
      </w:r>
      <w:r w:rsidRPr="0032048B">
        <w:rPr>
          <w:lang w:val="sq-AL" w:bidi="sq-AL"/>
        </w:rPr>
        <w:t xml:space="preserve">, duke qenë se deri tani vendi është përqendruar vetëm në sektorët e produkteve të harmonizuara. Qëllimi kryesor i këtij plani veprimi është sigurojë mungesën e problemeve lidhur me fushat e </w:t>
      </w:r>
      <w:proofErr w:type="spellStart"/>
      <w:r w:rsidRPr="0032048B">
        <w:rPr>
          <w:lang w:val="sq-AL" w:bidi="sq-AL"/>
        </w:rPr>
        <w:t>paharmonizuara</w:t>
      </w:r>
      <w:proofErr w:type="spellEnd"/>
      <w:r w:rsidRPr="0032048B">
        <w:rPr>
          <w:lang w:val="sq-AL" w:bidi="sq-AL"/>
        </w:rPr>
        <w:t xml:space="preserve">, pra të sigurojë që legjislacioni, proceset, procedurat ose rregullat e </w:t>
      </w:r>
      <w:proofErr w:type="spellStart"/>
      <w:r w:rsidRPr="0032048B">
        <w:rPr>
          <w:lang w:val="sq-AL" w:bidi="sq-AL"/>
        </w:rPr>
        <w:t>paharmonizuara</w:t>
      </w:r>
      <w:proofErr w:type="spellEnd"/>
      <w:r w:rsidRPr="0032048B">
        <w:rPr>
          <w:lang w:val="sq-AL" w:bidi="sq-AL"/>
        </w:rPr>
        <w:t xml:space="preserve"> janë në përputhje të plotë me Nenet 34-36 të TFBE-së, ose që mbulohen nga dispozita të njohjes së ndërsjellë. Kështu, me qëllim që plani i saj i veprimit të </w:t>
      </w:r>
      <w:r w:rsidRPr="0032048B">
        <w:rPr>
          <w:lang w:val="sq-AL" w:bidi="sq-AL"/>
        </w:rPr>
        <w:lastRenderedPageBreak/>
        <w:t xml:space="preserve">jetë në përputhje me Nenet 34-36 të TFBE-së, Shqipëria duhet të sigurojë që plani i saj i veprimit mbulon të gjitha fushat e </w:t>
      </w:r>
      <w:proofErr w:type="spellStart"/>
      <w:r w:rsidRPr="0032048B">
        <w:rPr>
          <w:lang w:val="sq-AL" w:bidi="sq-AL"/>
        </w:rPr>
        <w:t>paharmonizuara</w:t>
      </w:r>
      <w:proofErr w:type="spellEnd"/>
      <w:r w:rsidRPr="0032048B">
        <w:rPr>
          <w:lang w:val="sq-AL" w:bidi="sq-AL"/>
        </w:rPr>
        <w:t>.</w:t>
      </w:r>
    </w:p>
    <w:p w14:paraId="643EF3BF" w14:textId="77777777" w:rsidR="00E6279B" w:rsidRPr="0032048B" w:rsidRDefault="00E6279B" w:rsidP="00E6279B">
      <w:pPr>
        <w:pStyle w:val="BodyText"/>
        <w:spacing w:before="119"/>
        <w:ind w:right="0"/>
        <w:rPr>
          <w:lang w:val="sq-AL"/>
        </w:rPr>
      </w:pPr>
      <w:r w:rsidRPr="0032048B">
        <w:rPr>
          <w:u w:val="single"/>
          <w:lang w:val="sq-AL" w:bidi="sq-AL"/>
        </w:rPr>
        <w:t>Fushë e harmonizuar: infrastruktura cilësore</w:t>
      </w:r>
    </w:p>
    <w:p w14:paraId="5E19DDAC" w14:textId="77777777" w:rsidR="00E6279B" w:rsidRPr="0032048B" w:rsidRDefault="00E6279B" w:rsidP="00E6279B">
      <w:pPr>
        <w:pStyle w:val="BodyText"/>
        <w:ind w:left="979"/>
        <w:rPr>
          <w:lang w:val="sq-AL"/>
        </w:rPr>
      </w:pPr>
      <w:r w:rsidRPr="0032048B">
        <w:rPr>
          <w:lang w:val="sq-AL" w:bidi="sq-AL"/>
        </w:rPr>
        <w:t xml:space="preserve">Legjislacioni shqiptar për </w:t>
      </w:r>
      <w:r w:rsidRPr="0032048B">
        <w:rPr>
          <w:b/>
          <w:lang w:val="sq-AL" w:bidi="sq-AL"/>
        </w:rPr>
        <w:t>akreditimin</w:t>
      </w:r>
      <w:r w:rsidRPr="0032048B">
        <w:rPr>
          <w:lang w:val="sq-AL" w:bidi="sq-AL"/>
        </w:rPr>
        <w:t xml:space="preserve"> është i përafruar me </w:t>
      </w:r>
      <w:proofErr w:type="spellStart"/>
      <w:r w:rsidRPr="0032048B">
        <w:rPr>
          <w:i/>
          <w:lang w:val="sq-AL" w:bidi="sq-AL"/>
        </w:rPr>
        <w:t>acquis</w:t>
      </w:r>
      <w:proofErr w:type="spellEnd"/>
      <w:r w:rsidRPr="0032048B">
        <w:rPr>
          <w:i/>
          <w:lang w:val="sq-AL" w:bidi="sq-AL"/>
        </w:rPr>
        <w:t>-në</w:t>
      </w:r>
      <w:r w:rsidRPr="0032048B">
        <w:rPr>
          <w:lang w:val="sq-AL" w:bidi="sq-AL"/>
        </w:rPr>
        <w:t xml:space="preserve"> e BE-së, ndërsa ai për mbikëqyrjen e tregut është i përafruar pjesërisht.</w:t>
      </w:r>
      <w:r w:rsidRPr="0032048B">
        <w:rPr>
          <w:i/>
          <w:lang w:val="sq-AL" w:bidi="sq-AL"/>
        </w:rPr>
        <w:t xml:space="preserve"> </w:t>
      </w:r>
      <w:r w:rsidRPr="0032048B">
        <w:rPr>
          <w:lang w:val="sq-AL" w:bidi="sq-AL"/>
        </w:rPr>
        <w:t>Ka tashmë struktura administrative për trajtimin e rregulloreve teknike, standardizimin, vlerësimin e përputhshmërisë, metrologjinë, akreditimin dhe mbikëqyrjen e tregut, por duhet të përfundojë rekrutimi i personelit për sigurimin e mbikëqyrjes së tregut për të gjithë sektorët e harmonizuar. Shqipëria ka marrëveshje të ndërsjella bashkëpunimi për akreditimin, standardizimin dhe vlerësimin e përputhshmërisë me disa Vende Anëtare të BE-së, vende të rajonit dhe vende të tjera jashtë BE-së.</w:t>
      </w:r>
    </w:p>
    <w:p w14:paraId="2159EFEB" w14:textId="77777777" w:rsidR="00E6279B" w:rsidRPr="0032048B" w:rsidRDefault="00E6279B" w:rsidP="00E6279B">
      <w:pPr>
        <w:pStyle w:val="BodyText"/>
        <w:spacing w:before="121"/>
        <w:ind w:left="979" w:right="977"/>
        <w:rPr>
          <w:lang w:val="sq-AL"/>
        </w:rPr>
      </w:pPr>
      <w:r w:rsidRPr="0032048B">
        <w:rPr>
          <w:lang w:val="sq-AL" w:bidi="sq-AL"/>
        </w:rPr>
        <w:t xml:space="preserve">Lidhur me </w:t>
      </w:r>
      <w:r w:rsidRPr="0032048B">
        <w:rPr>
          <w:b/>
          <w:lang w:val="sq-AL" w:bidi="sq-AL"/>
        </w:rPr>
        <w:t>standardizimin</w:t>
      </w:r>
      <w:r w:rsidRPr="0032048B">
        <w:rPr>
          <w:lang w:val="sq-AL" w:bidi="sq-AL"/>
        </w:rPr>
        <w:t xml:space="preserve"> kuadri ligjor shqiptar është hartuar për të qenë i përafruar me </w:t>
      </w:r>
      <w:proofErr w:type="spellStart"/>
      <w:r w:rsidRPr="0032048B">
        <w:rPr>
          <w:i/>
          <w:lang w:val="sq-AL" w:bidi="sq-AL"/>
        </w:rPr>
        <w:t>acquis</w:t>
      </w:r>
      <w:proofErr w:type="spellEnd"/>
      <w:r w:rsidRPr="0032048B">
        <w:rPr>
          <w:i/>
          <w:lang w:val="sq-AL" w:bidi="sq-AL"/>
        </w:rPr>
        <w:t>-në</w:t>
      </w:r>
      <w:r w:rsidRPr="0032048B">
        <w:rPr>
          <w:lang w:val="sq-AL" w:bidi="sq-AL"/>
        </w:rPr>
        <w:t xml:space="preserve"> e BE-së. Drejtoria e Përgjithshme e Standardizimit e Shqipërisë është anëtare me të drejta të plota e Institutit Evropian të Standardeve të Telekomunikacioni (ETSI), degë e Komitetit Evropian për Standardizimin (CEN) dhe Komitetit Evropian për Standardizimin </w:t>
      </w:r>
      <w:proofErr w:type="spellStart"/>
      <w:r w:rsidRPr="0032048B">
        <w:rPr>
          <w:lang w:val="sq-AL" w:bidi="sq-AL"/>
        </w:rPr>
        <w:t>Elektro</w:t>
      </w:r>
      <w:proofErr w:type="spellEnd"/>
      <w:r w:rsidRPr="0032048B">
        <w:rPr>
          <w:lang w:val="sq-AL" w:bidi="sq-AL"/>
        </w:rPr>
        <w:t xml:space="preserve">-Teknik (CENELEC), dhe anëtar i </w:t>
      </w:r>
      <w:proofErr w:type="spellStart"/>
      <w:r w:rsidRPr="0032048B">
        <w:rPr>
          <w:lang w:val="sq-AL" w:bidi="sq-AL"/>
        </w:rPr>
        <w:t>asociuar</w:t>
      </w:r>
      <w:proofErr w:type="spellEnd"/>
      <w:r w:rsidRPr="0032048B">
        <w:rPr>
          <w:lang w:val="sq-AL" w:bidi="sq-AL"/>
        </w:rPr>
        <w:t xml:space="preserve"> i Komisionit Ndërkombëtar </w:t>
      </w:r>
      <w:proofErr w:type="spellStart"/>
      <w:r w:rsidRPr="0032048B">
        <w:rPr>
          <w:lang w:val="sq-AL" w:bidi="sq-AL"/>
        </w:rPr>
        <w:t>Elektro</w:t>
      </w:r>
      <w:proofErr w:type="spellEnd"/>
      <w:r w:rsidRPr="0032048B">
        <w:rPr>
          <w:lang w:val="sq-AL" w:bidi="sq-AL"/>
        </w:rPr>
        <w:t>-Teknik (IEC). Ajo ka aplikuar për anëtarësi me të drejta të plota në CEN/CENELEC në korrik 2021, dhe</w:t>
      </w:r>
    </w:p>
    <w:p w14:paraId="02D06C6D" w14:textId="77777777" w:rsidR="00E6279B" w:rsidRPr="0032048B" w:rsidRDefault="00E6279B" w:rsidP="00E6279B">
      <w:pPr>
        <w:pStyle w:val="BodyText"/>
        <w:spacing w:before="62"/>
        <w:ind w:left="979"/>
        <w:rPr>
          <w:lang w:val="sq-AL"/>
        </w:rPr>
      </w:pPr>
      <w:r w:rsidRPr="0032048B">
        <w:rPr>
          <w:lang w:val="sq-AL" w:bidi="sq-AL"/>
        </w:rPr>
        <w:t xml:space="preserve">po trajton aktualisht çështjet e identifikuara në kuadër të shqyrtimit mes kolegësh të CEN/CENELEC me qëllim arritjen e këtij synimi, përfshirë plotësimin me personel. Standardet kombëtare janë miratuar në përputhje me standardet e BE-së (të përcaktuara nga CEN, CENELEC dhe ETSI). Në vitin 2022, janë miratuar 1 828 evropiane dhe ndërkombëtare (përfshirë 953 standarde të CEN-CENELEC, 384 të ETSI dhe 491 të Organizatës Kombëtare për Standardizimin (IOS) dhe të Komisionit Ndërkombëtar </w:t>
      </w:r>
      <w:proofErr w:type="spellStart"/>
      <w:r w:rsidRPr="0032048B">
        <w:rPr>
          <w:lang w:val="sq-AL" w:bidi="sq-AL"/>
        </w:rPr>
        <w:t>Elektro</w:t>
      </w:r>
      <w:proofErr w:type="spellEnd"/>
      <w:r w:rsidRPr="0032048B">
        <w:rPr>
          <w:lang w:val="sq-AL" w:bidi="sq-AL"/>
        </w:rPr>
        <w:t>-Teknik (IEC)). Gjatë periudhës janar-shtator 2023, DPS-ja miratoi 737 standarde evropiane dhe ndërkombëtare si standarde shqiptare (përfshirë 430 standarde të CEN-CENELEC, 151 të ETSI dhe 156 të IO dhe IEC). Të gjitha standardet e harmonizuara evropiane janë miratuar si standarde të harmonizuara shqiptare, të gjitha përmes metodës së "faqes së parë", ndërkohë që 318 janë tërhequr.</w:t>
      </w:r>
    </w:p>
    <w:p w14:paraId="10DC3411" w14:textId="77777777" w:rsidR="00E6279B" w:rsidRPr="0032048B" w:rsidRDefault="00E6279B" w:rsidP="00E6279B">
      <w:pPr>
        <w:pStyle w:val="BodyText"/>
        <w:ind w:left="979"/>
        <w:rPr>
          <w:lang w:val="sq-AL"/>
        </w:rPr>
      </w:pPr>
      <w:r w:rsidRPr="0032048B">
        <w:rPr>
          <w:lang w:val="sq-AL" w:bidi="sq-AL"/>
        </w:rPr>
        <w:t xml:space="preserve">Legjislacioni shqiptar për akreditimin e organeve të </w:t>
      </w:r>
      <w:r w:rsidRPr="0032048B">
        <w:rPr>
          <w:b/>
          <w:lang w:val="sq-AL" w:bidi="sq-AL"/>
        </w:rPr>
        <w:t>vlerësimit të përputhshmërisë</w:t>
      </w:r>
      <w:r w:rsidRPr="0032048B">
        <w:rPr>
          <w:lang w:val="sq-AL" w:bidi="sq-AL"/>
        </w:rPr>
        <w:t xml:space="preserve"> është pjesërisht i përafruar me </w:t>
      </w:r>
      <w:proofErr w:type="spellStart"/>
      <w:r w:rsidRPr="0032048B">
        <w:rPr>
          <w:i/>
          <w:lang w:val="sq-AL" w:bidi="sq-AL"/>
        </w:rPr>
        <w:t>acquis</w:t>
      </w:r>
      <w:proofErr w:type="spellEnd"/>
      <w:r w:rsidRPr="0032048B">
        <w:rPr>
          <w:i/>
          <w:lang w:val="sq-AL" w:bidi="sq-AL"/>
        </w:rPr>
        <w:t>-në</w:t>
      </w:r>
      <w:r w:rsidRPr="0032048B">
        <w:rPr>
          <w:lang w:val="sq-AL" w:bidi="sq-AL"/>
        </w:rPr>
        <w:t xml:space="preserve"> e BE-së.</w:t>
      </w:r>
      <w:r w:rsidRPr="0032048B">
        <w:rPr>
          <w:i/>
          <w:lang w:val="sq-AL" w:bidi="sq-AL"/>
        </w:rPr>
        <w:t xml:space="preserve"> </w:t>
      </w:r>
      <w:r w:rsidRPr="0032048B">
        <w:rPr>
          <w:lang w:val="sq-AL" w:bidi="sq-AL"/>
        </w:rPr>
        <w:t xml:space="preserve">Drejtoria e Akreditimit (DPA) ka kapacitete të plota </w:t>
      </w:r>
      <w:proofErr w:type="spellStart"/>
      <w:r w:rsidRPr="0032048B">
        <w:rPr>
          <w:lang w:val="sq-AL" w:bidi="sq-AL"/>
        </w:rPr>
        <w:t>operacionale</w:t>
      </w:r>
      <w:proofErr w:type="spellEnd"/>
      <w:r w:rsidRPr="0032048B">
        <w:rPr>
          <w:lang w:val="sq-AL" w:bidi="sq-AL"/>
        </w:rPr>
        <w:t xml:space="preserve"> dhe ka vijuar përpjekjet për zhvillimin e kapaciteteve administrative përmes trajnimit të stafit të DPA-së, vlerësuesve teknikë dhe vendimmarrësve lidhur me standarde të ndryshme. Shqipëria ka 109 organe të akredituara për vlerësimin e përputhshmërisë (49 laboratorë analizimi, 5 laboratorë mjekësorë,</w:t>
      </w:r>
    </w:p>
    <w:p w14:paraId="6AC638EE" w14:textId="77777777" w:rsidR="00E6279B" w:rsidRPr="0032048B" w:rsidRDefault="00E6279B" w:rsidP="00E6279B">
      <w:pPr>
        <w:pStyle w:val="BodyText"/>
        <w:spacing w:before="0"/>
        <w:ind w:left="979"/>
        <w:rPr>
          <w:lang w:val="sq-AL"/>
        </w:rPr>
      </w:pPr>
      <w:r w:rsidRPr="0032048B">
        <w:rPr>
          <w:lang w:val="sq-AL" w:bidi="sq-AL"/>
        </w:rPr>
        <w:t xml:space="preserve">1 laborator kalibrimi, 8 organe të certifikimit të sistemeve të menaxhimit, 15 organe certifikimi të personave dhe 31 organe inspektimi). Në shtator 2022, Shqipëria u bë pjesë e Marrëveshjes së Njohjes Shumëpalëshe të Forumit Ndërkombëtar të Akreditimit. Vendi është gjithashtu nënshkrues i bashkëpunimit evropian për Marrëveshjen e Akreditimit Shumëpalësh, anëtar me të drejta të plota e Organizatës Ndërkombëtare të Akreditimit të Laboratorëve (ILAC), dhe ka marrëveshje të njohjes së ndërsjellë me ILAC (ILAC MRA). Drejtoria e Përgjithshme e </w:t>
      </w:r>
      <w:r w:rsidRPr="0032048B">
        <w:rPr>
          <w:b/>
          <w:lang w:val="sq-AL" w:bidi="sq-AL"/>
        </w:rPr>
        <w:t>Metrologjisë</w:t>
      </w:r>
      <w:r w:rsidRPr="0032048B">
        <w:rPr>
          <w:lang w:val="sq-AL" w:bidi="sq-AL"/>
        </w:rPr>
        <w:t xml:space="preserve"> është e plotësuar me personel dhe </w:t>
      </w:r>
      <w:proofErr w:type="spellStart"/>
      <w:r w:rsidRPr="0032048B">
        <w:rPr>
          <w:lang w:val="sq-AL" w:bidi="sq-AL"/>
        </w:rPr>
        <w:t>operacionale</w:t>
      </w:r>
      <w:proofErr w:type="spellEnd"/>
      <w:r w:rsidRPr="0032048B">
        <w:rPr>
          <w:lang w:val="sq-AL" w:bidi="sq-AL"/>
        </w:rPr>
        <w:t xml:space="preserve">. Vendi është anëtar me të drejta të plota i Organizatës së Metrologjisë Ligjore, Shoqatës Evropiane të Instituteve Kombëtare të Metrologjisë (EURAMET) dhe Konfederatës Ndërkombëtare të Matjeve, si dhe është anëtar i </w:t>
      </w:r>
      <w:proofErr w:type="spellStart"/>
      <w:r w:rsidRPr="0032048B">
        <w:rPr>
          <w:lang w:val="sq-AL" w:bidi="sq-AL"/>
        </w:rPr>
        <w:t>asociuar</w:t>
      </w:r>
      <w:proofErr w:type="spellEnd"/>
      <w:r w:rsidRPr="0032048B">
        <w:rPr>
          <w:lang w:val="sq-AL" w:bidi="sq-AL"/>
        </w:rPr>
        <w:t xml:space="preserve"> i Bashkëpunimit Evropian në Metrologjinë Ligjore (WELMEC) dhe i Byrosë Ndërkombëtare të Peshave dhe Matjeve. Shqipëria nuk ka përafruar ende legjislacionin e saj me kërkesat e BE-së për </w:t>
      </w:r>
      <w:r w:rsidRPr="0032048B">
        <w:rPr>
          <w:b/>
          <w:lang w:val="sq-AL" w:bidi="sq-AL"/>
        </w:rPr>
        <w:t>procedurat e njoftimit.</w:t>
      </w:r>
    </w:p>
    <w:p w14:paraId="5183019D" w14:textId="77777777" w:rsidR="00E6279B" w:rsidRPr="0032048B" w:rsidRDefault="00E6279B" w:rsidP="00E6279B">
      <w:pPr>
        <w:pStyle w:val="BodyText"/>
        <w:spacing w:before="119"/>
        <w:ind w:left="979"/>
        <w:rPr>
          <w:lang w:val="sq-AL"/>
        </w:rPr>
      </w:pPr>
      <w:r w:rsidRPr="0032048B">
        <w:rPr>
          <w:lang w:val="sq-AL" w:bidi="sq-AL"/>
        </w:rPr>
        <w:t xml:space="preserve">Inspektorati i Shtetit për Mbikëqyrjen e Tregut (ISHMT) vijon të ketë mangësi në personel. Ai </w:t>
      </w:r>
      <w:r w:rsidRPr="0032048B">
        <w:rPr>
          <w:lang w:val="sq-AL" w:bidi="sq-AL"/>
        </w:rPr>
        <w:lastRenderedPageBreak/>
        <w:t>duhet të vijojë të shtojë numrin e personelit, përfshirë inspektorët. Në vitin 2022, në Shqipëri u kryen 11 000 inspektime të mbikëqyrjes së tregut, që rezultuan në 179 gjoba, 38 masa urgjente, dhe 58 produkte të hequra nga tregu, dhe në periudhën janar - shtator 2023 u kryen 423 inspektime që rezultuan në 56 produkte që nuk ishin në përputhje, dhe si rrjedhojë në 19 masa administrative (8 paralajmërime, 8 gjoba dhe 3 masa urgjente).</w:t>
      </w:r>
    </w:p>
    <w:p w14:paraId="29E1C751" w14:textId="77777777" w:rsidR="00E6279B" w:rsidRPr="0032048B" w:rsidRDefault="00E6279B" w:rsidP="00E6279B">
      <w:pPr>
        <w:pStyle w:val="BodyText"/>
        <w:ind w:right="0"/>
        <w:rPr>
          <w:lang w:val="sq-AL"/>
        </w:rPr>
      </w:pPr>
      <w:r w:rsidRPr="0032048B">
        <w:rPr>
          <w:u w:val="single"/>
          <w:lang w:val="sq-AL" w:bidi="sq-AL"/>
        </w:rPr>
        <w:t>Fusha e harmonizuar: legjislacioni sektorial</w:t>
      </w:r>
    </w:p>
    <w:p w14:paraId="55A83BC0" w14:textId="77777777" w:rsidR="00E6279B" w:rsidRPr="0032048B" w:rsidRDefault="00E6279B" w:rsidP="00E6279B">
      <w:pPr>
        <w:pStyle w:val="BodyText"/>
        <w:rPr>
          <w:lang w:val="sq-AL"/>
        </w:rPr>
      </w:pPr>
      <w:r w:rsidRPr="0032048B">
        <w:rPr>
          <w:lang w:val="sq-AL" w:bidi="sq-AL"/>
        </w:rPr>
        <w:t xml:space="preserve">Në fushën e </w:t>
      </w:r>
      <w:r w:rsidRPr="0032048B">
        <w:rPr>
          <w:b/>
          <w:lang w:val="sq-AL" w:bidi="sq-AL"/>
        </w:rPr>
        <w:t>legjislacionit për produktet sipas 'qasjes së re dhe botërore'</w:t>
      </w:r>
      <w:r w:rsidRPr="0032048B">
        <w:rPr>
          <w:lang w:val="sq-AL" w:bidi="sq-AL"/>
        </w:rPr>
        <w:t xml:space="preserve"> Shqipëria ka miratuar legjislacionin zbatues, i cili është i përafruar plotësisht me </w:t>
      </w:r>
      <w:proofErr w:type="spellStart"/>
      <w:r w:rsidRPr="0032048B">
        <w:rPr>
          <w:i/>
          <w:lang w:val="sq-AL" w:bidi="sq-AL"/>
        </w:rPr>
        <w:t>acquis</w:t>
      </w:r>
      <w:proofErr w:type="spellEnd"/>
      <w:r w:rsidRPr="0032048B">
        <w:rPr>
          <w:i/>
          <w:lang w:val="sq-AL" w:bidi="sq-AL"/>
        </w:rPr>
        <w:t xml:space="preserve">-në </w:t>
      </w:r>
      <w:r w:rsidRPr="0032048B">
        <w:rPr>
          <w:lang w:val="sq-AL" w:bidi="sq-AL"/>
        </w:rPr>
        <w:t>e BE-së për enët me trysni të thjeshtë. Megjithatë, përafrimi nuk ka nisur ende për pajisjet dhe sistemet mbrojtëse për përdorim në atmosfera mundësisht shpërthyese (ATEX), pajisjet me gaz, pajisjet nën presion, mjetet motorike për zbavitje, dhe projektimin ekologjik.</w:t>
      </w:r>
    </w:p>
    <w:p w14:paraId="32091FF9" w14:textId="77777777" w:rsidR="00E6279B" w:rsidRPr="0032048B" w:rsidRDefault="00E6279B" w:rsidP="00E6279B">
      <w:pPr>
        <w:pStyle w:val="BodyText"/>
        <w:rPr>
          <w:lang w:val="sq-AL"/>
        </w:rPr>
      </w:pPr>
      <w:r w:rsidRPr="0032048B">
        <w:rPr>
          <w:lang w:val="sq-AL" w:bidi="sq-AL"/>
        </w:rPr>
        <w:t xml:space="preserve">Sa i përket </w:t>
      </w:r>
      <w:r w:rsidRPr="0032048B">
        <w:rPr>
          <w:b/>
          <w:lang w:val="sq-AL" w:bidi="sq-AL"/>
        </w:rPr>
        <w:t>legjislacionit për produktet sipas 'qasjes së vjetër'</w:t>
      </w:r>
      <w:r w:rsidRPr="0032048B">
        <w:rPr>
          <w:lang w:val="sq-AL" w:bidi="sq-AL"/>
        </w:rPr>
        <w:t xml:space="preserve">, Shqipëria ka përafrim të pjesshëm me </w:t>
      </w:r>
      <w:proofErr w:type="spellStart"/>
      <w:r w:rsidRPr="0032048B">
        <w:rPr>
          <w:i/>
          <w:lang w:val="sq-AL" w:bidi="sq-AL"/>
        </w:rPr>
        <w:t>acquis</w:t>
      </w:r>
      <w:proofErr w:type="spellEnd"/>
      <w:r w:rsidRPr="0032048B">
        <w:rPr>
          <w:i/>
          <w:lang w:val="sq-AL" w:bidi="sq-AL"/>
        </w:rPr>
        <w:t>-në</w:t>
      </w:r>
      <w:r w:rsidRPr="0032048B">
        <w:rPr>
          <w:lang w:val="sq-AL" w:bidi="sq-AL"/>
        </w:rPr>
        <w:t xml:space="preserve"> e BE-së për etiketimin e tekstileve, këpucëve, qelqit të kristaltë dhe enëve për 'aerosol'. Legjislacioni i saj është pjesërisht i përafruar me </w:t>
      </w:r>
      <w:proofErr w:type="spellStart"/>
      <w:r w:rsidRPr="0032048B">
        <w:rPr>
          <w:i/>
          <w:lang w:val="sq-AL" w:bidi="sq-AL"/>
        </w:rPr>
        <w:t>acquis</w:t>
      </w:r>
      <w:proofErr w:type="spellEnd"/>
      <w:r w:rsidRPr="0032048B">
        <w:rPr>
          <w:i/>
          <w:lang w:val="sq-AL" w:bidi="sq-AL"/>
        </w:rPr>
        <w:t>-në</w:t>
      </w:r>
      <w:r w:rsidRPr="0032048B">
        <w:rPr>
          <w:lang w:val="sq-AL" w:bidi="sq-AL"/>
        </w:rPr>
        <w:t xml:space="preserve"> e BE-së për regjistrimin, vlerësimin, autorizimin dhe kufizimin e </w:t>
      </w:r>
      <w:proofErr w:type="spellStart"/>
      <w:r w:rsidRPr="0032048B">
        <w:rPr>
          <w:lang w:val="sq-AL" w:bidi="sq-AL"/>
        </w:rPr>
        <w:t>kimikateve</w:t>
      </w:r>
      <w:proofErr w:type="spellEnd"/>
      <w:r w:rsidRPr="0032048B">
        <w:rPr>
          <w:lang w:val="sq-AL" w:bidi="sq-AL"/>
        </w:rPr>
        <w:t xml:space="preserve"> (REACH); për klasifikimin kimik, etiketimin dhe paketimin e enëve për 'aerosol' dhe të lëndëve larëse. Shqipëria nuk ka përafrim me </w:t>
      </w:r>
      <w:proofErr w:type="spellStart"/>
      <w:r w:rsidRPr="0032048B">
        <w:rPr>
          <w:i/>
          <w:lang w:val="sq-AL" w:bidi="sq-AL"/>
        </w:rPr>
        <w:t>acquis</w:t>
      </w:r>
      <w:proofErr w:type="spellEnd"/>
      <w:r w:rsidRPr="0032048B">
        <w:rPr>
          <w:i/>
          <w:lang w:val="sq-AL" w:bidi="sq-AL"/>
        </w:rPr>
        <w:t>-në</w:t>
      </w:r>
      <w:r w:rsidRPr="0032048B">
        <w:rPr>
          <w:lang w:val="sq-AL" w:bidi="sq-AL"/>
        </w:rPr>
        <w:t xml:space="preserve"> e BE-së për mjetet motorike, mjetet me dy dhe tre rrota, traktorët (bujqësi, pyje), shkarkimet e makinerive </w:t>
      </w:r>
      <w:proofErr w:type="spellStart"/>
      <w:r w:rsidRPr="0032048B">
        <w:rPr>
          <w:lang w:val="sq-AL" w:bidi="sq-AL"/>
        </w:rPr>
        <w:t>jorrugore</w:t>
      </w:r>
      <w:proofErr w:type="spellEnd"/>
      <w:r w:rsidRPr="0032048B">
        <w:rPr>
          <w:lang w:val="sq-AL" w:bidi="sq-AL"/>
        </w:rPr>
        <w:t>, apo për praktikat e mira laboratorike.</w:t>
      </w:r>
    </w:p>
    <w:p w14:paraId="142F7312" w14:textId="77777777" w:rsidR="00E6279B" w:rsidRPr="0032048B" w:rsidRDefault="00E6279B" w:rsidP="00E6279B">
      <w:pPr>
        <w:spacing w:before="62"/>
        <w:ind w:left="979" w:right="977"/>
        <w:jc w:val="both"/>
        <w:rPr>
          <w:i/>
          <w:sz w:val="24"/>
          <w:lang w:val="sq-AL"/>
        </w:rPr>
      </w:pPr>
      <w:r w:rsidRPr="0032048B">
        <w:rPr>
          <w:sz w:val="24"/>
          <w:lang w:val="sq-AL" w:bidi="sq-AL"/>
        </w:rPr>
        <w:t xml:space="preserve">Legjislacioni shqiptar për </w:t>
      </w:r>
      <w:proofErr w:type="spellStart"/>
      <w:r w:rsidRPr="0032048B">
        <w:rPr>
          <w:b/>
          <w:sz w:val="24"/>
          <w:lang w:val="sq-AL" w:bidi="sq-AL"/>
        </w:rPr>
        <w:t>prekursorët</w:t>
      </w:r>
      <w:proofErr w:type="spellEnd"/>
      <w:r w:rsidRPr="0032048B">
        <w:rPr>
          <w:b/>
          <w:sz w:val="24"/>
          <w:lang w:val="sq-AL" w:bidi="sq-AL"/>
        </w:rPr>
        <w:t xml:space="preserve"> e barnave</w:t>
      </w:r>
      <w:r w:rsidRPr="0032048B">
        <w:rPr>
          <w:sz w:val="24"/>
          <w:lang w:val="sq-AL" w:bidi="sq-AL"/>
        </w:rPr>
        <w:t xml:space="preserve"> nuk është i përafruar, megjithëse lista e lëndëve të kontrolluara është në përputhje me listat përkatëse të përcaktuara në </w:t>
      </w:r>
      <w:proofErr w:type="spellStart"/>
      <w:r w:rsidRPr="0032048B">
        <w:rPr>
          <w:i/>
          <w:sz w:val="24"/>
          <w:lang w:val="sq-AL" w:bidi="sq-AL"/>
        </w:rPr>
        <w:t>acquis</w:t>
      </w:r>
      <w:proofErr w:type="spellEnd"/>
      <w:r w:rsidRPr="0032048B">
        <w:rPr>
          <w:i/>
          <w:sz w:val="24"/>
          <w:lang w:val="sq-AL" w:bidi="sq-AL"/>
        </w:rPr>
        <w:t>-në</w:t>
      </w:r>
      <w:r w:rsidRPr="0032048B">
        <w:rPr>
          <w:sz w:val="24"/>
          <w:lang w:val="sq-AL" w:bidi="sq-AL"/>
        </w:rPr>
        <w:t xml:space="preserve"> e BE-së. Sa i përket </w:t>
      </w:r>
      <w:r w:rsidRPr="0032048B">
        <w:rPr>
          <w:b/>
          <w:sz w:val="24"/>
          <w:lang w:val="sq-AL" w:bidi="sq-AL"/>
        </w:rPr>
        <w:t>masave procedurale</w:t>
      </w:r>
      <w:r w:rsidRPr="0032048B">
        <w:rPr>
          <w:sz w:val="24"/>
          <w:lang w:val="sq-AL" w:bidi="sq-AL"/>
        </w:rPr>
        <w:t xml:space="preserve">, Shqipëria ka përafrim të pjesshëm për armët e zjarrit, për qelqin e kristaltë, për etiketimin e tekstileve, për caktimin e çmimit të produkteve </w:t>
      </w:r>
      <w:proofErr w:type="spellStart"/>
      <w:r w:rsidRPr="0032048B">
        <w:rPr>
          <w:sz w:val="24"/>
          <w:lang w:val="sq-AL" w:bidi="sq-AL"/>
        </w:rPr>
        <w:t>medicinale</w:t>
      </w:r>
      <w:proofErr w:type="spellEnd"/>
      <w:r w:rsidRPr="0032048B">
        <w:rPr>
          <w:sz w:val="24"/>
          <w:lang w:val="sq-AL" w:bidi="sq-AL"/>
        </w:rPr>
        <w:t xml:space="preserve">, dhe për këpucët. Shqipëria vijon të ketë përafrim të pjesshëm me </w:t>
      </w:r>
      <w:proofErr w:type="spellStart"/>
      <w:r w:rsidRPr="0032048B">
        <w:rPr>
          <w:i/>
          <w:sz w:val="24"/>
          <w:lang w:val="sq-AL" w:bidi="sq-AL"/>
        </w:rPr>
        <w:t>acquis</w:t>
      </w:r>
      <w:proofErr w:type="spellEnd"/>
      <w:r w:rsidRPr="0032048B">
        <w:rPr>
          <w:i/>
          <w:sz w:val="24"/>
          <w:lang w:val="sq-AL" w:bidi="sq-AL"/>
        </w:rPr>
        <w:t>-në</w:t>
      </w:r>
      <w:r w:rsidRPr="0032048B">
        <w:rPr>
          <w:sz w:val="24"/>
          <w:lang w:val="sq-AL" w:bidi="sq-AL"/>
        </w:rPr>
        <w:t xml:space="preserve"> e BE-së për produktet e mbrojtjes (transferimin e produkteve që lidhen me mbrojtjen), dhe për kthimin e </w:t>
      </w:r>
      <w:r w:rsidRPr="0032048B">
        <w:rPr>
          <w:b/>
          <w:sz w:val="24"/>
          <w:lang w:val="sq-AL" w:bidi="sq-AL"/>
        </w:rPr>
        <w:t>objekteve kulturore të larguara në mënyrë të jashtëligjshme nga territori i një Vendi Anëtar të BE-së.</w:t>
      </w:r>
    </w:p>
    <w:p w14:paraId="7B5E2B96" w14:textId="77777777" w:rsidR="00E6279B" w:rsidRPr="0032048B" w:rsidRDefault="00E6279B" w:rsidP="00E6279B">
      <w:pPr>
        <w:pStyle w:val="BodyText"/>
        <w:ind w:left="979"/>
        <w:rPr>
          <w:lang w:val="sq-AL"/>
        </w:rPr>
      </w:pPr>
      <w:r w:rsidRPr="0032048B">
        <w:rPr>
          <w:lang w:val="sq-AL" w:bidi="sq-AL"/>
        </w:rPr>
        <w:t xml:space="preserve">Shqipëria zbaton masa </w:t>
      </w:r>
      <w:proofErr w:type="spellStart"/>
      <w:r w:rsidRPr="0032048B">
        <w:rPr>
          <w:lang w:val="sq-AL" w:bidi="sq-AL"/>
        </w:rPr>
        <w:t>antikorrupsion</w:t>
      </w:r>
      <w:proofErr w:type="spellEnd"/>
      <w:r w:rsidRPr="0032048B">
        <w:rPr>
          <w:lang w:val="sq-AL" w:bidi="sq-AL"/>
        </w:rPr>
        <w:t xml:space="preserve"> për transparencën dhe akreditimin, vlerësimin e përputhshmërisë, tarifat, aktet ligjore dhe veprimtarinë e organeve publike. Disa organe dhe administrata doganore që sigurojnë mbikëqyrjen e tregut, kanë rregulla për transparencën, etikën dhe konfliktin e interesit, dhe i nënshtrohen </w:t>
      </w:r>
      <w:proofErr w:type="spellStart"/>
      <w:r w:rsidRPr="0032048B">
        <w:rPr>
          <w:lang w:val="sq-AL" w:bidi="sq-AL"/>
        </w:rPr>
        <w:t>auditeve</w:t>
      </w:r>
      <w:proofErr w:type="spellEnd"/>
      <w:r w:rsidRPr="0032048B">
        <w:rPr>
          <w:lang w:val="sq-AL" w:bidi="sq-AL"/>
        </w:rPr>
        <w:t>. Megjithatë, ka nevojë për përpjekje të mëtejshme lidhur me ekzekutimin dhe kapacitetet e inspektoratit të mbikëqyrjes së tregut.</w:t>
      </w:r>
    </w:p>
    <w:p w14:paraId="66BB2695" w14:textId="77777777" w:rsidR="00E6279B" w:rsidRPr="0032048B" w:rsidRDefault="00E6279B" w:rsidP="00E6279B">
      <w:pPr>
        <w:pStyle w:val="Heading1"/>
        <w:ind w:left="1039"/>
        <w:rPr>
          <w:lang w:val="sq-AL"/>
        </w:rPr>
      </w:pPr>
      <w:bookmarkStart w:id="57" w:name="Chapter_2:_Freedom_of_movement_of_worker"/>
      <w:bookmarkStart w:id="58" w:name="_bookmark36"/>
      <w:bookmarkEnd w:id="57"/>
      <w:bookmarkEnd w:id="58"/>
      <w:r w:rsidRPr="0032048B">
        <w:rPr>
          <w:lang w:val="sq-AL" w:bidi="sq-AL"/>
        </w:rPr>
        <w:t>Kapitulli 2: Liria e lëvizjes së punëtorëve</w:t>
      </w:r>
    </w:p>
    <w:p w14:paraId="34C3FD2B" w14:textId="77777777" w:rsidR="00E6279B" w:rsidRPr="0032048B" w:rsidRDefault="00E6279B" w:rsidP="00E6279B">
      <w:pPr>
        <w:spacing w:before="120"/>
        <w:ind w:left="979" w:right="977"/>
        <w:jc w:val="both"/>
        <w:rPr>
          <w:i/>
          <w:sz w:val="24"/>
          <w:lang w:val="sq-AL"/>
        </w:rPr>
      </w:pPr>
      <w:r w:rsidRPr="0032048B">
        <w:rPr>
          <w:i/>
          <w:sz w:val="24"/>
          <w:lang w:val="sq-AL" w:bidi="sq-AL"/>
        </w:rPr>
        <w:t xml:space="preserve">Qytetarët e një vendi anëtar të BE-së kanë të drejtën të punojnë në një vend tjetër anëtar dhe u sigurohen të njëjtat kushte pune dhe shoqërore si ato të punëtorëve të tjerë. </w:t>
      </w:r>
    </w:p>
    <w:p w14:paraId="5DD428B2" w14:textId="77777777" w:rsidR="00E6279B" w:rsidRPr="0032048B" w:rsidRDefault="00E6279B" w:rsidP="00E6279B">
      <w:pPr>
        <w:pStyle w:val="BodyText"/>
        <w:spacing w:before="6"/>
        <w:ind w:left="0" w:right="0"/>
        <w:jc w:val="left"/>
        <w:rPr>
          <w:i/>
          <w:sz w:val="10"/>
          <w:lang w:val="sq-AL"/>
        </w:rPr>
      </w:pP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4"/>
      </w:tblGrid>
      <w:tr w:rsidR="00E6279B" w:rsidRPr="0032048B" w14:paraId="48D705CE" w14:textId="77777777" w:rsidTr="00456F1B">
        <w:trPr>
          <w:trHeight w:val="4037"/>
        </w:trPr>
        <w:tc>
          <w:tcPr>
            <w:tcW w:w="9254" w:type="dxa"/>
            <w:shd w:val="clear" w:color="auto" w:fill="D9D9D9"/>
          </w:tcPr>
          <w:p w14:paraId="2F2A18D8" w14:textId="77777777" w:rsidR="00E6279B" w:rsidRPr="0032048B" w:rsidRDefault="00E6279B" w:rsidP="00456F1B">
            <w:pPr>
              <w:pStyle w:val="TableParagraph"/>
              <w:spacing w:before="19"/>
              <w:ind w:left="113" w:right="100"/>
              <w:jc w:val="both"/>
              <w:rPr>
                <w:sz w:val="24"/>
                <w:lang w:val="sq-AL"/>
              </w:rPr>
            </w:pPr>
            <w:r w:rsidRPr="0032048B">
              <w:rPr>
                <w:sz w:val="24"/>
                <w:lang w:val="sq-AL" w:bidi="sq-AL"/>
              </w:rPr>
              <w:lastRenderedPageBreak/>
              <w:t xml:space="preserve">Shqipëria ka </w:t>
            </w:r>
            <w:r w:rsidRPr="0032048B">
              <w:rPr>
                <w:b/>
                <w:sz w:val="24"/>
                <w:lang w:val="sq-AL" w:bidi="sq-AL"/>
              </w:rPr>
              <w:t>përgatitje të mjaftueshme</w:t>
            </w:r>
            <w:r w:rsidRPr="0032048B">
              <w:rPr>
                <w:sz w:val="24"/>
                <w:lang w:val="sq-AL" w:bidi="sq-AL"/>
              </w:rPr>
              <w:t xml:space="preserve"> lidhur me lirinë e lëvizjes së punëtorëve. Është bërë </w:t>
            </w:r>
            <w:r w:rsidRPr="0032048B">
              <w:rPr>
                <w:b/>
                <w:sz w:val="24"/>
                <w:lang w:val="sq-AL" w:bidi="sq-AL"/>
              </w:rPr>
              <w:t>progres i mirë</w:t>
            </w:r>
            <w:r w:rsidRPr="0032048B">
              <w:rPr>
                <w:sz w:val="24"/>
                <w:lang w:val="sq-AL" w:bidi="sq-AL"/>
              </w:rPr>
              <w:t xml:space="preserve"> me zbatimin e rekomandimeve të raportit të vitit 2022 për lëvizjen e lirë të pjesëtarëve të familjes së qytetarëve të BE-së, forcimin e marrëveshjeve dypalëshe për sigurimet shoqërore dhe zhvillimin e mëtejshëm të sistemit TI për </w:t>
            </w:r>
            <w:proofErr w:type="spellStart"/>
            <w:r w:rsidRPr="0032048B">
              <w:rPr>
                <w:sz w:val="24"/>
                <w:lang w:val="sq-AL" w:bidi="sq-AL"/>
              </w:rPr>
              <w:t>hartëzimin</w:t>
            </w:r>
            <w:proofErr w:type="spellEnd"/>
            <w:r w:rsidRPr="0032048B">
              <w:rPr>
                <w:sz w:val="24"/>
                <w:lang w:val="sq-AL" w:bidi="sq-AL"/>
              </w:rPr>
              <w:t xml:space="preserve"> e vendeve të lira të punës për punëkërkuesit (p.sh. zhvillimi i aplikacionit të Agjencisë Kombëtare për Punësim dhe Aftësi (AKPA), që ofron informacion të përditësuar në kohë reale për vendet e punës), që po përgatit zbatimin e rrjetit evropian të shërbimeve të punësimit (EURES) nga momenti i anëtarësimit. Hartimi dhe miratimi i 17 akteve nënligjore të ligjit për të huajt ishte në përputhje me rekomandimet e raportit të vitit 2022. Vitin e ardhshëm, Shqipëria duhet të:</w:t>
            </w:r>
          </w:p>
          <w:p w14:paraId="7D07EAAF" w14:textId="2EDA1EF7" w:rsidR="00E6279B" w:rsidRPr="0032048B" w:rsidRDefault="00E6279B" w:rsidP="00456F1B">
            <w:pPr>
              <w:pStyle w:val="TableParagraph"/>
              <w:spacing w:before="120"/>
              <w:ind w:left="113"/>
              <w:jc w:val="both"/>
              <w:rPr>
                <w:sz w:val="24"/>
                <w:lang w:val="sq-AL"/>
              </w:rPr>
            </w:pPr>
            <w:r w:rsidRPr="0032048B">
              <w:rPr>
                <w:sz w:val="24"/>
                <w:lang w:val="sq-AL" w:bidi="sq-AL"/>
              </w:rPr>
              <w:t></w:t>
            </w:r>
            <w:r w:rsidR="004D53EC">
              <w:rPr>
                <w:sz w:val="24"/>
                <w:lang w:val="sq-AL" w:bidi="sq-AL"/>
              </w:rPr>
              <w:t xml:space="preserve"> </w:t>
            </w:r>
            <w:r w:rsidRPr="0032048B">
              <w:rPr>
                <w:sz w:val="24"/>
                <w:lang w:val="sq-AL" w:bidi="sq-AL"/>
              </w:rPr>
              <w:t>vijojë zhvillimin e sistemit TI për të mundësuar lidhjen me EURES;</w:t>
            </w:r>
          </w:p>
          <w:p w14:paraId="33C34212" w14:textId="119338F9" w:rsidR="00E6279B" w:rsidRPr="0032048B" w:rsidRDefault="00E6279B" w:rsidP="00456F1B">
            <w:pPr>
              <w:pStyle w:val="TableParagraph"/>
              <w:spacing w:before="119"/>
              <w:ind w:left="113"/>
              <w:jc w:val="both"/>
              <w:rPr>
                <w:sz w:val="24"/>
                <w:lang w:val="sq-AL"/>
              </w:rPr>
            </w:pPr>
            <w:r w:rsidRPr="0032048B">
              <w:rPr>
                <w:sz w:val="24"/>
                <w:lang w:val="sq-AL" w:bidi="sq-AL"/>
              </w:rPr>
              <w:t></w:t>
            </w:r>
            <w:r w:rsidR="004D53EC">
              <w:rPr>
                <w:sz w:val="24"/>
                <w:lang w:val="sq-AL" w:bidi="sq-AL"/>
              </w:rPr>
              <w:t xml:space="preserve"> </w:t>
            </w:r>
            <w:r w:rsidRPr="0032048B">
              <w:rPr>
                <w:sz w:val="24"/>
                <w:lang w:val="sq-AL" w:bidi="sq-AL"/>
              </w:rPr>
              <w:t>përforcojë zbatimin e ligjit për të huajt;</w:t>
            </w:r>
          </w:p>
          <w:p w14:paraId="64CA882D" w14:textId="13BC5333" w:rsidR="00E6279B" w:rsidRPr="0032048B" w:rsidRDefault="00E6279B" w:rsidP="004D53EC">
            <w:pPr>
              <w:pStyle w:val="TableParagraph"/>
              <w:spacing w:before="117" w:line="270" w:lineRule="atLeast"/>
              <w:ind w:left="384" w:right="101" w:hanging="270"/>
              <w:jc w:val="both"/>
              <w:rPr>
                <w:sz w:val="24"/>
                <w:lang w:val="sq-AL"/>
              </w:rPr>
            </w:pPr>
            <w:r w:rsidRPr="0032048B">
              <w:rPr>
                <w:sz w:val="24"/>
                <w:lang w:val="sq-AL" w:bidi="sq-AL"/>
              </w:rPr>
              <w:t> vijojë negocimin dhe zbatimin e marrëveshjeve të reja dypalëshe për sigurimet shoqërore,</w:t>
            </w:r>
            <w:r w:rsidR="004D53EC">
              <w:rPr>
                <w:sz w:val="24"/>
                <w:lang w:val="sq-AL" w:bidi="sq-AL"/>
              </w:rPr>
              <w:t xml:space="preserve"> </w:t>
            </w:r>
            <w:r w:rsidRPr="0032048B">
              <w:rPr>
                <w:sz w:val="24"/>
                <w:lang w:val="sq-AL" w:bidi="sq-AL"/>
              </w:rPr>
              <w:t>veçanërisht me vendet anëtare të BE-së.</w:t>
            </w:r>
          </w:p>
        </w:tc>
      </w:tr>
    </w:tbl>
    <w:p w14:paraId="7C069968" w14:textId="77777777" w:rsidR="00E6279B" w:rsidRPr="0032048B" w:rsidRDefault="00E6279B" w:rsidP="00E6279B">
      <w:pPr>
        <w:pStyle w:val="BodyText"/>
        <w:spacing w:before="121"/>
        <w:rPr>
          <w:lang w:val="sq-AL"/>
        </w:rPr>
      </w:pPr>
      <w:r w:rsidRPr="0032048B">
        <w:rPr>
          <w:lang w:val="sq-AL" w:bidi="sq-AL"/>
        </w:rPr>
        <w:t xml:space="preserve">Sa i përket </w:t>
      </w:r>
      <w:r w:rsidRPr="0032048B">
        <w:rPr>
          <w:b/>
          <w:lang w:val="sq-AL" w:bidi="sq-AL"/>
        </w:rPr>
        <w:t>qasjes në tregun e punës</w:t>
      </w:r>
      <w:r w:rsidRPr="0032048B">
        <w:rPr>
          <w:lang w:val="sq-AL" w:bidi="sq-AL"/>
        </w:rPr>
        <w:t xml:space="preserve">, Shqipëria ka miratuar ligjin për të huajt duke mundësuar procedura të thjeshtuara për qytetarët e BE-së të cilët dëshirojnë të vendosen në Shqipëri, në përputhje me </w:t>
      </w:r>
      <w:proofErr w:type="spellStart"/>
      <w:r w:rsidRPr="0032048B">
        <w:rPr>
          <w:i/>
          <w:lang w:val="sq-AL" w:bidi="sq-AL"/>
        </w:rPr>
        <w:t>acquis</w:t>
      </w:r>
      <w:proofErr w:type="spellEnd"/>
      <w:r w:rsidRPr="0032048B">
        <w:rPr>
          <w:i/>
          <w:lang w:val="sq-AL" w:bidi="sq-AL"/>
        </w:rPr>
        <w:t>-në</w:t>
      </w:r>
      <w:r w:rsidRPr="0032048B">
        <w:rPr>
          <w:lang w:val="sq-AL" w:bidi="sq-AL"/>
        </w:rPr>
        <w:t xml:space="preserve"> e BE-së në këtë fushë. Gjatë periudhës së raportimit u miratuan 17 aktet nënligjore për zbatimin e ligjit për të huajt, duke e bërë ligjin plotësisht të zbatueshëm. Që prej janarit të vitit 2023, procedura e aplikimit është thjeshtuar më tej dhe tani punonjësit mund të regjistrojnë kontratën e tyre të punësimit në internet. Në vitin 2022, 1 281 qytetarë të BE-së morën deklaratën e përjashtimit për punësim.</w:t>
      </w:r>
    </w:p>
    <w:p w14:paraId="2438285D" w14:textId="77777777" w:rsidR="00E6279B" w:rsidRPr="0032048B" w:rsidRDefault="00E6279B" w:rsidP="00E6279B">
      <w:pPr>
        <w:pStyle w:val="BodyText"/>
        <w:spacing w:before="119"/>
        <w:rPr>
          <w:lang w:val="sq-AL"/>
        </w:rPr>
      </w:pPr>
      <w:r w:rsidRPr="0032048B">
        <w:rPr>
          <w:lang w:val="sq-AL" w:bidi="sq-AL"/>
        </w:rPr>
        <w:t xml:space="preserve">Me qëllim përforcimin e kontrollit të zbatimit të ligjit, duhet të arrihet një marrëveshje bashkëpunimi ndërmjet Inspektoratit Shtetëror të Punës dhe Shërbimeve Shoqërore, Agjencisë Kombëtare për Punësim dhe Aftësi (AKPA) </w:t>
      </w:r>
      <w:proofErr w:type="spellStart"/>
      <w:r w:rsidRPr="0032048B">
        <w:rPr>
          <w:lang w:val="sq-AL" w:bidi="sq-AL"/>
        </w:rPr>
        <w:t>Komisionerit</w:t>
      </w:r>
      <w:proofErr w:type="spellEnd"/>
      <w:r w:rsidRPr="0032048B">
        <w:rPr>
          <w:lang w:val="sq-AL" w:bidi="sq-AL"/>
        </w:rPr>
        <w:t xml:space="preserve"> për Mbrojtjen nga Diskriminimi dhe Agjencisë së Prokurimit Publik. Ministria e Financave dhe Ekonomisë (MFE) duhet të shtojë përpjekjet për shqyrtimin e marrëveshjeve aktuale dypalëshe të punësimit dhe të arrijë marrëveshje të reja bashkëpunimi dypalësh në fushën e migracionit për punë gjatë vitit 2023. Në mars të vitit 2023 u ngrit një grup ndërinstitucional pune për hartimin e strategjisë së re për migracionin.</w:t>
      </w:r>
    </w:p>
    <w:p w14:paraId="19713BBF" w14:textId="77777777" w:rsidR="00E6279B" w:rsidRPr="0032048B" w:rsidRDefault="00E6279B" w:rsidP="00E6279B">
      <w:pPr>
        <w:pStyle w:val="BodyText"/>
        <w:spacing w:before="121"/>
        <w:ind w:right="977"/>
        <w:rPr>
          <w:lang w:val="sq-AL"/>
        </w:rPr>
      </w:pPr>
      <w:r w:rsidRPr="0032048B">
        <w:rPr>
          <w:lang w:val="sq-AL" w:bidi="sq-AL"/>
        </w:rPr>
        <w:t xml:space="preserve">Në kuadër të përgatitjeve për anëtarësim në </w:t>
      </w:r>
      <w:r w:rsidRPr="0032048B">
        <w:rPr>
          <w:b/>
          <w:lang w:val="sq-AL" w:bidi="sq-AL"/>
        </w:rPr>
        <w:t>rrjetin evropian të shërbimeve të punësimit (EURES)</w:t>
      </w:r>
      <w:r w:rsidRPr="0032048B">
        <w:rPr>
          <w:lang w:val="sq-AL" w:bidi="sq-AL"/>
        </w:rPr>
        <w:t>, Shqipëria ka ngritur një bazë të integruar të dhënash për shërbimet e veta të punësimit, e cila me t'u lidhur me EURES-in, mund të lehtësojë shkëmbimin e informacionit ndërmjet drejtorive të TI-së lidhur me gjendjen civile, sistemin tatimor, sistemin e kujdesit shëndetësor të detyrueshëm dhe sistemin e ndihmës ekonomike. Sistemi i TI-së duhet të përmirësohet më tej me qëllim mundësimin e lidhjes me EURES-in.</w:t>
      </w:r>
    </w:p>
    <w:p w14:paraId="371FFB6D" w14:textId="77777777" w:rsidR="00E6279B" w:rsidRPr="0032048B" w:rsidRDefault="00E6279B" w:rsidP="00E6279B">
      <w:pPr>
        <w:pStyle w:val="BodyText"/>
        <w:spacing w:before="62"/>
        <w:rPr>
          <w:lang w:val="sq-AL"/>
        </w:rPr>
      </w:pPr>
      <w:r w:rsidRPr="0032048B">
        <w:rPr>
          <w:lang w:val="sq-AL" w:bidi="sq-AL"/>
        </w:rPr>
        <w:t xml:space="preserve">Sa i përket </w:t>
      </w:r>
      <w:r w:rsidRPr="0032048B">
        <w:rPr>
          <w:b/>
          <w:lang w:val="sq-AL" w:bidi="sq-AL"/>
        </w:rPr>
        <w:t>bashkërendimit të sistemeve të sigurimeve shoqërore</w:t>
      </w:r>
      <w:r w:rsidRPr="0032048B">
        <w:rPr>
          <w:lang w:val="sq-AL" w:bidi="sq-AL"/>
        </w:rPr>
        <w:t>, Shqipëria ka marrëveshje dypalëshe me Austrinë, Belgjikën, Çekinë, Gjermaninë, Hungarinë, Kosovën, Luksemburgun, Maqedoninë e Veriut dhe Turqinë. Marrëveshjet dypalëshe me Bullgarinë, Zvicrën dhe Rumaninë janë nënshkruar, por nuk janë ratifikuar ende. Negociatat me Kroacinë, Malin e Zi dhe Italinë duhet të përmbyllen dhe marrëveshjet nuk janë nënshkruar ende. Me Greqinë dhe Serbinë janë mbajtur diskutime për bashkërendimin e skemave të sigurimeve shoqërore. Negocimi dhe zbatimi i marrëveshjeve të reja dypalëshe për sigurimet shoqërore ndërmjet Shqipërisë dhe vendeve të tjera anëtare të BE-së nuk është ndërmarrë ende.</w:t>
      </w:r>
    </w:p>
    <w:p w14:paraId="60FD5884" w14:textId="77777777" w:rsidR="00E6279B" w:rsidRPr="0032048B" w:rsidRDefault="00E6279B" w:rsidP="00E6279B">
      <w:pPr>
        <w:pStyle w:val="BodyText"/>
        <w:rPr>
          <w:lang w:val="sq-AL"/>
        </w:rPr>
      </w:pPr>
      <w:r w:rsidRPr="0032048B">
        <w:rPr>
          <w:lang w:val="sq-AL" w:bidi="sq-AL"/>
        </w:rPr>
        <w:t>Në mars të vitit 2023, AKPA ka nënshkruar një marrëveshje bashkëpunimi me Shërbimin Publik të Punësimit të Lituanisë me qëllim krijimin e një kuadri bashkëpunimi për shkëmbimin e informacionit për punësimin dhe migracionit për qëllime punësimi.</w:t>
      </w:r>
    </w:p>
    <w:p w14:paraId="7239AA93" w14:textId="77777777" w:rsidR="00E6279B" w:rsidRPr="0032048B" w:rsidRDefault="00E6279B" w:rsidP="00E6279B">
      <w:pPr>
        <w:pStyle w:val="BodyText"/>
        <w:rPr>
          <w:lang w:val="sq-AL"/>
        </w:rPr>
      </w:pPr>
      <w:r w:rsidRPr="0032048B">
        <w:rPr>
          <w:lang w:val="sq-AL" w:bidi="sq-AL"/>
        </w:rPr>
        <w:t xml:space="preserve">Sa i përket luftës kundër korrupsionit, Shqipëria po zbaton një strategji </w:t>
      </w:r>
      <w:proofErr w:type="spellStart"/>
      <w:r w:rsidRPr="0032048B">
        <w:rPr>
          <w:lang w:val="sq-AL" w:bidi="sq-AL"/>
        </w:rPr>
        <w:t>ndërsektoriale</w:t>
      </w:r>
      <w:proofErr w:type="spellEnd"/>
      <w:r w:rsidRPr="0032048B">
        <w:rPr>
          <w:lang w:val="sq-AL" w:bidi="sq-AL"/>
        </w:rPr>
        <w:t xml:space="preserve"> dhe plan </w:t>
      </w:r>
      <w:r w:rsidRPr="0032048B">
        <w:rPr>
          <w:lang w:val="sq-AL" w:bidi="sq-AL"/>
        </w:rPr>
        <w:lastRenderedPageBreak/>
        <w:t xml:space="preserve">veprim kundër korrupsionit për periudhën 2020-2023. Ministria e Punëve të Brendshme ka miratuar planin e vet të integritetit 2022-2024. Autoritetet kanë shtuar transparencën dhe </w:t>
      </w:r>
      <w:proofErr w:type="spellStart"/>
      <w:r w:rsidRPr="0032048B">
        <w:rPr>
          <w:lang w:val="sq-AL" w:bidi="sq-AL"/>
        </w:rPr>
        <w:t>disponueshmërinë</w:t>
      </w:r>
      <w:proofErr w:type="spellEnd"/>
      <w:r w:rsidRPr="0032048B">
        <w:rPr>
          <w:lang w:val="sq-AL" w:bidi="sq-AL"/>
        </w:rPr>
        <w:t xml:space="preserve"> e shërbimeve digjitale, si dhe të gjithë informacionin përkatës për qasje në tregun e punës, dhe hyrjet apo largimet e punëtorëve të huaj dhe personave të vetëpunësuar janë të </w:t>
      </w:r>
      <w:proofErr w:type="spellStart"/>
      <w:r w:rsidRPr="0032048B">
        <w:rPr>
          <w:lang w:val="sq-AL" w:bidi="sq-AL"/>
        </w:rPr>
        <w:t>disponueshme</w:t>
      </w:r>
      <w:proofErr w:type="spellEnd"/>
      <w:r w:rsidRPr="0032048B">
        <w:rPr>
          <w:lang w:val="sq-AL" w:bidi="sq-AL"/>
        </w:rPr>
        <w:t xml:space="preserve"> në internet. Është ngritur edhe një platformë bashkëqeverisjeje që i mundëson individëve të denoncojnë në </w:t>
      </w:r>
      <w:proofErr w:type="spellStart"/>
      <w:r w:rsidRPr="0032048B">
        <w:rPr>
          <w:lang w:val="sq-AL" w:bidi="sq-AL"/>
        </w:rPr>
        <w:t>internt</w:t>
      </w:r>
      <w:proofErr w:type="spellEnd"/>
      <w:r w:rsidRPr="0032048B">
        <w:rPr>
          <w:lang w:val="sq-AL" w:bidi="sq-AL"/>
        </w:rPr>
        <w:t xml:space="preserve"> korrupsionin gjatë ofrimit të shërbimeve publike.</w:t>
      </w:r>
    </w:p>
    <w:p w14:paraId="2951B573" w14:textId="77777777" w:rsidR="00E6279B" w:rsidRPr="0032048B" w:rsidRDefault="00E6279B" w:rsidP="00E6279B">
      <w:pPr>
        <w:pStyle w:val="Heading1"/>
        <w:rPr>
          <w:lang w:val="sq-AL"/>
        </w:rPr>
      </w:pPr>
      <w:bookmarkStart w:id="59" w:name="Chapter_3:_Right_of_establishment_and_fr"/>
      <w:bookmarkStart w:id="60" w:name="_bookmark37"/>
      <w:bookmarkEnd w:id="59"/>
      <w:bookmarkEnd w:id="60"/>
      <w:r w:rsidRPr="0032048B">
        <w:rPr>
          <w:lang w:val="sq-AL" w:bidi="sq-AL"/>
        </w:rPr>
        <w:t>Kapitulli 3: E drejta e themelimit dhe liria e ofrimit të shërbimeve</w:t>
      </w:r>
    </w:p>
    <w:p w14:paraId="3EAAD3EB" w14:textId="77777777" w:rsidR="00E6279B" w:rsidRPr="0032048B" w:rsidRDefault="00E6279B" w:rsidP="00E6279B">
      <w:pPr>
        <w:spacing w:before="120"/>
        <w:ind w:left="980" w:right="976"/>
        <w:jc w:val="both"/>
        <w:rPr>
          <w:i/>
          <w:sz w:val="24"/>
          <w:lang w:val="sq-AL"/>
        </w:rPr>
      </w:pPr>
      <w:r w:rsidRPr="0032048B">
        <w:rPr>
          <w:i/>
          <w:sz w:val="24"/>
          <w:lang w:val="sq-AL" w:bidi="sq-AL"/>
        </w:rPr>
        <w:t>Personat fizikë dhe juridikë në BE kanë të drejtën të themelojnë subjektet e tyre në çdo vend anëtar dhe të ofrojnë shërbime ndërkufitare. Për disa profesione të rregulluara, ka rregulla për njohjen e ndërsjellë të kualifikimeve. Rregullat e BE-së për shërbimet postare përqendrohen në përmirësimin e cilësisë së shërbimit universal, hapjen graduale të tregut ndaj konkurrencës dhe krijimin e një organi të pavarur rregullator.</w:t>
      </w:r>
    </w:p>
    <w:p w14:paraId="3A90C1BA" w14:textId="77777777" w:rsidR="00E6279B" w:rsidRPr="0032048B" w:rsidRDefault="00E6279B" w:rsidP="00E6279B">
      <w:pPr>
        <w:pStyle w:val="BodyText"/>
        <w:spacing w:before="6"/>
        <w:ind w:left="0" w:right="0"/>
        <w:jc w:val="left"/>
        <w:rPr>
          <w:i/>
          <w:sz w:val="10"/>
          <w:lang w:val="sq-AL"/>
        </w:rPr>
      </w:pP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4"/>
      </w:tblGrid>
      <w:tr w:rsidR="00E6279B" w:rsidRPr="0032048B" w14:paraId="320D581E" w14:textId="77777777" w:rsidTr="00456F1B">
        <w:trPr>
          <w:trHeight w:val="2915"/>
        </w:trPr>
        <w:tc>
          <w:tcPr>
            <w:tcW w:w="9254" w:type="dxa"/>
            <w:shd w:val="clear" w:color="auto" w:fill="D9D9D9"/>
          </w:tcPr>
          <w:p w14:paraId="5E64D0DD" w14:textId="77777777" w:rsidR="00E6279B" w:rsidRPr="0032048B" w:rsidRDefault="00E6279B" w:rsidP="00456F1B">
            <w:pPr>
              <w:pStyle w:val="TableParagraph"/>
              <w:spacing w:before="19"/>
              <w:ind w:left="113" w:right="101"/>
              <w:jc w:val="both"/>
              <w:rPr>
                <w:sz w:val="24"/>
                <w:lang w:val="sq-AL"/>
              </w:rPr>
            </w:pPr>
            <w:r w:rsidRPr="0032048B">
              <w:rPr>
                <w:sz w:val="24"/>
                <w:lang w:val="sq-AL" w:bidi="sq-AL"/>
              </w:rPr>
              <w:t xml:space="preserve">Shqipëria është </w:t>
            </w:r>
            <w:r w:rsidRPr="0032048B">
              <w:rPr>
                <w:b/>
                <w:sz w:val="24"/>
                <w:lang w:val="sq-AL" w:bidi="sq-AL"/>
              </w:rPr>
              <w:t>e përgatitur mesatarisht</w:t>
            </w:r>
            <w:r w:rsidRPr="0032048B">
              <w:rPr>
                <w:sz w:val="24"/>
                <w:lang w:val="sq-AL" w:bidi="sq-AL"/>
              </w:rPr>
              <w:t xml:space="preserve"> për të drejtën e themelimit dhe lirinë e ofrimit të shërbimeve. Gjatë periudhës së raportimit është bërë </w:t>
            </w:r>
            <w:r w:rsidRPr="0032048B">
              <w:rPr>
                <w:b/>
                <w:sz w:val="24"/>
                <w:lang w:val="sq-AL" w:bidi="sq-AL"/>
              </w:rPr>
              <w:t>progres i kufizuar</w:t>
            </w:r>
            <w:r w:rsidRPr="0032048B">
              <w:rPr>
                <w:sz w:val="24"/>
                <w:lang w:val="sq-AL" w:bidi="sq-AL"/>
              </w:rPr>
              <w:t xml:space="preserve"> në veçanti në fushën e lirisë së themelimit dhe lëvizjes së lirë të shërbimeve me përfundimin e </w:t>
            </w:r>
            <w:proofErr w:type="spellStart"/>
            <w:r w:rsidRPr="0032048B">
              <w:rPr>
                <w:sz w:val="24"/>
                <w:lang w:val="sq-AL" w:bidi="sq-AL"/>
              </w:rPr>
              <w:t>vetëshqyrtimit</w:t>
            </w:r>
            <w:proofErr w:type="spellEnd"/>
            <w:r w:rsidRPr="0032048B">
              <w:rPr>
                <w:sz w:val="24"/>
                <w:lang w:val="sq-AL" w:bidi="sq-AL"/>
              </w:rPr>
              <w:t xml:space="preserve"> të legjislacionit që duhet të përafrohet me Direktivën e Shërbimeve.</w:t>
            </w:r>
          </w:p>
          <w:p w14:paraId="5CAD9563" w14:textId="77777777" w:rsidR="00E6279B" w:rsidRPr="0032048B" w:rsidRDefault="00E6279B" w:rsidP="00456F1B">
            <w:pPr>
              <w:pStyle w:val="TableParagraph"/>
              <w:spacing w:before="119"/>
              <w:ind w:left="113"/>
              <w:jc w:val="both"/>
              <w:rPr>
                <w:sz w:val="24"/>
                <w:lang w:val="sq-AL"/>
              </w:rPr>
            </w:pPr>
            <w:r w:rsidRPr="0032048B">
              <w:rPr>
                <w:sz w:val="24"/>
                <w:lang w:val="sq-AL" w:bidi="sq-AL"/>
              </w:rPr>
              <w:t>Vitin e ardhshëm, në veçanti Shqipëria duhet të:</w:t>
            </w:r>
          </w:p>
          <w:p w14:paraId="0A48CE69" w14:textId="77777777" w:rsidR="00E6279B" w:rsidRPr="0032048B" w:rsidRDefault="00E6279B" w:rsidP="00456F1B">
            <w:pPr>
              <w:pStyle w:val="TableParagraph"/>
              <w:spacing w:before="120"/>
              <w:ind w:left="473" w:right="103" w:hanging="360"/>
              <w:jc w:val="both"/>
              <w:rPr>
                <w:sz w:val="24"/>
                <w:lang w:val="sq-AL"/>
              </w:rPr>
            </w:pPr>
            <w:r w:rsidRPr="0032048B">
              <w:rPr>
                <w:sz w:val="24"/>
                <w:lang w:val="sq-AL" w:bidi="sq-AL"/>
              </w:rPr>
              <w:t xml:space="preserve"> fillojë ndryshimin e legjislacionit për trajtimin e pengesave ndaj lirisë së themelimit dhe lëvizjes së lirë të shërbimeve, që janë identifikuar në kuadër të ushtrimit të </w:t>
            </w:r>
            <w:proofErr w:type="spellStart"/>
            <w:r w:rsidRPr="0032048B">
              <w:rPr>
                <w:sz w:val="24"/>
                <w:lang w:val="sq-AL" w:bidi="sq-AL"/>
              </w:rPr>
              <w:t>vetëshqyrtimit</w:t>
            </w:r>
            <w:proofErr w:type="spellEnd"/>
            <w:r w:rsidRPr="0032048B">
              <w:rPr>
                <w:sz w:val="24"/>
                <w:lang w:val="sq-AL" w:bidi="sq-AL"/>
              </w:rPr>
              <w:t>.</w:t>
            </w:r>
          </w:p>
          <w:p w14:paraId="262344A6" w14:textId="77777777" w:rsidR="00E6279B" w:rsidRPr="0032048B" w:rsidRDefault="00E6279B" w:rsidP="00456F1B">
            <w:pPr>
              <w:pStyle w:val="TableParagraph"/>
              <w:spacing w:before="135" w:line="276" w:lineRule="exact"/>
              <w:ind w:left="473" w:right="100" w:hanging="360"/>
              <w:jc w:val="both"/>
              <w:rPr>
                <w:sz w:val="24"/>
                <w:lang w:val="sq-AL"/>
              </w:rPr>
            </w:pPr>
            <w:r w:rsidRPr="0032048B">
              <w:rPr>
                <w:sz w:val="24"/>
                <w:lang w:val="sq-AL" w:bidi="sq-AL"/>
              </w:rPr>
              <w:t xml:space="preserve"> vijojë përpjekjet për përafrimin e legjislacionit me </w:t>
            </w:r>
            <w:proofErr w:type="spellStart"/>
            <w:r w:rsidRPr="0032048B">
              <w:rPr>
                <w:i/>
                <w:sz w:val="24"/>
                <w:lang w:val="sq-AL" w:bidi="sq-AL"/>
              </w:rPr>
              <w:t>acquis</w:t>
            </w:r>
            <w:proofErr w:type="spellEnd"/>
            <w:r w:rsidRPr="0032048B">
              <w:rPr>
                <w:i/>
                <w:sz w:val="24"/>
                <w:lang w:val="sq-AL" w:bidi="sq-AL"/>
              </w:rPr>
              <w:t>-në</w:t>
            </w:r>
            <w:r w:rsidRPr="0032048B">
              <w:rPr>
                <w:sz w:val="24"/>
                <w:lang w:val="sq-AL" w:bidi="sq-AL"/>
              </w:rPr>
              <w:t xml:space="preserve"> e BE-së dhe të sigurojë kapacitetet e përshtatshme institucionale në fushën e njohjes së ndërsjellë të kualifikimeve profesionale.</w:t>
            </w:r>
          </w:p>
        </w:tc>
      </w:tr>
    </w:tbl>
    <w:p w14:paraId="44FA3923" w14:textId="77777777" w:rsidR="00E6279B" w:rsidRPr="0032048B" w:rsidRDefault="00E6279B" w:rsidP="00E6279B">
      <w:pPr>
        <w:pStyle w:val="BodyText"/>
        <w:spacing w:before="121"/>
        <w:ind w:right="977"/>
        <w:rPr>
          <w:lang w:val="sq-AL"/>
        </w:rPr>
      </w:pPr>
      <w:r w:rsidRPr="0032048B">
        <w:rPr>
          <w:lang w:val="sq-AL" w:bidi="sq-AL"/>
        </w:rPr>
        <w:t xml:space="preserve">Sa i përket </w:t>
      </w:r>
      <w:r w:rsidRPr="0032048B">
        <w:rPr>
          <w:b/>
          <w:lang w:val="sq-AL" w:bidi="sq-AL"/>
        </w:rPr>
        <w:t>lirisë së themelimit dhe lëvizjes së lirë të shërbimeve,</w:t>
      </w:r>
      <w:r w:rsidRPr="0032048B">
        <w:rPr>
          <w:lang w:val="sq-AL" w:bidi="sq-AL"/>
        </w:rPr>
        <w:t xml:space="preserve"> Shqipëria ka përfunduar </w:t>
      </w:r>
      <w:proofErr w:type="spellStart"/>
      <w:r w:rsidRPr="0032048B">
        <w:rPr>
          <w:lang w:val="sq-AL" w:bidi="sq-AL"/>
        </w:rPr>
        <w:t>vetëshqyrtimin</w:t>
      </w:r>
      <w:proofErr w:type="spellEnd"/>
      <w:r w:rsidRPr="0032048B">
        <w:rPr>
          <w:lang w:val="sq-AL" w:bidi="sq-AL"/>
        </w:rPr>
        <w:t xml:space="preserve"> e legjislacionit aktual për 18 sektorët e mbetur, me qëllim identifikimin e dispozitave që duhet të përafrohen me Direktivën e Shërbimeve. I gjithë procesi i </w:t>
      </w:r>
      <w:proofErr w:type="spellStart"/>
      <w:r w:rsidRPr="0032048B">
        <w:rPr>
          <w:lang w:val="sq-AL" w:bidi="sq-AL"/>
        </w:rPr>
        <w:t>vetëshqyrtimit</w:t>
      </w:r>
      <w:proofErr w:type="spellEnd"/>
      <w:r w:rsidRPr="0032048B">
        <w:rPr>
          <w:lang w:val="sq-AL" w:bidi="sq-AL"/>
        </w:rPr>
        <w:t xml:space="preserve"> ligjor mbulon 38 sektorë dhe ka rezultuar në identifikimin e 112 akteve të cilat duhet të ndryshohen për të siguruar përputhje me Direktivën e Shërbimeve. Qendra Kombëtare e Biznesit shërben si ndalesë e vetme për regjistrimin e bizneseve dhe lëshimin e licencave, autorizimeve dhe lejeve. Portali e-Albania shërben si pikë e vetme kontakti për shërbimet publike elektronike, dhe që prej majit të vitit 2022, rreth 95% e shërbimeve ofrohen përmes internetit.</w:t>
      </w:r>
    </w:p>
    <w:p w14:paraId="4E6EBD12" w14:textId="77777777" w:rsidR="00E6279B" w:rsidRPr="0032048B" w:rsidRDefault="00E6279B" w:rsidP="00E6279B">
      <w:pPr>
        <w:pStyle w:val="BodyText"/>
        <w:spacing w:before="121"/>
        <w:rPr>
          <w:lang w:val="sq-AL"/>
        </w:rPr>
      </w:pPr>
      <w:r w:rsidRPr="0032048B">
        <w:rPr>
          <w:lang w:val="sq-AL" w:bidi="sq-AL"/>
        </w:rPr>
        <w:t xml:space="preserve">Legjislacioni kombëtar për </w:t>
      </w:r>
      <w:r w:rsidRPr="0032048B">
        <w:rPr>
          <w:b/>
          <w:lang w:val="sq-AL" w:bidi="sq-AL"/>
        </w:rPr>
        <w:t>shërbimet postare</w:t>
      </w:r>
      <w:r w:rsidRPr="0032048B">
        <w:rPr>
          <w:lang w:val="sq-AL" w:bidi="sq-AL"/>
        </w:rPr>
        <w:t xml:space="preserve"> është i përafruar me </w:t>
      </w:r>
      <w:proofErr w:type="spellStart"/>
      <w:r w:rsidRPr="0032048B">
        <w:rPr>
          <w:i/>
          <w:lang w:val="sq-AL" w:bidi="sq-AL"/>
        </w:rPr>
        <w:t>acquis</w:t>
      </w:r>
      <w:proofErr w:type="spellEnd"/>
      <w:r w:rsidRPr="0032048B">
        <w:rPr>
          <w:i/>
          <w:lang w:val="sq-AL" w:bidi="sq-AL"/>
        </w:rPr>
        <w:t>-në</w:t>
      </w:r>
      <w:r w:rsidRPr="0032048B">
        <w:rPr>
          <w:lang w:val="sq-AL" w:bidi="sq-AL"/>
        </w:rPr>
        <w:t xml:space="preserve"> e BE-së për postat, fushë në të cilën Shqipëria ka progres të mirë. Shqipëria ka përafruar Direktivën e Shërbimeve Postare që prej vitit 2017, pas shfuqizimit të zonës së rezervuar dhe liberalizimit të tregut postar për konkurrencë të plotë, dhe ka përafruar Rregulloren e shërbimeve të dorëzimit ndërkufitar të kolipostës në</w:t>
      </w:r>
    </w:p>
    <w:p w14:paraId="1704C76C" w14:textId="77777777" w:rsidR="00E6279B" w:rsidRPr="0032048B" w:rsidRDefault="00E6279B" w:rsidP="00E6279B">
      <w:pPr>
        <w:pStyle w:val="BodyText"/>
        <w:spacing w:before="62"/>
        <w:rPr>
          <w:lang w:val="sq-AL"/>
        </w:rPr>
      </w:pPr>
      <w:r w:rsidRPr="0032048B">
        <w:rPr>
          <w:lang w:val="sq-AL" w:bidi="sq-AL"/>
        </w:rPr>
        <w:t>qershor të vitit 2021. Aktualisht në treg veprojnë një ofrues të shërbimit universal (Posta Shqiptare sha), e përcaktuar si e tillë për një periudhë 5 vjeçare që prej korrikut të vitit 2020, si dhe 33 ofrues të tjerë të shërbimeve postare. Autoriteti i Komunikimeve Elektronike dhe Postare (AKEP) është autoriteti kombëtar rregullator i pavarur përgjegjës për rregullimin dhe mbikëqyrjen e shërbimeve postare në Shqipëri.</w:t>
      </w:r>
    </w:p>
    <w:p w14:paraId="2D6342C4" w14:textId="77777777" w:rsidR="00E6279B" w:rsidRPr="0032048B" w:rsidRDefault="00E6279B" w:rsidP="00E6279B">
      <w:pPr>
        <w:pStyle w:val="BodyText"/>
        <w:rPr>
          <w:lang w:val="sq-AL"/>
        </w:rPr>
      </w:pPr>
      <w:r w:rsidRPr="0032048B">
        <w:rPr>
          <w:lang w:val="sq-AL" w:bidi="sq-AL"/>
        </w:rPr>
        <w:t xml:space="preserve">Sa i përket përafrimit të kuadrit të kualifikimeve profesionale me </w:t>
      </w:r>
      <w:proofErr w:type="spellStart"/>
      <w:r w:rsidRPr="0032048B">
        <w:rPr>
          <w:i/>
          <w:lang w:val="sq-AL" w:bidi="sq-AL"/>
        </w:rPr>
        <w:t>acquis</w:t>
      </w:r>
      <w:proofErr w:type="spellEnd"/>
      <w:r w:rsidRPr="0032048B">
        <w:rPr>
          <w:i/>
          <w:lang w:val="sq-AL" w:bidi="sq-AL"/>
        </w:rPr>
        <w:t>-në</w:t>
      </w:r>
      <w:r w:rsidRPr="0032048B">
        <w:rPr>
          <w:lang w:val="sq-AL" w:bidi="sq-AL"/>
        </w:rPr>
        <w:t xml:space="preserve"> për </w:t>
      </w:r>
      <w:r w:rsidRPr="0032048B">
        <w:rPr>
          <w:b/>
          <w:lang w:val="sq-AL" w:bidi="sq-AL"/>
        </w:rPr>
        <w:t>njohjen e ndërsjellë të kualifikimeve profesionale</w:t>
      </w:r>
      <w:r w:rsidRPr="0032048B">
        <w:rPr>
          <w:lang w:val="sq-AL" w:bidi="sq-AL"/>
        </w:rPr>
        <w:t xml:space="preserve">, është përfunduar një udhërrëfyes për kualifikimet profesional, i cili pret të miratohet. Kapacitetet institucionale në këtë fushë duhet të fuqizohen më tej. Aktualisht, legjislacioni shqiptar rregullon 331 profesione/kualifikime profesionale. Në </w:t>
      </w:r>
      <w:r w:rsidRPr="0032048B">
        <w:rPr>
          <w:lang w:val="sq-AL" w:bidi="sq-AL"/>
        </w:rPr>
        <w:lastRenderedPageBreak/>
        <w:t>janar të vitit 2023, Shqipëria nënshkroi Marrëveshjen për Njohjen e Kualifikimeve të Arsimit të Lartë dhe Marrëveshjen për Njohjen e Kualifikimeve Profesionale për Mjekët, Dentistët dhe Arkitektët, së bashku me vendet e tjera të Ballkanit Perëndimor, në Samitin e Berlinit.</w:t>
      </w:r>
    </w:p>
    <w:p w14:paraId="54052C73" w14:textId="77777777" w:rsidR="00E6279B" w:rsidRPr="0032048B" w:rsidRDefault="00E6279B" w:rsidP="00E6279B">
      <w:pPr>
        <w:pStyle w:val="Heading1"/>
        <w:rPr>
          <w:lang w:val="sq-AL"/>
        </w:rPr>
      </w:pPr>
      <w:bookmarkStart w:id="61" w:name="Chapter_4:_Free_movement_of_capital"/>
      <w:bookmarkStart w:id="62" w:name="_bookmark38"/>
      <w:bookmarkEnd w:id="61"/>
      <w:bookmarkEnd w:id="62"/>
      <w:r w:rsidRPr="0032048B">
        <w:rPr>
          <w:lang w:val="sq-AL" w:bidi="sq-AL"/>
        </w:rPr>
        <w:t>Kapitulli 4: Lëvizja e lirë e kapitalit</w:t>
      </w:r>
    </w:p>
    <w:p w14:paraId="65870A0C" w14:textId="77777777" w:rsidR="00E6279B" w:rsidRPr="0032048B" w:rsidRDefault="00E6279B" w:rsidP="00E6279B">
      <w:pPr>
        <w:spacing w:before="120"/>
        <w:ind w:left="980" w:right="978"/>
        <w:jc w:val="both"/>
        <w:rPr>
          <w:i/>
          <w:sz w:val="24"/>
          <w:lang w:val="sq-AL"/>
        </w:rPr>
      </w:pPr>
      <w:r w:rsidRPr="0032048B">
        <w:rPr>
          <w:i/>
          <w:sz w:val="24"/>
          <w:lang w:val="sq-AL" w:bidi="sq-AL"/>
        </w:rPr>
        <w:t>Në BE, kapitali dhe investimet duhet të kenë mundësinë të lëvizin pa kufizime, bazuar në rregulla të përbashkëta për pagesat ndërkufitare. Bankat dhe operatorët e tjerë ekonomikë zbatojnë disa rregulla në mbështetje të luftës kundër pastrimit të parave dhe financimit të terrorizmit.</w:t>
      </w:r>
    </w:p>
    <w:p w14:paraId="08995923" w14:textId="77777777" w:rsidR="00E6279B" w:rsidRPr="0032048B" w:rsidRDefault="00E6279B" w:rsidP="00E6279B">
      <w:pPr>
        <w:pStyle w:val="BodyText"/>
        <w:spacing w:before="6"/>
        <w:ind w:left="0" w:right="0"/>
        <w:jc w:val="left"/>
        <w:rPr>
          <w:i/>
          <w:sz w:val="10"/>
          <w:lang w:val="sq-AL"/>
        </w:rPr>
      </w:pP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4"/>
      </w:tblGrid>
      <w:tr w:rsidR="00E6279B" w:rsidRPr="0032048B" w14:paraId="4DD7E23A" w14:textId="77777777" w:rsidTr="00456F1B">
        <w:trPr>
          <w:trHeight w:val="5260"/>
        </w:trPr>
        <w:tc>
          <w:tcPr>
            <w:tcW w:w="9254" w:type="dxa"/>
            <w:shd w:val="clear" w:color="auto" w:fill="D9D9D9"/>
          </w:tcPr>
          <w:p w14:paraId="7DFD40F8" w14:textId="77777777" w:rsidR="00E6279B" w:rsidRPr="0032048B" w:rsidRDefault="00E6279B" w:rsidP="00456F1B">
            <w:pPr>
              <w:pStyle w:val="TableParagraph"/>
              <w:spacing w:before="19"/>
              <w:ind w:left="113" w:right="100"/>
              <w:jc w:val="both"/>
              <w:rPr>
                <w:sz w:val="24"/>
                <w:lang w:val="sq-AL"/>
              </w:rPr>
            </w:pPr>
            <w:r w:rsidRPr="0032048B">
              <w:rPr>
                <w:sz w:val="24"/>
                <w:lang w:val="sq-AL" w:bidi="sq-AL"/>
              </w:rPr>
              <w:t xml:space="preserve">Shqipëria është </w:t>
            </w:r>
            <w:r w:rsidRPr="0032048B">
              <w:rPr>
                <w:b/>
                <w:sz w:val="24"/>
                <w:lang w:val="sq-AL" w:bidi="sq-AL"/>
              </w:rPr>
              <w:t>e përgatitur mesatarisht</w:t>
            </w:r>
            <w:r w:rsidRPr="0032048B">
              <w:rPr>
                <w:sz w:val="24"/>
                <w:lang w:val="sq-AL" w:bidi="sq-AL"/>
              </w:rPr>
              <w:t xml:space="preserve"> në fushën e lëvizjes së kapitalit. Është arritur progres i mirë për zbatimin e veprimeve të rekomanduara nga </w:t>
            </w:r>
            <w:proofErr w:type="spellStart"/>
            <w:r w:rsidRPr="0032048B">
              <w:rPr>
                <w:sz w:val="24"/>
                <w:lang w:val="sq-AL" w:bidi="sq-AL"/>
              </w:rPr>
              <w:t>Moneyval</w:t>
            </w:r>
            <w:proofErr w:type="spellEnd"/>
            <w:r w:rsidRPr="0032048B">
              <w:rPr>
                <w:sz w:val="24"/>
                <w:lang w:val="sq-AL" w:bidi="sq-AL"/>
              </w:rPr>
              <w:t xml:space="preserve"> dhe Plani i Veprimit i </w:t>
            </w:r>
            <w:proofErr w:type="spellStart"/>
            <w:r w:rsidRPr="0032048B">
              <w:rPr>
                <w:sz w:val="24"/>
                <w:lang w:val="sq-AL" w:bidi="sq-AL"/>
              </w:rPr>
              <w:t>Task</w:t>
            </w:r>
            <w:proofErr w:type="spellEnd"/>
            <w:r w:rsidRPr="0032048B">
              <w:rPr>
                <w:sz w:val="24"/>
                <w:lang w:val="sq-AL" w:bidi="sq-AL"/>
              </w:rPr>
              <w:t xml:space="preserve"> Forcës për Veprimin Financiar (FATF). Në qershor të vitit 2023, FATF vendosi të propozojë një vizitë në terren, e cila u zhvillua në gusht dhe solli si rezultat heqjen e Shqipërisë nga lista. Megjithatë, Shqipëria duhet të sigurojë që ligji i ardhshëm për VTC-në (përfshirë amnistitë e mundshme penale) të jenë në përputhje me </w:t>
            </w:r>
            <w:proofErr w:type="spellStart"/>
            <w:r w:rsidRPr="0032048B">
              <w:rPr>
                <w:sz w:val="24"/>
                <w:lang w:val="sq-AL" w:bidi="sq-AL"/>
              </w:rPr>
              <w:t>acquis</w:t>
            </w:r>
            <w:proofErr w:type="spellEnd"/>
            <w:r w:rsidRPr="0032048B">
              <w:rPr>
                <w:sz w:val="24"/>
                <w:lang w:val="sq-AL" w:bidi="sq-AL"/>
              </w:rPr>
              <w:t xml:space="preserve">-në e BE-së dhe standardet ndërkombëtare. Çështja lidhur me lejimin e qytetarëve të BE-së të blejnë tokë mbetet e pazgjidhur. Është bërë progres për përafrimin e mëtejshëm të legjislacionit për sistemin kombëtar të pagesave me </w:t>
            </w:r>
            <w:proofErr w:type="spellStart"/>
            <w:r w:rsidRPr="0032048B">
              <w:rPr>
                <w:i/>
                <w:sz w:val="24"/>
                <w:lang w:val="sq-AL" w:bidi="sq-AL"/>
              </w:rPr>
              <w:t>acquis</w:t>
            </w:r>
            <w:proofErr w:type="spellEnd"/>
            <w:r w:rsidRPr="0032048B">
              <w:rPr>
                <w:i/>
                <w:sz w:val="24"/>
                <w:lang w:val="sq-AL" w:bidi="sq-AL"/>
              </w:rPr>
              <w:t>-në</w:t>
            </w:r>
            <w:r w:rsidRPr="0032048B">
              <w:rPr>
                <w:sz w:val="24"/>
                <w:lang w:val="sq-AL" w:bidi="sq-AL"/>
              </w:rPr>
              <w:t xml:space="preserve"> e BE-së, veçanërisht në fushën e Direktivës së Parasë Elektronike, Direktivën e Llogarive të Pagesave, dhe në kuadër të edukimit financiar.</w:t>
            </w:r>
          </w:p>
          <w:p w14:paraId="77B25F34" w14:textId="77777777" w:rsidR="00E6279B" w:rsidRPr="0032048B" w:rsidRDefault="00E6279B" w:rsidP="00456F1B">
            <w:pPr>
              <w:pStyle w:val="TableParagraph"/>
              <w:spacing w:before="119"/>
              <w:ind w:left="113"/>
              <w:jc w:val="both"/>
              <w:rPr>
                <w:sz w:val="24"/>
                <w:lang w:val="sq-AL"/>
              </w:rPr>
            </w:pPr>
            <w:r w:rsidRPr="0032048B">
              <w:rPr>
                <w:sz w:val="24"/>
                <w:lang w:val="sq-AL" w:bidi="sq-AL"/>
              </w:rPr>
              <w:t>Vitin e ardhshëm, në veçanti Shqipëria duhet të:</w:t>
            </w:r>
          </w:p>
          <w:p w14:paraId="10FB4A80" w14:textId="77777777" w:rsidR="00E6279B" w:rsidRPr="0032048B" w:rsidRDefault="00E6279B" w:rsidP="00456F1B">
            <w:pPr>
              <w:pStyle w:val="TableParagraph"/>
              <w:spacing w:before="120"/>
              <w:ind w:left="473" w:right="100" w:hanging="360"/>
              <w:jc w:val="both"/>
              <w:rPr>
                <w:sz w:val="24"/>
                <w:lang w:val="sq-AL"/>
              </w:rPr>
            </w:pPr>
            <w:r w:rsidRPr="0032048B">
              <w:rPr>
                <w:sz w:val="24"/>
                <w:lang w:val="sq-AL" w:bidi="sq-AL"/>
              </w:rPr>
              <w:t xml:space="preserve"> sigurojë që të gjitha aktet ligjore për përmbushjen vullnetare tatimore (përfshirë amnistitë) të jenë të përafruara me </w:t>
            </w:r>
            <w:proofErr w:type="spellStart"/>
            <w:r w:rsidRPr="0032048B">
              <w:rPr>
                <w:i/>
                <w:sz w:val="24"/>
                <w:lang w:val="sq-AL" w:bidi="sq-AL"/>
              </w:rPr>
              <w:t>acquis</w:t>
            </w:r>
            <w:proofErr w:type="spellEnd"/>
            <w:r w:rsidRPr="0032048B">
              <w:rPr>
                <w:i/>
                <w:sz w:val="24"/>
                <w:lang w:val="sq-AL" w:bidi="sq-AL"/>
              </w:rPr>
              <w:t>-në</w:t>
            </w:r>
            <w:r w:rsidRPr="0032048B">
              <w:rPr>
                <w:sz w:val="24"/>
                <w:lang w:val="sq-AL" w:bidi="sq-AL"/>
              </w:rPr>
              <w:t xml:space="preserve"> përkatëse të BE-së dhe standardet ndërkombëtare të përcaktuara nga </w:t>
            </w:r>
            <w:proofErr w:type="spellStart"/>
            <w:r w:rsidRPr="0032048B">
              <w:rPr>
                <w:sz w:val="24"/>
                <w:lang w:val="sq-AL" w:bidi="sq-AL"/>
              </w:rPr>
              <w:t>Moneyval</w:t>
            </w:r>
            <w:proofErr w:type="spellEnd"/>
            <w:r w:rsidRPr="0032048B">
              <w:rPr>
                <w:sz w:val="24"/>
                <w:lang w:val="sq-AL" w:bidi="sq-AL"/>
              </w:rPr>
              <w:t xml:space="preserve"> dhe </w:t>
            </w:r>
            <w:proofErr w:type="spellStart"/>
            <w:r w:rsidRPr="0032048B">
              <w:rPr>
                <w:sz w:val="24"/>
                <w:lang w:val="sq-AL" w:bidi="sq-AL"/>
              </w:rPr>
              <w:t>Task</w:t>
            </w:r>
            <w:proofErr w:type="spellEnd"/>
            <w:r w:rsidRPr="0032048B">
              <w:rPr>
                <w:sz w:val="24"/>
                <w:lang w:val="sq-AL" w:bidi="sq-AL"/>
              </w:rPr>
              <w:t xml:space="preserve"> Forca për Veprim Financiar (FATF);</w:t>
            </w:r>
          </w:p>
          <w:p w14:paraId="1365C6AD" w14:textId="77777777" w:rsidR="00E6279B" w:rsidRPr="0032048B" w:rsidRDefault="00E6279B" w:rsidP="00456F1B">
            <w:pPr>
              <w:pStyle w:val="TableParagraph"/>
              <w:spacing w:before="120"/>
              <w:ind w:left="473" w:right="102" w:hanging="360"/>
              <w:jc w:val="both"/>
              <w:rPr>
                <w:sz w:val="24"/>
                <w:lang w:val="sq-AL"/>
              </w:rPr>
            </w:pPr>
            <w:r w:rsidRPr="0032048B">
              <w:rPr>
                <w:sz w:val="24"/>
                <w:lang w:val="sq-AL" w:bidi="sq-AL"/>
              </w:rPr>
              <w:t> shtojë përpjekjet për miratimin e legjislacionit përkatës që do t'i siguronte qytetarëve të BE-së të blejnë tokë, legjislacion ky që duhet të ishte miratuar që në vitin 2016;</w:t>
            </w:r>
          </w:p>
          <w:p w14:paraId="42839AD6" w14:textId="77777777" w:rsidR="00E6279B" w:rsidRPr="0032048B" w:rsidRDefault="00E6279B" w:rsidP="00456F1B">
            <w:pPr>
              <w:pStyle w:val="TableParagraph"/>
              <w:spacing w:before="134" w:line="276" w:lineRule="exact"/>
              <w:ind w:left="473" w:right="101" w:hanging="360"/>
              <w:jc w:val="both"/>
              <w:rPr>
                <w:sz w:val="24"/>
                <w:lang w:val="sq-AL"/>
              </w:rPr>
            </w:pPr>
            <w:r w:rsidRPr="0032048B">
              <w:rPr>
                <w:sz w:val="24"/>
                <w:lang w:val="sq-AL" w:bidi="sq-AL"/>
              </w:rPr>
              <w:t> sigurojë zbatimin e strategjisë kombëtare të pagesave 2018-2023; të nisë vlerësimin e objektivave strategjikë afatmesëm.</w:t>
            </w:r>
          </w:p>
        </w:tc>
      </w:tr>
    </w:tbl>
    <w:p w14:paraId="6E0EA6C8" w14:textId="77777777" w:rsidR="00E6279B" w:rsidRPr="0032048B" w:rsidRDefault="00E6279B" w:rsidP="00E6279B">
      <w:pPr>
        <w:pStyle w:val="BodyText"/>
        <w:spacing w:before="121"/>
        <w:rPr>
          <w:lang w:val="sq-AL"/>
        </w:rPr>
      </w:pPr>
      <w:r w:rsidRPr="0032048B">
        <w:rPr>
          <w:lang w:val="sq-AL" w:bidi="sq-AL"/>
        </w:rPr>
        <w:t xml:space="preserve">Sa i përket </w:t>
      </w:r>
      <w:r w:rsidRPr="0032048B">
        <w:rPr>
          <w:b/>
          <w:lang w:val="sq-AL" w:bidi="sq-AL"/>
        </w:rPr>
        <w:t>lëvizjes së kapitalit dhe pagesave,</w:t>
      </w:r>
      <w:r w:rsidRPr="0032048B">
        <w:rPr>
          <w:lang w:val="sq-AL" w:bidi="sq-AL"/>
        </w:rPr>
        <w:t xml:space="preserve"> Shqipëria ka mbetur prapa lidhur me angazhimin e saj në kuadër të Marrëveshjes së Stabilizimit dhe </w:t>
      </w:r>
      <w:proofErr w:type="spellStart"/>
      <w:r w:rsidRPr="0032048B">
        <w:rPr>
          <w:lang w:val="sq-AL" w:bidi="sq-AL"/>
        </w:rPr>
        <w:t>Asocimit</w:t>
      </w:r>
      <w:proofErr w:type="spellEnd"/>
      <w:r w:rsidRPr="0032048B">
        <w:rPr>
          <w:lang w:val="sq-AL" w:bidi="sq-AL"/>
        </w:rPr>
        <w:t xml:space="preserve"> (MSA) të vitit 2006 për t'i mundësuar individëve dhe subjekteve me kombësi të BE-së të blejnë tokë bujqësore, hap ky që duhet të ishte plotësuar në vitin 2016. Dispozitat që do të normonin blerjen e tokës bujqësore nga qytetarët e BE-së, së bashku me më shumë qartësi rreth të drejtave të pronësisë, do të nxisnin më shumë investime të huaja në Shqipëri.</w:t>
      </w:r>
    </w:p>
    <w:p w14:paraId="17CE3118" w14:textId="17FC9012" w:rsidR="00E6279B" w:rsidRPr="0032048B" w:rsidRDefault="00E6279B" w:rsidP="0032048B">
      <w:pPr>
        <w:pStyle w:val="BodyText"/>
        <w:ind w:left="979"/>
        <w:rPr>
          <w:b/>
          <w:lang w:val="sq-AL"/>
        </w:rPr>
      </w:pPr>
      <w:r w:rsidRPr="0032048B">
        <w:rPr>
          <w:lang w:val="sq-AL" w:bidi="sq-AL"/>
        </w:rPr>
        <w:t xml:space="preserve">Lidhur me </w:t>
      </w:r>
      <w:r w:rsidRPr="0032048B">
        <w:rPr>
          <w:b/>
          <w:lang w:val="sq-AL" w:bidi="sq-AL"/>
        </w:rPr>
        <w:t>sistemet e pagesave</w:t>
      </w:r>
      <w:r w:rsidRPr="0032048B">
        <w:rPr>
          <w:lang w:val="sq-AL" w:bidi="sq-AL"/>
        </w:rPr>
        <w:t xml:space="preserve">, bankat e huaja mund të hapin degë dhe agjenci në Shqipëri dhe të ofrojnë pagesa ndërkufitare. Legjislacioni shqiptar është pjesërisht i përafruar me </w:t>
      </w:r>
      <w:proofErr w:type="spellStart"/>
      <w:r w:rsidRPr="0032048B">
        <w:rPr>
          <w:i/>
          <w:lang w:val="sq-AL" w:bidi="sq-AL"/>
        </w:rPr>
        <w:t>acquis</w:t>
      </w:r>
      <w:proofErr w:type="spellEnd"/>
      <w:r w:rsidRPr="0032048B">
        <w:rPr>
          <w:i/>
          <w:lang w:val="sq-AL" w:bidi="sq-AL"/>
        </w:rPr>
        <w:t>-në</w:t>
      </w:r>
      <w:r w:rsidRPr="0032048B">
        <w:rPr>
          <w:lang w:val="sq-AL" w:bidi="sq-AL"/>
        </w:rPr>
        <w:t xml:space="preserve"> e BE-së për debitimin e drejtpërdrejtë dhe </w:t>
      </w:r>
      <w:proofErr w:type="spellStart"/>
      <w:r w:rsidRPr="0032048B">
        <w:rPr>
          <w:lang w:val="sq-AL" w:bidi="sq-AL"/>
        </w:rPr>
        <w:t>transfertat</w:t>
      </w:r>
      <w:proofErr w:type="spellEnd"/>
      <w:r w:rsidRPr="0032048B">
        <w:rPr>
          <w:lang w:val="sq-AL" w:bidi="sq-AL"/>
        </w:rPr>
        <w:t xml:space="preserve"> e kreditit. Masat e zbatuara nga Banka e Shqipërisë në kontekstin e kufizimeve të COVID-19-ës në mars të vitit 2020 për uljen kostove të shërbimeve të sistemit të pagesave dhe për nxitjen e veprimeve bankare nga banesa, janë ende në zbatim në kuadër të strategjisë kombëtare për pagesat me vlerë të </w:t>
      </w:r>
      <w:proofErr w:type="spellStart"/>
      <w:r w:rsidRPr="0032048B">
        <w:rPr>
          <w:lang w:val="sq-AL" w:bidi="sq-AL"/>
        </w:rPr>
        <w:t>ulët.Komiteti</w:t>
      </w:r>
      <w:proofErr w:type="spellEnd"/>
      <w:r w:rsidRPr="0032048B">
        <w:rPr>
          <w:lang w:val="sq-AL" w:bidi="sq-AL"/>
        </w:rPr>
        <w:t xml:space="preserve"> i sistemit të pagesave i Shqipërisë, që është i hapur për përfaqësues të institucioneve financiare jo banka dhe operatorëve të sistemit të pagesave, po zbaton strategjinë kombëtare për pagesat me pakicë 2018-2023. Ligji për shërbimet e pagesave, i hartuar për përafrimin e legjislacionit vendas me dispozitat e Direktivës së BE-së për Shërbimet e Pagesave (PSD II) për kushtet e transparencës dhe kërkesat për informacion në shërbimet e pagesave, hyri plotësisht në fuqi në korrik të vitit 2022. Legjislacioni zbatues është miratuar me qëllim përafrimin e mëtejshëm me </w:t>
      </w:r>
      <w:proofErr w:type="spellStart"/>
      <w:r w:rsidRPr="0032048B">
        <w:rPr>
          <w:i/>
          <w:lang w:val="sq-AL" w:bidi="sq-AL"/>
        </w:rPr>
        <w:t>acquis</w:t>
      </w:r>
      <w:proofErr w:type="spellEnd"/>
      <w:r w:rsidRPr="0032048B">
        <w:rPr>
          <w:i/>
          <w:lang w:val="sq-AL" w:bidi="sq-AL"/>
        </w:rPr>
        <w:t>-në</w:t>
      </w:r>
      <w:r w:rsidRPr="0032048B">
        <w:rPr>
          <w:lang w:val="sq-AL" w:bidi="sq-AL"/>
        </w:rPr>
        <w:t xml:space="preserve"> për paranë elektronik dhe për qasjen në llogari pagesash, dhe për të rritur transparencën dhe konkurrencën në tregun e sistemit të pagesave. Në mars të vitit 2023, aktet </w:t>
      </w:r>
      <w:r w:rsidRPr="0032048B">
        <w:rPr>
          <w:lang w:val="sq-AL" w:bidi="sq-AL"/>
        </w:rPr>
        <w:lastRenderedPageBreak/>
        <w:t xml:space="preserve">nënligjore hynë për mbikëqyrjen e institucioneve të parasë elektronike në fuqi, i cili ndër të tjera përcakton rregullat për menaxhimin e </w:t>
      </w:r>
      <w:proofErr w:type="spellStart"/>
      <w:r w:rsidRPr="0032048B">
        <w:rPr>
          <w:lang w:val="sq-AL" w:bidi="sq-AL"/>
        </w:rPr>
        <w:t>risqeve</w:t>
      </w:r>
      <w:proofErr w:type="spellEnd"/>
      <w:r w:rsidRPr="0032048B">
        <w:rPr>
          <w:lang w:val="sq-AL" w:bidi="sq-AL"/>
        </w:rPr>
        <w:t xml:space="preserve"> të lidhura me këtë veprimtari, mbikëqyrjen dhe kërkesat për lëshuesit e parasë elektronike. Në Shqipëri veprojnë nëntë institucione të licencuara të parasë elektronike. Edukimi financiar i popullsisë shqiptare në moshë madhore vijoi të përmirësohet në vitin 2022 (69% e individëve në moshë madhore kanë tashmë një llogari për pagesa), dhe përdorimi i pagesave elektronike u shtua (17.9 transaksione elektronike për person në moshë madhore, krahasuar me 12 gjatë vitit të mëparshëm). Nevojiten përpjekje të mëtejshme për shtimin e transaksioneve të pagesave elektronike përmes kartave të kreditit, shërbim ky veçanërisht në kërkesë në sektorin e turizmit, por që mbetet i shtrenjtë për biznesin. Shqipëria nuk zbaton rregullat e Rregullores së Ndërkëmbimit të Tarifave, duke qenë se qeveria e konsideron depërtimin e pagesave elektronike shumë të kufizuar dhe të përqendruar në kryeqytet.</w:t>
      </w:r>
    </w:p>
    <w:p w14:paraId="5C3E222F" w14:textId="77777777" w:rsidR="00E6279B" w:rsidRPr="0032048B" w:rsidRDefault="00E6279B" w:rsidP="00E6279B">
      <w:pPr>
        <w:pStyle w:val="BodyText"/>
        <w:ind w:left="979"/>
        <w:rPr>
          <w:i/>
          <w:lang w:val="sq-AL"/>
        </w:rPr>
      </w:pPr>
      <w:r w:rsidRPr="0032048B">
        <w:rPr>
          <w:lang w:val="sq-AL" w:bidi="sq-AL"/>
        </w:rPr>
        <w:t xml:space="preserve">Sa i përket </w:t>
      </w:r>
      <w:r w:rsidRPr="0032048B">
        <w:rPr>
          <w:b/>
          <w:lang w:val="sq-AL" w:bidi="sq-AL"/>
        </w:rPr>
        <w:t xml:space="preserve">luftës kundër pastrimit të parave, </w:t>
      </w:r>
      <w:r w:rsidRPr="0032048B">
        <w:rPr>
          <w:lang w:val="sq-AL" w:bidi="sq-AL"/>
        </w:rPr>
        <w:t xml:space="preserve">Shqipëria vijon përpjekjet e saj për trajtimin e mangësive në përputhshmërinë teknike të identifikuara nga raporti i vlerësimit të ndërsjellë i </w:t>
      </w:r>
      <w:proofErr w:type="spellStart"/>
      <w:r w:rsidRPr="0032048B">
        <w:rPr>
          <w:lang w:val="sq-AL" w:bidi="sq-AL"/>
        </w:rPr>
        <w:t>Moneyval</w:t>
      </w:r>
      <w:proofErr w:type="spellEnd"/>
      <w:r w:rsidRPr="0032048B">
        <w:rPr>
          <w:lang w:val="sq-AL" w:bidi="sq-AL"/>
        </w:rPr>
        <w:t xml:space="preserve"> i vitit 2018. Në raportin e vet të 4-t të përforcuar për Shqipërinë të publikuar në qershor, </w:t>
      </w:r>
      <w:proofErr w:type="spellStart"/>
      <w:r w:rsidRPr="0032048B">
        <w:rPr>
          <w:lang w:val="sq-AL" w:bidi="sq-AL"/>
        </w:rPr>
        <w:t>Moneyval</w:t>
      </w:r>
      <w:proofErr w:type="spellEnd"/>
      <w:r w:rsidRPr="0032048B">
        <w:rPr>
          <w:lang w:val="sq-AL" w:bidi="sq-AL"/>
        </w:rPr>
        <w:t xml:space="preserve"> arriti në përfundimin se Shqipëria ka përmirësuar masat e saj për trajtimin e pastrimit të parave dhe financimin e terrorizmit dhe se ka përforcuar transparencën. Ligji për pastrimin e parave është hartuar i përafruar me </w:t>
      </w:r>
      <w:proofErr w:type="spellStart"/>
      <w:r w:rsidRPr="0032048B">
        <w:rPr>
          <w:i/>
          <w:lang w:val="sq-AL" w:bidi="sq-AL"/>
        </w:rPr>
        <w:t>acquis</w:t>
      </w:r>
      <w:proofErr w:type="spellEnd"/>
      <w:r w:rsidRPr="0032048B">
        <w:rPr>
          <w:i/>
          <w:lang w:val="sq-AL" w:bidi="sq-AL"/>
        </w:rPr>
        <w:t>-në</w:t>
      </w:r>
      <w:r w:rsidRPr="0032048B">
        <w:rPr>
          <w:b/>
          <w:i/>
          <w:lang w:val="sq-AL" w:bidi="sq-AL"/>
        </w:rPr>
        <w:t xml:space="preserve"> </w:t>
      </w:r>
      <w:r w:rsidRPr="0032048B">
        <w:rPr>
          <w:lang w:val="sq-AL" w:bidi="sq-AL"/>
        </w:rPr>
        <w:t xml:space="preserve">e BE-së dhe regjistri i pronarëve përfitues është në zbatim, megjithëse ndryshimet e shtynë afatin fundor të regjistrimit deri në qershor të vitit 2022. Megjithëse </w:t>
      </w:r>
      <w:proofErr w:type="spellStart"/>
      <w:r w:rsidRPr="0032048B">
        <w:rPr>
          <w:lang w:val="sq-AL" w:bidi="sq-AL"/>
        </w:rPr>
        <w:t>Task</w:t>
      </w:r>
      <w:proofErr w:type="spellEnd"/>
      <w:r w:rsidRPr="0032048B">
        <w:rPr>
          <w:lang w:val="sq-AL" w:bidi="sq-AL"/>
        </w:rPr>
        <w:t xml:space="preserve"> Forca për Veprim Financiar vlerësoi se Shqipëria ka zbatuar në mënyrë </w:t>
      </w:r>
      <w:proofErr w:type="spellStart"/>
      <w:r w:rsidRPr="0032048B">
        <w:rPr>
          <w:lang w:val="sq-AL" w:bidi="sq-AL"/>
        </w:rPr>
        <w:t>përmbajtësore</w:t>
      </w:r>
      <w:proofErr w:type="spellEnd"/>
      <w:r w:rsidRPr="0032048B">
        <w:rPr>
          <w:lang w:val="sq-AL" w:bidi="sq-AL"/>
        </w:rPr>
        <w:t xml:space="preserve"> planin e vet të veprimit 2020, vendi mbeti pjesë e listës së FATF-së së vendeve nën monitorim të shtuar, duke qenë se projekt ligji për VTC-në (përfshirë një amnisti penale) që Shqipëria i dërgoi asaj në fillim të vitit 2022, nuk ishte në përputhje me parimet apo praktikat e mira të FATF-së. Në qershor të vitit 2023, FATF vendosi të propozojë një vizitë në terren, e cila u zhvillua në gusht dhe solli si rezultat heqjen e Shqipërisë nga lista. Megjithatë, Shqipëria duhet të sigurojë që ligji i ardhshëm për VTC-në (përfshirë amnistitë e mundshme penale) të jenë në përputhje me </w:t>
      </w:r>
      <w:proofErr w:type="spellStart"/>
      <w:r w:rsidRPr="0032048B">
        <w:rPr>
          <w:lang w:val="sq-AL" w:bidi="sq-AL"/>
        </w:rPr>
        <w:t>acquis</w:t>
      </w:r>
      <w:proofErr w:type="spellEnd"/>
      <w:r w:rsidRPr="0032048B">
        <w:rPr>
          <w:lang w:val="sq-AL" w:bidi="sq-AL"/>
        </w:rPr>
        <w:t xml:space="preserve">-në e BE-së dhe standardet ndërkombëtare. </w:t>
      </w:r>
      <w:r w:rsidRPr="0032048B">
        <w:rPr>
          <w:i/>
          <w:lang w:val="sq-AL" w:bidi="sq-AL"/>
        </w:rPr>
        <w:t>(Shihni edhe kapitujt 24, Drejtësia, liria dhe siguria dhe 16 Tatimet).</w:t>
      </w:r>
    </w:p>
    <w:p w14:paraId="56B25551" w14:textId="77777777" w:rsidR="00E6279B" w:rsidRPr="0032048B" w:rsidRDefault="00E6279B" w:rsidP="00E6279B">
      <w:pPr>
        <w:pStyle w:val="BodyText"/>
        <w:spacing w:before="119"/>
        <w:ind w:left="979"/>
        <w:rPr>
          <w:lang w:val="sq-AL"/>
        </w:rPr>
      </w:pPr>
      <w:r w:rsidRPr="0032048B">
        <w:rPr>
          <w:lang w:val="sq-AL" w:bidi="sq-AL"/>
        </w:rPr>
        <w:t xml:space="preserve">Shqipëria ka legjislacion për standardet e menaxhimit të riskut dhe kërkesat e licencimit për institucionet financiare, përfshirë ato jo banka dhe zyrat e këmbimit valutor, në përputhje me rekomandimet e </w:t>
      </w:r>
      <w:proofErr w:type="spellStart"/>
      <w:r w:rsidRPr="0032048B">
        <w:rPr>
          <w:lang w:val="sq-AL" w:bidi="sq-AL"/>
        </w:rPr>
        <w:t>Moneyval</w:t>
      </w:r>
      <w:proofErr w:type="spellEnd"/>
      <w:r w:rsidRPr="0032048B">
        <w:rPr>
          <w:lang w:val="sq-AL" w:bidi="sq-AL"/>
        </w:rPr>
        <w:t xml:space="preserve">-it. Numri i personelit në Njësinë Shqiptare të Inteligjencës Financiare (emri i ri është Drejtoria e Përgjithshme për Parandalimin e Pastrimit të Parave pas ndryshimit të tij me anë të ndryshimeve në ligjin për pastrimin e parave në korrik të vitit 2023) është rritur. Ajo ka trajnuar punonjësit e saj lidhur me teknikat e hetimit financiar, gjurmimin e </w:t>
      </w:r>
      <w:proofErr w:type="spellStart"/>
      <w:r w:rsidRPr="0032048B">
        <w:rPr>
          <w:lang w:val="sq-AL" w:bidi="sq-AL"/>
        </w:rPr>
        <w:t>aseteve</w:t>
      </w:r>
      <w:proofErr w:type="spellEnd"/>
      <w:r w:rsidRPr="0032048B">
        <w:rPr>
          <w:lang w:val="sq-AL" w:bidi="sq-AL"/>
        </w:rPr>
        <w:t xml:space="preserve">, sekuestrimin dhe konfiskimin, për teknikat e zbatimit të bazuara në risk, dhe për treguesit e parandalimit të krimit </w:t>
      </w:r>
      <w:proofErr w:type="spellStart"/>
      <w:r w:rsidRPr="0032048B">
        <w:rPr>
          <w:lang w:val="sq-AL" w:bidi="sq-AL"/>
        </w:rPr>
        <w:t>kibernetik</w:t>
      </w:r>
      <w:proofErr w:type="spellEnd"/>
      <w:r w:rsidRPr="0032048B">
        <w:rPr>
          <w:lang w:val="sq-AL" w:bidi="sq-AL"/>
        </w:rPr>
        <w:t>.</w:t>
      </w:r>
    </w:p>
    <w:p w14:paraId="75CEF2CB" w14:textId="754F644A" w:rsidR="00E6279B" w:rsidRPr="0032048B" w:rsidRDefault="00E6279B" w:rsidP="004D53EC">
      <w:pPr>
        <w:pStyle w:val="BodyText"/>
        <w:ind w:right="977"/>
        <w:rPr>
          <w:lang w:val="sq-AL"/>
        </w:rPr>
      </w:pPr>
      <w:r w:rsidRPr="0032048B">
        <w:rPr>
          <w:lang w:val="sq-AL" w:bidi="sq-AL"/>
        </w:rPr>
        <w:t>Gjatë vitit 2022, Banka e Shqipërisë vijoi inspektimet e veta në 70 zyra të këmbimit valutor (ZKV) duke u përqendruar në përmbushjen e kërkesave në legjislacionit kundër pastrimit të parave (AML). Në 23 zyra të këmbimit valutor u identifikuan mospërputhje të konsiderueshme, lidhur me njohuritë e papërshtatshme për kërkesat e legjislacionit për AML-në; procedura të papërshtatshme për identifikimin e klientëve, dhe mangësi në ruajtjen e dokumentacionit mbështetës për operacionet e këmbimit me jashtë. Inspektimet u përmbyllën me 15 gjoba dhe 8 paralajmërime kundrejt zyrave të këmbimit valutor. Ka nevojë të zbatohen procedurat</w:t>
      </w:r>
      <w:r w:rsidR="004D53EC">
        <w:rPr>
          <w:lang w:val="sq-AL"/>
        </w:rPr>
        <w:t xml:space="preserve"> </w:t>
      </w:r>
      <w:r w:rsidRPr="0032048B">
        <w:rPr>
          <w:lang w:val="sq-AL" w:bidi="sq-AL"/>
        </w:rPr>
        <w:t xml:space="preserve">e brendshme </w:t>
      </w:r>
      <w:proofErr w:type="spellStart"/>
      <w:r w:rsidRPr="0032048B">
        <w:rPr>
          <w:lang w:val="sq-AL" w:bidi="sq-AL"/>
        </w:rPr>
        <w:t>operacionale</w:t>
      </w:r>
      <w:proofErr w:type="spellEnd"/>
      <w:r w:rsidRPr="0032048B">
        <w:rPr>
          <w:lang w:val="sq-AL" w:bidi="sq-AL"/>
        </w:rPr>
        <w:t xml:space="preserve"> dhe të përmirësohet regjistrimi i provave të rasteve të dyshuara, si dhe ka nevojë të përgjithshme të trajtohet stafi i zyrave të këmbimit valutor lidhur me kërkesat ligjore kundër pastrimit të parave.</w:t>
      </w:r>
    </w:p>
    <w:p w14:paraId="1F455D12" w14:textId="77777777" w:rsidR="00E6279B" w:rsidRPr="0032048B" w:rsidRDefault="00E6279B" w:rsidP="00E6279B">
      <w:pPr>
        <w:pStyle w:val="Heading1"/>
        <w:ind w:left="1039"/>
        <w:rPr>
          <w:lang w:val="sq-AL"/>
        </w:rPr>
      </w:pPr>
      <w:bookmarkStart w:id="63" w:name="Chapter_6:_Company_law"/>
      <w:bookmarkStart w:id="64" w:name="_bookmark39"/>
      <w:bookmarkEnd w:id="63"/>
      <w:bookmarkEnd w:id="64"/>
      <w:r w:rsidRPr="0032048B">
        <w:rPr>
          <w:lang w:val="sq-AL" w:bidi="sq-AL"/>
        </w:rPr>
        <w:t>Kapitulli 6: Legjislacioni për shoqëritë tregtare</w:t>
      </w:r>
    </w:p>
    <w:p w14:paraId="431030D0" w14:textId="77777777" w:rsidR="00E6279B" w:rsidRPr="0032048B" w:rsidRDefault="00E6279B" w:rsidP="00E6279B">
      <w:pPr>
        <w:spacing w:before="120"/>
        <w:ind w:left="979" w:right="976"/>
        <w:jc w:val="both"/>
        <w:rPr>
          <w:i/>
          <w:sz w:val="24"/>
          <w:lang w:val="sq-AL"/>
        </w:rPr>
      </w:pPr>
      <w:r w:rsidRPr="0032048B">
        <w:rPr>
          <w:i/>
          <w:sz w:val="24"/>
          <w:lang w:val="sq-AL" w:bidi="sq-AL"/>
        </w:rPr>
        <w:t xml:space="preserve">BE-ja ka rregulla të përbashkëta për themelimin, regjistrimin dhe kërkesat e bërjes publike të </w:t>
      </w:r>
      <w:r w:rsidRPr="0032048B">
        <w:rPr>
          <w:i/>
          <w:sz w:val="24"/>
          <w:lang w:val="sq-AL" w:bidi="sq-AL"/>
        </w:rPr>
        <w:lastRenderedPageBreak/>
        <w:t xml:space="preserve">shoqërive, si dhe rregulla plotësuese për kontabilitetin dhe raportimin financiar, si dhe </w:t>
      </w:r>
      <w:proofErr w:type="spellStart"/>
      <w:r w:rsidRPr="0032048B">
        <w:rPr>
          <w:i/>
          <w:sz w:val="24"/>
          <w:lang w:val="sq-AL" w:bidi="sq-AL"/>
        </w:rPr>
        <w:t>auditin</w:t>
      </w:r>
      <w:proofErr w:type="spellEnd"/>
      <w:r w:rsidRPr="0032048B">
        <w:rPr>
          <w:i/>
          <w:sz w:val="24"/>
          <w:lang w:val="sq-AL" w:bidi="sq-AL"/>
        </w:rPr>
        <w:t xml:space="preserve"> ligjor.</w:t>
      </w:r>
    </w:p>
    <w:p w14:paraId="5F2D7B05" w14:textId="77777777" w:rsidR="00E6279B" w:rsidRPr="0032048B" w:rsidRDefault="00E6279B" w:rsidP="00E6279B">
      <w:pPr>
        <w:pStyle w:val="BodyText"/>
        <w:spacing w:before="5" w:after="1"/>
        <w:ind w:left="0" w:right="0"/>
        <w:jc w:val="left"/>
        <w:rPr>
          <w:i/>
          <w:sz w:val="10"/>
          <w:lang w:val="sq-AL"/>
        </w:rPr>
      </w:pP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4"/>
      </w:tblGrid>
      <w:tr w:rsidR="00E6279B" w:rsidRPr="0032048B" w14:paraId="05A0E359" w14:textId="77777777" w:rsidTr="00456F1B">
        <w:trPr>
          <w:trHeight w:val="2996"/>
        </w:trPr>
        <w:tc>
          <w:tcPr>
            <w:tcW w:w="9254" w:type="dxa"/>
            <w:shd w:val="clear" w:color="auto" w:fill="D9D9D9"/>
          </w:tcPr>
          <w:p w14:paraId="6ED55863" w14:textId="77777777" w:rsidR="00E6279B" w:rsidRPr="0032048B" w:rsidRDefault="00E6279B" w:rsidP="00456F1B">
            <w:pPr>
              <w:pStyle w:val="TableParagraph"/>
              <w:spacing w:before="19"/>
              <w:ind w:left="113" w:right="101"/>
              <w:jc w:val="both"/>
              <w:rPr>
                <w:sz w:val="24"/>
                <w:lang w:val="sq-AL"/>
              </w:rPr>
            </w:pPr>
            <w:r w:rsidRPr="0032048B">
              <w:rPr>
                <w:sz w:val="24"/>
                <w:lang w:val="sq-AL" w:bidi="sq-AL"/>
              </w:rPr>
              <w:t xml:space="preserve">Shqipëria </w:t>
            </w:r>
            <w:r w:rsidRPr="0032048B">
              <w:rPr>
                <w:b/>
                <w:sz w:val="24"/>
                <w:lang w:val="sq-AL" w:bidi="sq-AL"/>
              </w:rPr>
              <w:t>është e përgatitur mesatarisht</w:t>
            </w:r>
            <w:r w:rsidRPr="0032048B">
              <w:rPr>
                <w:sz w:val="24"/>
                <w:lang w:val="sq-AL" w:bidi="sq-AL"/>
              </w:rPr>
              <w:t xml:space="preserve"> në fushën e legjislacionit për shoqëritë tregtare. Është bërë </w:t>
            </w:r>
            <w:r w:rsidRPr="0032048B">
              <w:rPr>
                <w:b/>
                <w:sz w:val="24"/>
                <w:lang w:val="sq-AL" w:bidi="sq-AL"/>
              </w:rPr>
              <w:t>progres i kufizuar</w:t>
            </w:r>
            <w:r w:rsidRPr="0032048B">
              <w:rPr>
                <w:sz w:val="24"/>
                <w:lang w:val="sq-AL" w:bidi="sq-AL"/>
              </w:rPr>
              <w:t xml:space="preserve"> kryesisht me përafrimin e mëtejshëm të legjislacionit për kërkesat e transparencës për shoqëritë e regjistruara në bursë. Në këtë kuadër, rekomandimet e vitit të shkuar mbeten të vlefshme.</w:t>
            </w:r>
          </w:p>
          <w:p w14:paraId="09ACCB8C" w14:textId="77777777" w:rsidR="00E6279B" w:rsidRPr="0032048B" w:rsidRDefault="00E6279B" w:rsidP="00456F1B">
            <w:pPr>
              <w:pStyle w:val="TableParagraph"/>
              <w:spacing w:before="120"/>
              <w:ind w:left="113"/>
              <w:jc w:val="both"/>
              <w:rPr>
                <w:sz w:val="24"/>
                <w:lang w:val="sq-AL"/>
              </w:rPr>
            </w:pPr>
            <w:r w:rsidRPr="0032048B">
              <w:rPr>
                <w:sz w:val="24"/>
                <w:lang w:val="sq-AL" w:bidi="sq-AL"/>
              </w:rPr>
              <w:t>Vitin e ardhshëm, në veçanti Shqipëria duhet të:</w:t>
            </w:r>
          </w:p>
          <w:p w14:paraId="45097DD2" w14:textId="77777777" w:rsidR="00E6279B" w:rsidRPr="0032048B" w:rsidRDefault="00E6279B" w:rsidP="00456F1B">
            <w:pPr>
              <w:pStyle w:val="TableParagraph"/>
              <w:spacing w:before="120"/>
              <w:ind w:left="473" w:right="101" w:hanging="360"/>
              <w:jc w:val="both"/>
              <w:rPr>
                <w:sz w:val="24"/>
                <w:lang w:val="sq-AL"/>
              </w:rPr>
            </w:pPr>
            <w:r w:rsidRPr="0032048B">
              <w:rPr>
                <w:sz w:val="24"/>
                <w:lang w:val="sq-AL" w:bidi="sq-AL"/>
              </w:rPr>
              <w:t xml:space="preserve"> përfundojë shqyrtimin e legjislacionit aktual në fushën e legjislacionit për shoqëritë tregtare dhe të identifikojë ndryshimet e nevojshme për përafrimin e plotë me </w:t>
            </w:r>
            <w:proofErr w:type="spellStart"/>
            <w:r w:rsidRPr="0032048B">
              <w:rPr>
                <w:i/>
                <w:sz w:val="24"/>
                <w:lang w:val="sq-AL" w:bidi="sq-AL"/>
              </w:rPr>
              <w:t>acquis</w:t>
            </w:r>
            <w:proofErr w:type="spellEnd"/>
            <w:r w:rsidRPr="0032048B">
              <w:rPr>
                <w:i/>
                <w:sz w:val="24"/>
                <w:lang w:val="sq-AL" w:bidi="sq-AL"/>
              </w:rPr>
              <w:t>-në</w:t>
            </w:r>
            <w:r w:rsidRPr="0032048B">
              <w:rPr>
                <w:sz w:val="24"/>
                <w:lang w:val="sq-AL" w:bidi="sq-AL"/>
              </w:rPr>
              <w:t xml:space="preserve"> e BE, dhe të përparojë me zbatimin e këtyre ndryshimeve;</w:t>
            </w:r>
          </w:p>
          <w:p w14:paraId="182CB177" w14:textId="77777777" w:rsidR="00E6279B" w:rsidRPr="0032048B" w:rsidRDefault="00E6279B" w:rsidP="00456F1B">
            <w:pPr>
              <w:pStyle w:val="TableParagraph"/>
              <w:spacing w:before="119"/>
              <w:ind w:left="473" w:right="101" w:hanging="360"/>
              <w:jc w:val="both"/>
              <w:rPr>
                <w:sz w:val="24"/>
                <w:lang w:val="sq-AL"/>
              </w:rPr>
            </w:pPr>
            <w:r w:rsidRPr="0032048B">
              <w:rPr>
                <w:sz w:val="24"/>
                <w:lang w:val="sq-AL" w:bidi="sq-AL"/>
              </w:rPr>
              <w:t xml:space="preserve"> përafrojë më tej kuadrin ligjor për kontabilitetin, transparencën dhe </w:t>
            </w:r>
            <w:proofErr w:type="spellStart"/>
            <w:r w:rsidRPr="0032048B">
              <w:rPr>
                <w:sz w:val="24"/>
                <w:lang w:val="sq-AL" w:bidi="sq-AL"/>
              </w:rPr>
              <w:t>auditin</w:t>
            </w:r>
            <w:proofErr w:type="spellEnd"/>
            <w:r w:rsidRPr="0032048B">
              <w:rPr>
                <w:sz w:val="24"/>
                <w:lang w:val="sq-AL" w:bidi="sq-AL"/>
              </w:rPr>
              <w:t xml:space="preserve"> me </w:t>
            </w:r>
            <w:proofErr w:type="spellStart"/>
            <w:r w:rsidRPr="0032048B">
              <w:rPr>
                <w:i/>
                <w:sz w:val="24"/>
                <w:lang w:val="sq-AL" w:bidi="sq-AL"/>
              </w:rPr>
              <w:t>acquis</w:t>
            </w:r>
            <w:proofErr w:type="spellEnd"/>
            <w:r w:rsidRPr="0032048B">
              <w:rPr>
                <w:i/>
                <w:sz w:val="24"/>
                <w:lang w:val="sq-AL" w:bidi="sq-AL"/>
              </w:rPr>
              <w:t>-në</w:t>
            </w:r>
            <w:r w:rsidRPr="0032048B">
              <w:rPr>
                <w:sz w:val="24"/>
                <w:lang w:val="sq-AL" w:bidi="sq-AL"/>
              </w:rPr>
              <w:t xml:space="preserve"> e BE-së në këto fusha.</w:t>
            </w:r>
          </w:p>
        </w:tc>
      </w:tr>
    </w:tbl>
    <w:p w14:paraId="083E7AE4" w14:textId="77777777" w:rsidR="00E6279B" w:rsidRPr="0032048B" w:rsidRDefault="00E6279B" w:rsidP="00E6279B">
      <w:pPr>
        <w:pStyle w:val="BodyText"/>
        <w:spacing w:before="121"/>
        <w:ind w:right="977"/>
        <w:rPr>
          <w:lang w:val="sq-AL"/>
        </w:rPr>
      </w:pPr>
      <w:r w:rsidRPr="0032048B">
        <w:rPr>
          <w:lang w:val="sq-AL" w:bidi="sq-AL"/>
        </w:rPr>
        <w:t xml:space="preserve">Megjithëse ka një farë përafrimi me </w:t>
      </w:r>
      <w:proofErr w:type="spellStart"/>
      <w:r w:rsidRPr="0032048B">
        <w:rPr>
          <w:i/>
          <w:lang w:val="sq-AL" w:bidi="sq-AL"/>
        </w:rPr>
        <w:t>acquis</w:t>
      </w:r>
      <w:proofErr w:type="spellEnd"/>
      <w:r w:rsidRPr="0032048B">
        <w:rPr>
          <w:i/>
          <w:lang w:val="sq-AL" w:bidi="sq-AL"/>
        </w:rPr>
        <w:t>-në</w:t>
      </w:r>
      <w:r w:rsidRPr="0032048B">
        <w:rPr>
          <w:lang w:val="sq-AL" w:bidi="sq-AL"/>
        </w:rPr>
        <w:t xml:space="preserve"> e BE-së në një sërë fushash të </w:t>
      </w:r>
      <w:r w:rsidRPr="0032048B">
        <w:rPr>
          <w:b/>
          <w:lang w:val="sq-AL" w:bidi="sq-AL"/>
        </w:rPr>
        <w:t>legjislacionit për shoqëritë tregtare dhe qeverisjen e korporatave</w:t>
      </w:r>
      <w:r w:rsidRPr="0032048B">
        <w:rPr>
          <w:lang w:val="sq-AL" w:bidi="sq-AL"/>
        </w:rPr>
        <w:t>, gjatë periudhës së raportimit nuk është bërë progres legjislativ. Nevojitet përafrim i mëtejshëm me Direktivën e vitit 2019 për përdorimin e instrumenteve digjitale dhe Direktivën e vitit 2019 për operacionet ndërkufitare (bashkimet, ndarjet, konvertimet), si dhe lidhur me rregullat për nxitjen e përfshirjes afatgjatë të aksionarëve (Direktiva e vitit 2017) dhe barazinë gjinore në bordet e drejtorëve (Direktiva e vitit 2022). Nuk është hartuar ende një kod i qeverisjes për shoqëritë e regjistruara në bursë. Qendra Kombëtare e Biznesit është përgjegjëse për regjistrimin e shoqërive, duke mundësuar regjistrim falas në internet dhe qasje në të dhënat nga interneti. Shumë shërbime ofrohen vetëm në internet përmes sportelit të shërbimeve elektronike në portalin e-Albania. Regjistri kombëtar i biznesit duhet të jetë gati të ndërlidhet me Sistemin e Ndërlidhur të Regjistrave të Biznesit të BE-së në momentin e anëtarësimit në BE.</w:t>
      </w:r>
    </w:p>
    <w:p w14:paraId="5FFD4116" w14:textId="77777777" w:rsidR="00E6279B" w:rsidRPr="0032048B" w:rsidRDefault="00E6279B" w:rsidP="00E6279B">
      <w:pPr>
        <w:pStyle w:val="BodyText"/>
        <w:rPr>
          <w:lang w:val="sq-AL"/>
        </w:rPr>
      </w:pPr>
      <w:r w:rsidRPr="0032048B">
        <w:rPr>
          <w:lang w:val="sq-AL" w:bidi="sq-AL"/>
        </w:rPr>
        <w:t xml:space="preserve">Në fushën e </w:t>
      </w:r>
      <w:r w:rsidRPr="0032048B">
        <w:rPr>
          <w:b/>
          <w:lang w:val="sq-AL" w:bidi="sq-AL"/>
        </w:rPr>
        <w:t>raportimit nga shoqëritë</w:t>
      </w:r>
      <w:r w:rsidRPr="0032048B">
        <w:rPr>
          <w:lang w:val="sq-AL" w:bidi="sq-AL"/>
        </w:rPr>
        <w:t xml:space="preserve">, ligji për kontabilitetin dhe pasqyrat financiare është i përafruar pjesërisht me Direktivën e BE-së për Kontabilitetin. Këshilli Kombëtar i Kontabilitetit monitoron zbatimin e standardeve të raportimit financiar dhe kontabilitetit. Disa sipërmarrje dhe grupe të mëdha zbatojnë udhëzime për përputhshmërinë me Direktivën e BE-së për publikimin e informacionit </w:t>
      </w:r>
      <w:proofErr w:type="spellStart"/>
      <w:r w:rsidRPr="0032048B">
        <w:rPr>
          <w:lang w:val="sq-AL" w:bidi="sq-AL"/>
        </w:rPr>
        <w:t>jofinanciar</w:t>
      </w:r>
      <w:proofErr w:type="spellEnd"/>
      <w:r w:rsidRPr="0032048B">
        <w:rPr>
          <w:lang w:val="sq-AL" w:bidi="sq-AL"/>
        </w:rPr>
        <w:t xml:space="preserve"> dhe të </w:t>
      </w:r>
      <w:proofErr w:type="spellStart"/>
      <w:r w:rsidRPr="0032048B">
        <w:rPr>
          <w:lang w:val="sq-AL" w:bidi="sq-AL"/>
        </w:rPr>
        <w:t>diversitetit</w:t>
      </w:r>
      <w:proofErr w:type="spellEnd"/>
      <w:r w:rsidRPr="0032048B">
        <w:rPr>
          <w:lang w:val="sq-AL" w:bidi="sq-AL"/>
        </w:rPr>
        <w:t xml:space="preserve">. Në periudhën në vijim Shqipëria duhet të përafrojë legjislacionin me Direktivën e BE-së të vitit 2022 për raportimin e korporatave mbi qëndrueshmërinë. Ligji i vitit 2020 për tregjet e kapitalit përcakton rregulla të veçanta </w:t>
      </w:r>
      <w:r w:rsidRPr="0032048B">
        <w:rPr>
          <w:b/>
          <w:lang w:val="sq-AL" w:bidi="sq-AL"/>
        </w:rPr>
        <w:t>për transparencën</w:t>
      </w:r>
      <w:r w:rsidRPr="0032048B">
        <w:rPr>
          <w:lang w:val="sq-AL" w:bidi="sq-AL"/>
        </w:rPr>
        <w:t xml:space="preserve"> për shoqëritë e regjistruara në bursë, lidhur me raportimin financiar, përfshirë </w:t>
      </w:r>
      <w:proofErr w:type="spellStart"/>
      <w:r w:rsidRPr="0032048B">
        <w:rPr>
          <w:lang w:val="sq-AL" w:bidi="sq-AL"/>
        </w:rPr>
        <w:t>penalitetet</w:t>
      </w:r>
      <w:proofErr w:type="spellEnd"/>
      <w:r w:rsidRPr="0032048B">
        <w:rPr>
          <w:lang w:val="sq-AL" w:bidi="sq-AL"/>
        </w:rPr>
        <w:t xml:space="preserve"> në rast </w:t>
      </w:r>
      <w:proofErr w:type="spellStart"/>
      <w:r w:rsidRPr="0032048B">
        <w:rPr>
          <w:lang w:val="sq-AL" w:bidi="sq-AL"/>
        </w:rPr>
        <w:t>mospërmbushje</w:t>
      </w:r>
      <w:proofErr w:type="spellEnd"/>
      <w:r w:rsidRPr="0032048B">
        <w:rPr>
          <w:lang w:val="sq-AL" w:bidi="sq-AL"/>
        </w:rPr>
        <w:t xml:space="preserve">. Në janar të vitit 2023 është miratuar një rregullore me qëllim përafrimin e mëtejshëm me </w:t>
      </w:r>
      <w:proofErr w:type="spellStart"/>
      <w:r w:rsidRPr="0032048B">
        <w:rPr>
          <w:i/>
          <w:lang w:val="sq-AL" w:bidi="sq-AL"/>
        </w:rPr>
        <w:t>acquis</w:t>
      </w:r>
      <w:proofErr w:type="spellEnd"/>
      <w:r w:rsidRPr="0032048B">
        <w:rPr>
          <w:i/>
          <w:lang w:val="sq-AL" w:bidi="sq-AL"/>
        </w:rPr>
        <w:t>-në</w:t>
      </w:r>
      <w:r w:rsidRPr="0032048B">
        <w:rPr>
          <w:lang w:val="sq-AL" w:bidi="sq-AL"/>
        </w:rPr>
        <w:t xml:space="preserve"> për kërkesat e transparencës për shoqëritë e regjistruara në bursë. Aktualisht nuk ka shoqëri të regjistruara në bursë që i nënshtrohen këtyre kërkesave për raportim. Sa i përket </w:t>
      </w:r>
      <w:proofErr w:type="spellStart"/>
      <w:r w:rsidRPr="0032048B">
        <w:rPr>
          <w:b/>
          <w:lang w:val="sq-AL" w:bidi="sq-AL"/>
        </w:rPr>
        <w:t>auditit</w:t>
      </w:r>
      <w:proofErr w:type="spellEnd"/>
      <w:r w:rsidRPr="0032048B">
        <w:rPr>
          <w:b/>
          <w:lang w:val="sq-AL" w:bidi="sq-AL"/>
        </w:rPr>
        <w:t xml:space="preserve"> ligjor</w:t>
      </w:r>
      <w:r w:rsidRPr="0032048B">
        <w:rPr>
          <w:lang w:val="sq-AL" w:bidi="sq-AL"/>
        </w:rPr>
        <w:t xml:space="preserve">, Shqipëria duhet të zhvillojë kapacitetet e Bordit të Mbikëqyrjes Publike sa i përket personelit dhe financimit, si dhe përafrimit të mëtejshëm të kuadrit të tij me rregullat e BE-së për </w:t>
      </w:r>
      <w:proofErr w:type="spellStart"/>
      <w:r w:rsidRPr="0032048B">
        <w:rPr>
          <w:lang w:val="sq-AL" w:bidi="sq-AL"/>
        </w:rPr>
        <w:t>auditin</w:t>
      </w:r>
      <w:proofErr w:type="spellEnd"/>
      <w:r w:rsidRPr="0032048B">
        <w:rPr>
          <w:lang w:val="sq-AL" w:bidi="sq-AL"/>
        </w:rPr>
        <w:t xml:space="preserve"> ligjor.</w:t>
      </w:r>
    </w:p>
    <w:p w14:paraId="11B6D50B" w14:textId="77777777" w:rsidR="00E6279B" w:rsidRPr="0032048B" w:rsidRDefault="00E6279B" w:rsidP="00E6279B">
      <w:pPr>
        <w:pStyle w:val="Heading1"/>
        <w:rPr>
          <w:lang w:val="sq-AL"/>
        </w:rPr>
      </w:pPr>
      <w:bookmarkStart w:id="65" w:name="Chapter_7:_Intellectual_property_law"/>
      <w:bookmarkStart w:id="66" w:name="_bookmark40"/>
      <w:bookmarkEnd w:id="65"/>
      <w:bookmarkEnd w:id="66"/>
      <w:r w:rsidRPr="0032048B">
        <w:rPr>
          <w:lang w:val="sq-AL" w:bidi="sq-AL"/>
        </w:rPr>
        <w:t>Kapitulli 7: Legjislacioni i pronësisë intelektuale</w:t>
      </w:r>
    </w:p>
    <w:p w14:paraId="2E17B7A0" w14:textId="77777777" w:rsidR="00E6279B" w:rsidRPr="0032048B" w:rsidRDefault="00E6279B" w:rsidP="00E6279B">
      <w:pPr>
        <w:spacing w:before="120"/>
        <w:ind w:left="980" w:right="976"/>
        <w:jc w:val="both"/>
        <w:rPr>
          <w:i/>
          <w:sz w:val="24"/>
          <w:lang w:val="sq-AL"/>
        </w:rPr>
      </w:pPr>
      <w:r w:rsidRPr="0032048B">
        <w:rPr>
          <w:i/>
          <w:sz w:val="24"/>
          <w:lang w:val="sq-AL" w:bidi="sq-AL"/>
        </w:rPr>
        <w:t xml:space="preserve">BE-ja ka harmonizuar rregullat për mbrojtjen ligjore të </w:t>
      </w:r>
      <w:proofErr w:type="spellStart"/>
      <w:r w:rsidRPr="0032048B">
        <w:rPr>
          <w:i/>
          <w:sz w:val="24"/>
          <w:lang w:val="sq-AL" w:bidi="sq-AL"/>
        </w:rPr>
        <w:t>të</w:t>
      </w:r>
      <w:proofErr w:type="spellEnd"/>
      <w:r w:rsidRPr="0032048B">
        <w:rPr>
          <w:i/>
          <w:sz w:val="24"/>
          <w:lang w:val="sq-AL" w:bidi="sq-AL"/>
        </w:rPr>
        <w:t xml:space="preserve"> drejtave të pronësisë intelektuale (IPR), të drejtës së autorit dhe të drejtave të lidhura me to. Rregullat për mbrojtjen ligjore të IPR-së mbulojnë, për shembull patentat dhe markat e regjistruara, shpikjet </w:t>
      </w:r>
      <w:proofErr w:type="spellStart"/>
      <w:r w:rsidRPr="0032048B">
        <w:rPr>
          <w:i/>
          <w:sz w:val="24"/>
          <w:lang w:val="sq-AL" w:bidi="sq-AL"/>
        </w:rPr>
        <w:t>bio</w:t>
      </w:r>
      <w:proofErr w:type="spellEnd"/>
      <w:r w:rsidRPr="0032048B">
        <w:rPr>
          <w:i/>
          <w:sz w:val="24"/>
          <w:lang w:val="sq-AL" w:bidi="sq-AL"/>
        </w:rPr>
        <w:t>-teknologjike dhe produktet farmaceutike. Rregullat për mbrojtjen ligjore të së drejtës së autorit dhe të drejtat e tjera të lidhura me to mbulojnë, për shembull, librat, filmat, programet kompjuterike dhe transmetimet.</w:t>
      </w: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4"/>
      </w:tblGrid>
      <w:tr w:rsidR="00E6279B" w:rsidRPr="0032048B" w14:paraId="6D9A2540" w14:textId="77777777" w:rsidTr="00456F1B">
        <w:trPr>
          <w:trHeight w:val="3034"/>
        </w:trPr>
        <w:tc>
          <w:tcPr>
            <w:tcW w:w="9254" w:type="dxa"/>
            <w:shd w:val="clear" w:color="auto" w:fill="D9D9D9"/>
          </w:tcPr>
          <w:p w14:paraId="29F49309" w14:textId="77777777" w:rsidR="00E6279B" w:rsidRPr="0032048B" w:rsidRDefault="00E6279B" w:rsidP="00456F1B">
            <w:pPr>
              <w:pStyle w:val="TableParagraph"/>
              <w:ind w:left="113" w:right="101"/>
              <w:jc w:val="both"/>
              <w:rPr>
                <w:sz w:val="24"/>
                <w:lang w:val="sq-AL"/>
              </w:rPr>
            </w:pPr>
            <w:r w:rsidRPr="0032048B">
              <w:rPr>
                <w:sz w:val="24"/>
                <w:lang w:val="sq-AL" w:bidi="sq-AL"/>
              </w:rPr>
              <w:lastRenderedPageBreak/>
              <w:t xml:space="preserve">Shqipëria ka </w:t>
            </w:r>
            <w:r w:rsidRPr="0032048B">
              <w:rPr>
                <w:b/>
                <w:sz w:val="24"/>
                <w:lang w:val="sq-AL" w:bidi="sq-AL"/>
              </w:rPr>
              <w:t>përgatitje mesatare</w:t>
            </w:r>
            <w:r w:rsidRPr="0032048B">
              <w:rPr>
                <w:sz w:val="24"/>
                <w:lang w:val="sq-AL" w:bidi="sq-AL"/>
              </w:rPr>
              <w:t xml:space="preserve"> lidhur me të drejtat e pronësisë intelektuale. Është bërë </w:t>
            </w:r>
            <w:r w:rsidRPr="0032048B">
              <w:rPr>
                <w:b/>
                <w:sz w:val="24"/>
                <w:lang w:val="sq-AL" w:bidi="sq-AL"/>
              </w:rPr>
              <w:t xml:space="preserve">progres i mirë </w:t>
            </w:r>
            <w:r w:rsidRPr="0032048B">
              <w:rPr>
                <w:sz w:val="24"/>
                <w:lang w:val="sq-AL" w:bidi="sq-AL"/>
              </w:rPr>
              <w:t>me përmirësimet për transparencën e funksionimit të organizatave të menaxhimit kolektiv (OMK).</w:t>
            </w:r>
          </w:p>
          <w:p w14:paraId="26B98043" w14:textId="77777777" w:rsidR="00E6279B" w:rsidRPr="0032048B" w:rsidRDefault="00E6279B" w:rsidP="00456F1B">
            <w:pPr>
              <w:pStyle w:val="TableParagraph"/>
              <w:spacing w:before="120"/>
              <w:ind w:left="113"/>
              <w:jc w:val="both"/>
              <w:rPr>
                <w:sz w:val="24"/>
                <w:lang w:val="sq-AL"/>
              </w:rPr>
            </w:pPr>
            <w:r w:rsidRPr="0032048B">
              <w:rPr>
                <w:sz w:val="24"/>
                <w:lang w:val="sq-AL" w:bidi="sq-AL"/>
              </w:rPr>
              <w:t>Vitin e ardhshëm, në veçanti Shqipëria duhet të:</w:t>
            </w:r>
          </w:p>
          <w:p w14:paraId="357A4276" w14:textId="77777777" w:rsidR="00E6279B" w:rsidRPr="0032048B" w:rsidRDefault="00E6279B" w:rsidP="00456F1B">
            <w:pPr>
              <w:pStyle w:val="TableParagraph"/>
              <w:tabs>
                <w:tab w:val="left" w:pos="1602"/>
              </w:tabs>
              <w:spacing w:before="120"/>
              <w:ind w:left="473" w:right="103" w:hanging="360"/>
              <w:jc w:val="left"/>
              <w:rPr>
                <w:sz w:val="24"/>
                <w:lang w:val="sq-AL"/>
              </w:rPr>
            </w:pPr>
            <w:r w:rsidRPr="0032048B">
              <w:rPr>
                <w:sz w:val="24"/>
                <w:lang w:val="sq-AL" w:bidi="sq-AL"/>
              </w:rPr>
              <w:t> miratojë aktet</w:t>
            </w:r>
            <w:r w:rsidRPr="0032048B">
              <w:rPr>
                <w:sz w:val="24"/>
                <w:lang w:val="sq-AL" w:bidi="sq-AL"/>
              </w:rPr>
              <w:tab/>
              <w:t>ligjore zbatuese për ndryshimet e ligjit për të drejtën e autorit dhe të drejtat e tjera të lidhura me të;</w:t>
            </w:r>
          </w:p>
          <w:p w14:paraId="2E548495" w14:textId="77777777" w:rsidR="00E6279B" w:rsidRPr="0032048B" w:rsidRDefault="00E6279B" w:rsidP="00456F1B">
            <w:pPr>
              <w:pStyle w:val="TableParagraph"/>
              <w:spacing w:before="120"/>
              <w:ind w:left="473" w:right="127" w:hanging="360"/>
              <w:jc w:val="left"/>
              <w:rPr>
                <w:sz w:val="24"/>
                <w:lang w:val="sq-AL"/>
              </w:rPr>
            </w:pPr>
            <w:r w:rsidRPr="0032048B">
              <w:rPr>
                <w:sz w:val="24"/>
                <w:lang w:val="sq-AL" w:bidi="sq-AL"/>
              </w:rPr>
              <w:t xml:space="preserve"> vijojë të përmirësojë funksionimin e OMK-ve dhe pagesat e rentave zotëruesve të </w:t>
            </w:r>
            <w:proofErr w:type="spellStart"/>
            <w:r w:rsidRPr="0032048B">
              <w:rPr>
                <w:sz w:val="24"/>
                <w:lang w:val="sq-AL" w:bidi="sq-AL"/>
              </w:rPr>
              <w:t>të</w:t>
            </w:r>
            <w:proofErr w:type="spellEnd"/>
            <w:r w:rsidRPr="0032048B">
              <w:rPr>
                <w:sz w:val="24"/>
                <w:lang w:val="sq-AL" w:bidi="sq-AL"/>
              </w:rPr>
              <w:t xml:space="preserve"> drejtave;</w:t>
            </w:r>
          </w:p>
          <w:p w14:paraId="7B6F0830" w14:textId="77777777" w:rsidR="00E6279B" w:rsidRPr="0032048B" w:rsidRDefault="00E6279B" w:rsidP="00456F1B">
            <w:pPr>
              <w:pStyle w:val="TableParagraph"/>
              <w:spacing w:before="118" w:line="292" w:lineRule="exact"/>
              <w:ind w:left="113"/>
              <w:jc w:val="left"/>
              <w:rPr>
                <w:sz w:val="24"/>
                <w:lang w:val="sq-AL"/>
              </w:rPr>
            </w:pPr>
            <w:r w:rsidRPr="0032048B">
              <w:rPr>
                <w:sz w:val="24"/>
                <w:lang w:val="sq-AL" w:bidi="sq-AL"/>
              </w:rPr>
              <w:t> përafrojë më tej legjislacionin për të drejtat e pronësisë industriale dhe sistemin e zbatimit të IPR-së.</w:t>
            </w:r>
          </w:p>
        </w:tc>
      </w:tr>
    </w:tbl>
    <w:p w14:paraId="4D94065B" w14:textId="77777777" w:rsidR="00E6279B" w:rsidRPr="0032048B" w:rsidRDefault="00E6279B" w:rsidP="00E6279B">
      <w:pPr>
        <w:pStyle w:val="BodyText"/>
        <w:spacing w:before="143"/>
        <w:ind w:right="977"/>
        <w:rPr>
          <w:lang w:val="sq-AL"/>
        </w:rPr>
      </w:pPr>
      <w:r w:rsidRPr="0032048B">
        <w:rPr>
          <w:lang w:val="sq-AL" w:bidi="sq-AL"/>
        </w:rPr>
        <w:t xml:space="preserve">Në fushën e </w:t>
      </w:r>
      <w:r w:rsidRPr="0032048B">
        <w:rPr>
          <w:b/>
          <w:lang w:val="sq-AL" w:bidi="sq-AL"/>
        </w:rPr>
        <w:t>të drejtave të autorit dhe të drejtave të lidhura me të</w:t>
      </w:r>
      <w:r w:rsidRPr="0032048B">
        <w:rPr>
          <w:lang w:val="sq-AL" w:bidi="sq-AL"/>
        </w:rPr>
        <w:t>, Drejtoria e Përgjithshme e Pronësisë Industriale, që është përgjegjëse për regjistrimin, është përgjegjëse edhe për administrimin dhe promovimin e objekteve të pronësisë intelektuale. Këshilli Kombëtar i të Drejtën e Autorit i përbërë nga pesë anëtarë të emëruar nga Ministri i Kulturës, është përgjegjës për certifikimin e metodologjisë së tarifave.</w:t>
      </w:r>
    </w:p>
    <w:p w14:paraId="42C49F82" w14:textId="77777777" w:rsidR="00E6279B" w:rsidRPr="0032048B" w:rsidRDefault="00E6279B" w:rsidP="00E6279B">
      <w:pPr>
        <w:pStyle w:val="BodyText"/>
        <w:rPr>
          <w:lang w:val="sq-AL"/>
        </w:rPr>
      </w:pPr>
      <w:r w:rsidRPr="0032048B">
        <w:rPr>
          <w:lang w:val="sq-AL" w:bidi="sq-AL"/>
        </w:rPr>
        <w:t xml:space="preserve">Ndryshimet e ligjit për të drejtën e autorit dhe të drejtat e tjera të lidhura me to, të bëra në vitin 2022, përafruan më tej kuadrin ligjor me </w:t>
      </w:r>
      <w:proofErr w:type="spellStart"/>
      <w:r w:rsidRPr="0032048B">
        <w:rPr>
          <w:i/>
          <w:lang w:val="sq-AL" w:bidi="sq-AL"/>
        </w:rPr>
        <w:t>acquis</w:t>
      </w:r>
      <w:proofErr w:type="spellEnd"/>
      <w:r w:rsidRPr="0032048B">
        <w:rPr>
          <w:i/>
          <w:lang w:val="sq-AL" w:bidi="sq-AL"/>
        </w:rPr>
        <w:t>-në</w:t>
      </w:r>
      <w:r w:rsidRPr="0032048B">
        <w:rPr>
          <w:lang w:val="sq-AL" w:bidi="sq-AL"/>
        </w:rPr>
        <w:t xml:space="preserve"> e BE-së në fushat e veprave pa autor, disa përdorime të lejuara të disa veprave dhe tema të tjera të mbrojtura nga e drejta e autorit dhe të drejta të tjera të lidhura me të, në përfitim të personave që nuk shikojnë, kanë shikim të kufizuar ose aftësi të kufizuara të tjera në lexim, si dhe në kuadër të mbrojtjes së të drejtës së autorit dhe disa të drejtave të lidhura me të. Ndryshimet rregulluan gjithashtu funksionimin e OMK-ve, përfshirë mënyrën e shpërndarjes dhe përqindjen e tarifës, si dhe shpërblimin e mbledhur nga OMK-të. Me qëllim zbatimin e ndryshimeve të reja, Shqipëria duhet të miratojë ende aktet nënligjore që lidhen me procedurën dhe kompensimin e drejtë të përdorimit të veprave pa autor, si dhe bazën e të dhënave për veprat me të drejtë autori.</w:t>
      </w:r>
    </w:p>
    <w:p w14:paraId="0C281EE3" w14:textId="77777777" w:rsidR="00E6279B" w:rsidRPr="0032048B" w:rsidRDefault="00E6279B" w:rsidP="00E6279B">
      <w:pPr>
        <w:pStyle w:val="BodyText"/>
        <w:ind w:left="979"/>
        <w:rPr>
          <w:lang w:val="sq-AL"/>
        </w:rPr>
      </w:pPr>
      <w:r w:rsidRPr="0032048B">
        <w:rPr>
          <w:lang w:val="sq-AL" w:bidi="sq-AL"/>
        </w:rPr>
        <w:t xml:space="preserve">Në mars të vitit 2023 Shqipëria miratoi një akt që e bën funksionimin e OMK-ve më transparent dhe në qershor 2023 u miratuan udhëzimet për kriteret dhe procedurat e licencimit dhe rinovimit të licencës për OMK-të dhe kriteret dhe procedurat për pezullimin dhe heqjen e licencës së menaxhimit kolektiv. Në korrik të vitit 2023, qeveria miratoi një vendim për listën e pajisjeve, tarifave dhe të drejtën e shpërblimit për riprodhimin e veprave më të drejtë autori për përdorim privat ose përdorim personal të llojeve të tjera. Shqipëria nuk ka ende përafrim me Direktivat për transmetimet në internet të organeve transmetuese dhe ritransmetimin e programeve radio-televizive (Direktiva </w:t>
      </w:r>
      <w:proofErr w:type="spellStart"/>
      <w:r w:rsidRPr="0032048B">
        <w:rPr>
          <w:lang w:val="sq-AL" w:bidi="sq-AL"/>
        </w:rPr>
        <w:t>SatCab</w:t>
      </w:r>
      <w:proofErr w:type="spellEnd"/>
      <w:r w:rsidRPr="0032048B">
        <w:rPr>
          <w:lang w:val="sq-AL" w:bidi="sq-AL"/>
        </w:rPr>
        <w:t xml:space="preserve"> II), për të drejtën e autorit dhe të drejtat e lidhura me to në Tregun e Vetëm Digjital (Direktiva DSM), dhe për menaxhimin kolektiv të së drejtës së autorit dhe të drejtave të lidhura me të, dhe licencimit në territore të ndryshme.</w:t>
      </w:r>
    </w:p>
    <w:p w14:paraId="7A35AA13" w14:textId="77777777" w:rsidR="00E6279B" w:rsidRPr="0032048B" w:rsidRDefault="00E6279B" w:rsidP="00E6279B">
      <w:pPr>
        <w:pStyle w:val="BodyText"/>
        <w:ind w:left="979" w:right="977"/>
        <w:rPr>
          <w:lang w:val="sq-AL"/>
        </w:rPr>
      </w:pPr>
      <w:r w:rsidRPr="0032048B">
        <w:rPr>
          <w:lang w:val="sq-AL" w:bidi="sq-AL"/>
        </w:rPr>
        <w:t xml:space="preserve">Sa i përket </w:t>
      </w:r>
      <w:r w:rsidRPr="0032048B">
        <w:rPr>
          <w:b/>
          <w:lang w:val="sq-AL" w:bidi="sq-AL"/>
        </w:rPr>
        <w:t>të drejtave të pronësisë industriale</w:t>
      </w:r>
      <w:r w:rsidRPr="0032048B">
        <w:rPr>
          <w:lang w:val="sq-AL" w:bidi="sq-AL"/>
        </w:rPr>
        <w:t xml:space="preserve">, po zbatohet strategjia kombëtare për pronësinë intelektuale 2022-2025. Shqipëria duhet të përafrojë më tej legjislacionin e saj me </w:t>
      </w:r>
      <w:proofErr w:type="spellStart"/>
      <w:r w:rsidRPr="0032048B">
        <w:rPr>
          <w:i/>
          <w:lang w:val="sq-AL" w:bidi="sq-AL"/>
        </w:rPr>
        <w:t>acquis</w:t>
      </w:r>
      <w:proofErr w:type="spellEnd"/>
      <w:r w:rsidRPr="0032048B">
        <w:rPr>
          <w:i/>
          <w:lang w:val="sq-AL" w:bidi="sq-AL"/>
        </w:rPr>
        <w:t>-në</w:t>
      </w:r>
      <w:r w:rsidRPr="0032048B">
        <w:rPr>
          <w:lang w:val="sq-AL" w:bidi="sq-AL"/>
        </w:rPr>
        <w:t xml:space="preserve"> për patentat dhe markat e regjistruara.</w:t>
      </w:r>
    </w:p>
    <w:p w14:paraId="77CAA345" w14:textId="77777777" w:rsidR="00E6279B" w:rsidRPr="0032048B" w:rsidRDefault="00E6279B" w:rsidP="00E6279B">
      <w:pPr>
        <w:pStyle w:val="BodyText"/>
        <w:ind w:left="979" w:right="978"/>
        <w:rPr>
          <w:lang w:val="sq-AL"/>
        </w:rPr>
      </w:pPr>
      <w:r w:rsidRPr="0032048B">
        <w:rPr>
          <w:lang w:val="sq-AL" w:bidi="sq-AL"/>
        </w:rPr>
        <w:t xml:space="preserve">Në vitin 2022, në Drejtorinë e Përgjithshme të Pronësisë Industriale janë regjistruar 1 165 aplikime kombëtare dhe 2 072 aplikime ndërkombëtare për marka të regjistruara (krahasuar me 1 404 dhe 2 107 përkatësisht në vitin 2021). Në vitin 2022, në Drejtorinë e Përgjithshme të Pronësisë Industriale janë dorëzuar 19 aplikime për regjistrimin e </w:t>
      </w:r>
      <w:proofErr w:type="spellStart"/>
      <w:r w:rsidRPr="0032048B">
        <w:rPr>
          <w:lang w:val="sq-AL" w:bidi="sq-AL"/>
        </w:rPr>
        <w:t>dizenjove</w:t>
      </w:r>
      <w:proofErr w:type="spellEnd"/>
      <w:r w:rsidRPr="0032048B">
        <w:rPr>
          <w:lang w:val="sq-AL" w:bidi="sq-AL"/>
        </w:rPr>
        <w:t xml:space="preserve"> industriale (krahasuar me 49 në vitin 2021). Në vitin 2022 janë dorëzuar 21 aplikime për patenta kombëtare, krahasuar me 23 në vitin 2021.</w:t>
      </w:r>
    </w:p>
    <w:p w14:paraId="33E67E63" w14:textId="77777777" w:rsidR="00E6279B" w:rsidRPr="0032048B" w:rsidRDefault="00E6279B" w:rsidP="00E6279B">
      <w:pPr>
        <w:pStyle w:val="BodyText"/>
        <w:spacing w:before="121"/>
        <w:ind w:left="979"/>
        <w:rPr>
          <w:lang w:val="sq-AL"/>
        </w:rPr>
      </w:pPr>
      <w:r w:rsidRPr="0032048B">
        <w:rPr>
          <w:lang w:val="sq-AL" w:bidi="sq-AL"/>
        </w:rPr>
        <w:t xml:space="preserve">Inspektorati Shtetëror i Mbikëqyrjes së Tregut (ISHMT) është përgjegjës për monitorimin e </w:t>
      </w:r>
      <w:r w:rsidRPr="0032048B">
        <w:rPr>
          <w:b/>
          <w:lang w:val="sq-AL" w:bidi="sq-AL"/>
        </w:rPr>
        <w:t>zbatimit</w:t>
      </w:r>
      <w:r w:rsidRPr="0032048B">
        <w:rPr>
          <w:lang w:val="sq-AL" w:bidi="sq-AL"/>
        </w:rPr>
        <w:t xml:space="preserve"> të </w:t>
      </w:r>
      <w:proofErr w:type="spellStart"/>
      <w:r w:rsidRPr="0032048B">
        <w:rPr>
          <w:lang w:val="sq-AL" w:bidi="sq-AL"/>
        </w:rPr>
        <w:t>të</w:t>
      </w:r>
      <w:proofErr w:type="spellEnd"/>
      <w:r w:rsidRPr="0032048B">
        <w:rPr>
          <w:lang w:val="sq-AL" w:bidi="sq-AL"/>
        </w:rPr>
        <w:t xml:space="preserve"> drejtave të pronësisë intelektuale. Në vitin 2022, sektori i të drejtës së autorit në </w:t>
      </w:r>
      <w:r w:rsidRPr="0032048B">
        <w:rPr>
          <w:lang w:val="sq-AL" w:bidi="sq-AL"/>
        </w:rPr>
        <w:lastRenderedPageBreak/>
        <w:t>ISHMT kreu 350 inspektime të cilat rezultuan në 44 sanksione administrative. Sektori i pronësisë industriale në ISHMT kreu 107 inspektime në vitin 2022, me rezultat 28 sanksione administrative. Sektori</w:t>
      </w:r>
    </w:p>
    <w:p w14:paraId="79116119" w14:textId="77777777" w:rsidR="00E6279B" w:rsidRPr="0032048B" w:rsidRDefault="00E6279B" w:rsidP="00E6279B">
      <w:pPr>
        <w:pStyle w:val="BodyText"/>
        <w:spacing w:before="62"/>
        <w:ind w:left="979" w:right="977"/>
        <w:rPr>
          <w:lang w:val="sq-AL"/>
        </w:rPr>
      </w:pPr>
      <w:r w:rsidRPr="0032048B">
        <w:rPr>
          <w:lang w:val="sq-AL" w:bidi="sq-AL"/>
        </w:rPr>
        <w:t xml:space="preserve"> i pronësisë industriale i ISHMT-së miratoi një manual për inspektimin e pronësisë intelektuale në prill të vitit 2023. Në vitin 2022, administrata doganore pezulloi nxjerrjen e 2 140 produkteve të dyshuara për shkelje të IPR-së (krahasuar me rreth 3 000 produkte në vitin 2021).</w:t>
      </w:r>
    </w:p>
    <w:p w14:paraId="2AC6E9DB" w14:textId="77777777" w:rsidR="00E6279B" w:rsidRPr="0032048B" w:rsidRDefault="00E6279B" w:rsidP="00E6279B">
      <w:pPr>
        <w:pStyle w:val="Heading1"/>
        <w:ind w:left="1039"/>
        <w:rPr>
          <w:lang w:val="sq-AL"/>
        </w:rPr>
      </w:pPr>
      <w:bookmarkStart w:id="67" w:name="Chapter_8:_Competition_policy"/>
      <w:bookmarkStart w:id="68" w:name="_bookmark41"/>
      <w:bookmarkEnd w:id="67"/>
      <w:bookmarkEnd w:id="68"/>
      <w:r w:rsidRPr="0032048B">
        <w:rPr>
          <w:lang w:val="sq-AL" w:bidi="sq-AL"/>
        </w:rPr>
        <w:t>Kapitulli 8: Politika e konkurrencës</w:t>
      </w:r>
    </w:p>
    <w:p w14:paraId="2C062E15" w14:textId="77777777" w:rsidR="00E6279B" w:rsidRPr="0032048B" w:rsidRDefault="00E6279B" w:rsidP="00E6279B">
      <w:pPr>
        <w:spacing w:before="120"/>
        <w:ind w:left="979" w:right="976"/>
        <w:jc w:val="both"/>
        <w:rPr>
          <w:i/>
          <w:sz w:val="24"/>
          <w:lang w:val="sq-AL"/>
        </w:rPr>
      </w:pPr>
      <w:r w:rsidRPr="0032048B">
        <w:rPr>
          <w:i/>
          <w:sz w:val="24"/>
          <w:lang w:val="sq-AL" w:bidi="sq-AL"/>
        </w:rPr>
        <w:t xml:space="preserve">Rregullat e BE-së mbrojnë konkurrencën e lirë. Ato përfshijnë rregullat </w:t>
      </w:r>
      <w:proofErr w:type="spellStart"/>
      <w:r w:rsidRPr="0032048B">
        <w:rPr>
          <w:i/>
          <w:sz w:val="24"/>
          <w:lang w:val="sq-AL" w:bidi="sq-AL"/>
        </w:rPr>
        <w:t>anti</w:t>
      </w:r>
      <w:proofErr w:type="spellEnd"/>
      <w:r w:rsidRPr="0032048B">
        <w:rPr>
          <w:i/>
          <w:sz w:val="24"/>
          <w:lang w:val="sq-AL" w:bidi="sq-AL"/>
        </w:rPr>
        <w:t xml:space="preserve"> trust kundër marrëveshjeve kufizuese ndërmjet shoqërive dhe abuzimin e pozicionit mbizotërues, si dhe përfshijnë rregulla për përqendrimet ndërmjet shoqërive, të cilat do të pengonin në mënyrë domethënëse konkurrencën e efektshme. Rregullat e BE-së, përcaktojnë edhe një sistem për kontrollin e Ndihmës Shtetërore. Qeveritë lejohen të akordojnë ndihmë shtetërore vetëm nëse përmbushen kushte kufizuese, me qëllim parandalimin e shtrembërimit të konkurrencës.</w:t>
      </w:r>
    </w:p>
    <w:p w14:paraId="0422A5F6" w14:textId="77777777" w:rsidR="00E6279B" w:rsidRPr="0032048B" w:rsidRDefault="00E6279B" w:rsidP="00E6279B">
      <w:pPr>
        <w:pStyle w:val="BodyText"/>
        <w:spacing w:before="6"/>
        <w:ind w:left="0" w:right="0"/>
        <w:jc w:val="left"/>
        <w:rPr>
          <w:i/>
          <w:sz w:val="10"/>
          <w:lang w:val="sq-AL"/>
        </w:rPr>
      </w:pP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4"/>
      </w:tblGrid>
      <w:tr w:rsidR="00E6279B" w:rsidRPr="0032048B" w14:paraId="291C4552" w14:textId="77777777" w:rsidTr="00456F1B">
        <w:trPr>
          <w:trHeight w:val="4157"/>
        </w:trPr>
        <w:tc>
          <w:tcPr>
            <w:tcW w:w="9254" w:type="dxa"/>
            <w:shd w:val="clear" w:color="auto" w:fill="D9D9D9"/>
          </w:tcPr>
          <w:p w14:paraId="40458909" w14:textId="77777777" w:rsidR="00E6279B" w:rsidRPr="0032048B" w:rsidRDefault="00E6279B" w:rsidP="00456F1B">
            <w:pPr>
              <w:pStyle w:val="TableParagraph"/>
              <w:spacing w:before="19"/>
              <w:ind w:left="113" w:right="100"/>
              <w:jc w:val="both"/>
              <w:rPr>
                <w:sz w:val="24"/>
                <w:lang w:val="sq-AL"/>
              </w:rPr>
            </w:pPr>
            <w:r w:rsidRPr="0032048B">
              <w:rPr>
                <w:sz w:val="24"/>
                <w:lang w:val="sq-AL" w:bidi="sq-AL"/>
              </w:rPr>
              <w:t xml:space="preserve">Shqipëria është </w:t>
            </w:r>
            <w:r w:rsidRPr="0032048B">
              <w:rPr>
                <w:b/>
                <w:sz w:val="24"/>
                <w:lang w:val="sq-AL" w:bidi="sq-AL"/>
              </w:rPr>
              <w:t>midis përgatitjes së mjaftueshme dhe mesatare</w:t>
            </w:r>
            <w:r w:rsidRPr="0032048B">
              <w:rPr>
                <w:sz w:val="24"/>
                <w:lang w:val="sq-AL" w:bidi="sq-AL"/>
              </w:rPr>
              <w:t xml:space="preserve"> në lidhje me politikën e konkurrencës. </w:t>
            </w:r>
            <w:r w:rsidRPr="0032048B">
              <w:rPr>
                <w:b/>
                <w:sz w:val="24"/>
                <w:lang w:val="sq-AL" w:bidi="sq-AL"/>
              </w:rPr>
              <w:t>Nuk ka progres</w:t>
            </w:r>
            <w:r w:rsidRPr="0032048B">
              <w:rPr>
                <w:sz w:val="24"/>
                <w:lang w:val="sq-AL" w:bidi="sq-AL"/>
              </w:rPr>
              <w:t xml:space="preserve"> gjatë periudhës së raportimit, përfshirë sa i përket përafrimit të kuadrit ligjor me </w:t>
            </w:r>
            <w:proofErr w:type="spellStart"/>
            <w:r w:rsidRPr="0032048B">
              <w:rPr>
                <w:i/>
                <w:sz w:val="24"/>
                <w:lang w:val="sq-AL" w:bidi="sq-AL"/>
              </w:rPr>
              <w:t>acquis</w:t>
            </w:r>
            <w:proofErr w:type="spellEnd"/>
            <w:r w:rsidRPr="0032048B">
              <w:rPr>
                <w:i/>
                <w:sz w:val="24"/>
                <w:lang w:val="sq-AL" w:bidi="sq-AL"/>
              </w:rPr>
              <w:t xml:space="preserve">-në </w:t>
            </w:r>
            <w:r w:rsidRPr="0032048B">
              <w:rPr>
                <w:sz w:val="24"/>
                <w:lang w:val="sq-AL" w:bidi="sq-AL"/>
              </w:rPr>
              <w:t>e BE-së në fushën e ndihmës shtetërore. Pavarësisht rekomandimeve në vitet e mëparshme, pavarësia funksionale e Komisionit të Ndihmës Shtetërore (KNSH) nuk është siguruar ende. Historiku i vet i zbatimit duhet të përmirësohet konsiderueshëm. Rekomandimet e vitit të shkuar mbeten të vlefshme.</w:t>
            </w:r>
          </w:p>
          <w:p w14:paraId="46A700BA" w14:textId="77777777" w:rsidR="00E6279B" w:rsidRPr="0032048B" w:rsidRDefault="00E6279B" w:rsidP="00456F1B">
            <w:pPr>
              <w:pStyle w:val="TableParagraph"/>
              <w:spacing w:before="120"/>
              <w:ind w:left="113"/>
              <w:jc w:val="both"/>
              <w:rPr>
                <w:sz w:val="24"/>
                <w:lang w:val="sq-AL"/>
              </w:rPr>
            </w:pPr>
            <w:r w:rsidRPr="0032048B">
              <w:rPr>
                <w:sz w:val="24"/>
                <w:lang w:val="sq-AL" w:bidi="sq-AL"/>
              </w:rPr>
              <w:t>Vitin e ardhshëm, në veçanti Shqipëria duhet të:</w:t>
            </w:r>
          </w:p>
          <w:p w14:paraId="0FD3ACF9" w14:textId="77777777" w:rsidR="00E6279B" w:rsidRPr="0032048B" w:rsidRDefault="00E6279B" w:rsidP="00456F1B">
            <w:pPr>
              <w:pStyle w:val="TableParagraph"/>
              <w:spacing w:before="120"/>
              <w:ind w:left="473" w:right="127" w:hanging="360"/>
              <w:jc w:val="left"/>
              <w:rPr>
                <w:sz w:val="24"/>
                <w:lang w:val="sq-AL"/>
              </w:rPr>
            </w:pPr>
            <w:r w:rsidRPr="0032048B">
              <w:rPr>
                <w:sz w:val="24"/>
                <w:lang w:val="sq-AL" w:bidi="sq-AL"/>
              </w:rPr>
              <w:t> garantojë pavarësinë funksionale të KNSH-së dhe të rrisë konsiderueshëm kapacitetet administrative të sekretariatit të KNSH-së;</w:t>
            </w:r>
          </w:p>
          <w:p w14:paraId="469F9849" w14:textId="77777777" w:rsidR="00E6279B" w:rsidRPr="0032048B" w:rsidRDefault="00E6279B" w:rsidP="00456F1B">
            <w:pPr>
              <w:pStyle w:val="TableParagraph"/>
              <w:spacing w:before="119"/>
              <w:ind w:left="113"/>
              <w:jc w:val="left"/>
              <w:rPr>
                <w:sz w:val="24"/>
                <w:lang w:val="sq-AL"/>
              </w:rPr>
            </w:pPr>
            <w:r w:rsidRPr="0032048B">
              <w:rPr>
                <w:sz w:val="24"/>
                <w:lang w:val="sq-AL" w:bidi="sq-AL"/>
              </w:rPr>
              <w:t xml:space="preserve"> përafrojë më tej kuadrin ligjor në fushën e ndihmës shtetërore me </w:t>
            </w:r>
            <w:proofErr w:type="spellStart"/>
            <w:r w:rsidRPr="0032048B">
              <w:rPr>
                <w:i/>
                <w:spacing w:val="-2"/>
                <w:sz w:val="24"/>
                <w:lang w:val="sq-AL" w:bidi="sq-AL"/>
              </w:rPr>
              <w:t>acquis</w:t>
            </w:r>
            <w:proofErr w:type="spellEnd"/>
            <w:r w:rsidRPr="0032048B">
              <w:rPr>
                <w:i/>
                <w:spacing w:val="-2"/>
                <w:sz w:val="24"/>
                <w:lang w:val="sq-AL" w:bidi="sq-AL"/>
              </w:rPr>
              <w:t>-në</w:t>
            </w:r>
            <w:r w:rsidRPr="0032048B">
              <w:rPr>
                <w:sz w:val="24"/>
                <w:lang w:val="sq-AL" w:bidi="sq-AL"/>
              </w:rPr>
              <w:t xml:space="preserve"> e BE-së</w:t>
            </w:r>
            <w:r w:rsidRPr="0032048B">
              <w:rPr>
                <w:spacing w:val="-2"/>
                <w:sz w:val="24"/>
                <w:lang w:val="sq-AL" w:bidi="sq-AL"/>
              </w:rPr>
              <w:t>;</w:t>
            </w:r>
          </w:p>
          <w:p w14:paraId="73A1FB76" w14:textId="77777777" w:rsidR="00E6279B" w:rsidRPr="0032048B" w:rsidRDefault="00E6279B" w:rsidP="00456F1B">
            <w:pPr>
              <w:pStyle w:val="TableParagraph"/>
              <w:spacing w:before="118"/>
              <w:ind w:left="473" w:hanging="360"/>
              <w:jc w:val="left"/>
              <w:rPr>
                <w:sz w:val="24"/>
                <w:lang w:val="sq-AL"/>
              </w:rPr>
            </w:pPr>
            <w:r w:rsidRPr="0032048B">
              <w:rPr>
                <w:sz w:val="24"/>
                <w:lang w:val="sq-AL" w:bidi="sq-AL"/>
              </w:rPr>
              <w:t xml:space="preserve"> shtojë përpjekjet për ndërgjegjësimin e ministrive të linjës dhe autoriteteve rajonale dhe </w:t>
            </w:r>
          </w:p>
          <w:p w14:paraId="2838E0FE" w14:textId="77777777" w:rsidR="00E6279B" w:rsidRPr="0032048B" w:rsidRDefault="00E6279B" w:rsidP="00456F1B">
            <w:pPr>
              <w:pStyle w:val="TableParagraph"/>
              <w:spacing w:line="270" w:lineRule="atLeast"/>
              <w:ind w:left="473" w:right="127"/>
              <w:jc w:val="left"/>
              <w:rPr>
                <w:sz w:val="24"/>
                <w:lang w:val="sq-AL"/>
              </w:rPr>
            </w:pPr>
            <w:r w:rsidRPr="0032048B">
              <w:rPr>
                <w:sz w:val="24"/>
                <w:lang w:val="sq-AL" w:bidi="sq-AL"/>
              </w:rPr>
              <w:t>vendore lidhur me KNSH-në, për të siguruar njoftimin paraprak të masave të ndihmës dhe për zbatimin më të mirë të rregullave të ndihmës shtetërore.</w:t>
            </w:r>
          </w:p>
        </w:tc>
      </w:tr>
    </w:tbl>
    <w:p w14:paraId="3C9C147C" w14:textId="77777777" w:rsidR="00E6279B" w:rsidRPr="0032048B" w:rsidRDefault="00E6279B" w:rsidP="00E6279B">
      <w:pPr>
        <w:pStyle w:val="BodyText"/>
        <w:spacing w:before="121"/>
        <w:ind w:right="0"/>
        <w:rPr>
          <w:lang w:val="sq-AL"/>
        </w:rPr>
      </w:pPr>
      <w:proofErr w:type="spellStart"/>
      <w:r w:rsidRPr="0032048B">
        <w:rPr>
          <w:u w:val="single"/>
          <w:lang w:val="sq-AL" w:bidi="sq-AL"/>
        </w:rPr>
        <w:t>Antitrusti</w:t>
      </w:r>
      <w:proofErr w:type="spellEnd"/>
      <w:r w:rsidRPr="0032048B">
        <w:rPr>
          <w:u w:val="single"/>
          <w:lang w:val="sq-AL" w:bidi="sq-AL"/>
        </w:rPr>
        <w:t xml:space="preserve"> dhe shkrirjet</w:t>
      </w:r>
    </w:p>
    <w:p w14:paraId="4ACAADA4" w14:textId="77777777" w:rsidR="00E6279B" w:rsidRPr="0032048B" w:rsidRDefault="00E6279B" w:rsidP="00E6279B">
      <w:pPr>
        <w:pStyle w:val="BodyText"/>
        <w:ind w:left="979"/>
        <w:rPr>
          <w:lang w:val="sq-AL"/>
        </w:rPr>
      </w:pPr>
      <w:r w:rsidRPr="0032048B">
        <w:rPr>
          <w:b/>
          <w:lang w:val="sq-AL" w:bidi="sq-AL"/>
        </w:rPr>
        <w:t>Kuadri ligjor shqiptar</w:t>
      </w:r>
      <w:r w:rsidRPr="0032048B">
        <w:rPr>
          <w:lang w:val="sq-AL" w:bidi="sq-AL"/>
        </w:rPr>
        <w:t xml:space="preserve"> është përgjithësisht në linjë me </w:t>
      </w:r>
      <w:proofErr w:type="spellStart"/>
      <w:r w:rsidRPr="0032048B">
        <w:rPr>
          <w:i/>
          <w:lang w:val="sq-AL" w:bidi="sq-AL"/>
        </w:rPr>
        <w:t>acquis</w:t>
      </w:r>
      <w:proofErr w:type="spellEnd"/>
      <w:r w:rsidRPr="0032048B">
        <w:rPr>
          <w:i/>
          <w:lang w:val="sq-AL" w:bidi="sq-AL"/>
        </w:rPr>
        <w:t xml:space="preserve">-në </w:t>
      </w:r>
      <w:r w:rsidRPr="0032048B">
        <w:rPr>
          <w:lang w:val="sq-AL" w:bidi="sq-AL"/>
        </w:rPr>
        <w:t>e BE-së dhe MSA-në. Ligji për mbrojtjen e konkurrencës është më së shumti i përafruar me Nenin 101 to TFBE-së (marrëveshjet kufizuese) dhe Nenin 102 të TFBE-së (abuzimi me pozicionin mbizotërues). Ai përcakton gjithashtu kontrollin paraprak të shkrirjeve, në përputhje me Rregulloren për Shkrirjet. Aktet nënligjore janë kryesisht në përputhje me rregulloret përkatëse të BE-së dhe udhëzimet e Komisionit. Në qershor të vitit 2023, Autoriteti i Konkurrencës i Shqipërisë miratoi një vendim për një udhëzim jozyrtar, duke synuar përafrimin me Njoftimin përkatës të Komisionit për çështjet e reja dhe të pazgjidhura lidhur me Nenet 101 dhe 102 të TFBE-së, të cilat lindin në raste individuale.</w:t>
      </w:r>
    </w:p>
    <w:p w14:paraId="561F23D7" w14:textId="307FDD2F" w:rsidR="00E6279B" w:rsidRPr="0032048B" w:rsidRDefault="00E6279B" w:rsidP="004D53EC">
      <w:pPr>
        <w:pStyle w:val="BodyText"/>
        <w:spacing w:before="119"/>
        <w:ind w:left="979"/>
        <w:rPr>
          <w:lang w:val="sq-AL"/>
        </w:rPr>
      </w:pPr>
      <w:r w:rsidRPr="0032048B">
        <w:rPr>
          <w:lang w:val="sq-AL" w:bidi="sq-AL"/>
        </w:rPr>
        <w:t xml:space="preserve">Sa i përket </w:t>
      </w:r>
      <w:r w:rsidRPr="0032048B">
        <w:rPr>
          <w:b/>
          <w:lang w:val="sq-AL" w:bidi="sq-AL"/>
        </w:rPr>
        <w:t>kuadrit institucional</w:t>
      </w:r>
      <w:r w:rsidRPr="0032048B">
        <w:rPr>
          <w:lang w:val="sq-AL" w:bidi="sq-AL"/>
        </w:rPr>
        <w:t>, Autoriteti i Konkurrencës i</w:t>
      </w:r>
      <w:r w:rsidR="004D53EC">
        <w:rPr>
          <w:lang w:val="sq-AL" w:bidi="sq-AL"/>
        </w:rPr>
        <w:t xml:space="preserve"> </w:t>
      </w:r>
      <w:r w:rsidRPr="0032048B">
        <w:rPr>
          <w:lang w:val="sq-AL" w:bidi="sq-AL"/>
        </w:rPr>
        <w:t xml:space="preserve">Shqipërisë (AKSH) është përgjegjës për zbatimin e ligjit për mbrojtjen e konkurrencës. Ai është autoritet i pavarur në veprimtarinë e vet, dhe i raporton Kuvendit. Ai mund të miratojë akte nënligjore, të vendosë gjoba dhe caktojë masa ndreqjeje, të ndalojë ose autorizojë shkrirjet, me ose pa kushte. Palët mund të </w:t>
      </w:r>
      <w:proofErr w:type="spellStart"/>
      <w:r w:rsidRPr="0032048B">
        <w:rPr>
          <w:lang w:val="sq-AL" w:bidi="sq-AL"/>
        </w:rPr>
        <w:t>ankimojnë</w:t>
      </w:r>
      <w:proofErr w:type="spellEnd"/>
      <w:r w:rsidRPr="0032048B">
        <w:rPr>
          <w:lang w:val="sq-AL" w:bidi="sq-AL"/>
        </w:rPr>
        <w:t xml:space="preserve"> vendimet e AKSH-së në gjykatë. Sa i përket </w:t>
      </w:r>
      <w:r w:rsidRPr="0032048B">
        <w:rPr>
          <w:b/>
          <w:lang w:val="sq-AL" w:bidi="sq-AL"/>
        </w:rPr>
        <w:t>kapacitetit ekzekutues</w:t>
      </w:r>
      <w:r w:rsidRPr="0032048B">
        <w:rPr>
          <w:lang w:val="sq-AL" w:bidi="sq-AL"/>
        </w:rPr>
        <w:t xml:space="preserve">, AKSH-ja ka vijuar të ketë gjithsej 46 punonjës, dhe personeli ka përfituar nga seminaret dhe trajnimet përkatëse. Sa i përket </w:t>
      </w:r>
      <w:r w:rsidRPr="0032048B">
        <w:rPr>
          <w:b/>
          <w:lang w:val="sq-AL" w:bidi="sq-AL"/>
        </w:rPr>
        <w:t>zbatimit</w:t>
      </w:r>
      <w:r w:rsidRPr="0032048B">
        <w:rPr>
          <w:lang w:val="sq-AL" w:bidi="sq-AL"/>
        </w:rPr>
        <w:t xml:space="preserve">, në vitin 2022 AKSH-ja mori 99 vendime, përfshirë pesë për marrëveshje të ndaluara, tetë për abuzimin e pozicionit mbizotërues dhe 50 për autorizimin e përqendrimeve. Në gjysmën e parë të vitit 2023, AKSH-ja mori 35 vendime, </w:t>
      </w:r>
      <w:r w:rsidRPr="0032048B">
        <w:rPr>
          <w:lang w:val="sq-AL" w:bidi="sq-AL"/>
        </w:rPr>
        <w:lastRenderedPageBreak/>
        <w:t xml:space="preserve">përfshirë dy për një marrëveshje të ndaluar, dhe 23 për autorizimin e përqendrimeve. Në vitin 2022, AKSH-ja vlerësoi 30 projekt vlerësime ligjore, kryesisht lidhur me legjislacionin në tregun e energjisë dhe gazit. Gjatë periudhës së raportimit, AKSH-ja ka ndërmarrë procedura të hetimit paraprak dhe të thelluar në një sërë sektorësh të ekonomisë, në të cilët janë ushtruar kontrolle fizike, përfshirë në institucione të arsimit të lartë, institucione financiare jo bankë, shoqëri të prodhimit digjital, shërbime transporti </w:t>
      </w:r>
      <w:r w:rsidR="004D53EC">
        <w:rPr>
          <w:lang w:val="sq-AL" w:bidi="sq-AL"/>
        </w:rPr>
        <w:t>–</w:t>
      </w:r>
      <w:r w:rsidRPr="0032048B">
        <w:rPr>
          <w:lang w:val="sq-AL" w:bidi="sq-AL"/>
        </w:rPr>
        <w:t xml:space="preserve"> taksish</w:t>
      </w:r>
      <w:r w:rsidR="004D53EC">
        <w:rPr>
          <w:lang w:val="sq-AL" w:bidi="sq-AL"/>
        </w:rPr>
        <w:t xml:space="preserve">, </w:t>
      </w:r>
      <w:r w:rsidRPr="0032048B">
        <w:rPr>
          <w:lang w:val="sq-AL" w:bidi="sq-AL"/>
        </w:rPr>
        <w:t>në tregun e prodhimit të betonit dhe të importit dhe tregtisë së vajit vegjetal. AKSH-ja duhet të vijojë të përforcojë zbatimin e rregullave të konkurrencës.</w:t>
      </w:r>
    </w:p>
    <w:p w14:paraId="03AECB59" w14:textId="77777777" w:rsidR="00E6279B" w:rsidRPr="0032048B" w:rsidRDefault="00E6279B" w:rsidP="00E6279B">
      <w:pPr>
        <w:pStyle w:val="BodyText"/>
        <w:ind w:right="0"/>
        <w:rPr>
          <w:lang w:val="sq-AL"/>
        </w:rPr>
      </w:pPr>
      <w:r w:rsidRPr="0032048B">
        <w:rPr>
          <w:u w:val="single"/>
          <w:lang w:val="sq-AL" w:bidi="sq-AL"/>
        </w:rPr>
        <w:t>Ndihma shtetërore</w:t>
      </w:r>
    </w:p>
    <w:p w14:paraId="63BBB972" w14:textId="77777777" w:rsidR="00E6279B" w:rsidRPr="0032048B" w:rsidRDefault="00E6279B" w:rsidP="00E6279B">
      <w:pPr>
        <w:pStyle w:val="BodyText"/>
        <w:rPr>
          <w:lang w:val="sq-AL"/>
        </w:rPr>
      </w:pPr>
      <w:r w:rsidRPr="0032048B">
        <w:rPr>
          <w:lang w:val="sq-AL" w:bidi="sq-AL"/>
        </w:rPr>
        <w:t xml:space="preserve">Sa i përket </w:t>
      </w:r>
      <w:r w:rsidRPr="0032048B">
        <w:rPr>
          <w:b/>
          <w:lang w:val="sq-AL" w:bidi="sq-AL"/>
        </w:rPr>
        <w:t>kuadrit ligjor</w:t>
      </w:r>
      <w:r w:rsidRPr="0032048B">
        <w:rPr>
          <w:lang w:val="sq-AL" w:bidi="sq-AL"/>
        </w:rPr>
        <w:t xml:space="preserve">, ligji për ndihmën shtetërore pasqyron një pjesë të madhe të Neneve 107 dhe 108 të TFBE-së. Legjislacioni zbatues është pjesërisht i përafruar me </w:t>
      </w:r>
      <w:proofErr w:type="spellStart"/>
      <w:r w:rsidRPr="0032048B">
        <w:rPr>
          <w:i/>
          <w:lang w:val="sq-AL" w:bidi="sq-AL"/>
        </w:rPr>
        <w:t>acquis</w:t>
      </w:r>
      <w:proofErr w:type="spellEnd"/>
      <w:r w:rsidRPr="0032048B">
        <w:rPr>
          <w:i/>
          <w:lang w:val="sq-AL" w:bidi="sq-AL"/>
        </w:rPr>
        <w:t>-në</w:t>
      </w:r>
      <w:r w:rsidRPr="0032048B">
        <w:rPr>
          <w:lang w:val="sq-AL" w:bidi="sq-AL"/>
        </w:rPr>
        <w:t xml:space="preserve"> e BE-së vetë më disa fusha, si p.sh. me Rregulloren e Përgjithshme të Përjashtimit në Bllok. Nevojitet përafrim i mëtejshëm me legjislacionin zbatues të BE-së për kontrollin e ndihmës shtetërore.</w:t>
      </w:r>
    </w:p>
    <w:p w14:paraId="33C63962" w14:textId="77777777" w:rsidR="00E6279B" w:rsidRPr="0032048B" w:rsidRDefault="00E6279B" w:rsidP="00E6279B">
      <w:pPr>
        <w:pStyle w:val="BodyText"/>
        <w:ind w:left="979" w:right="977"/>
        <w:rPr>
          <w:lang w:val="sq-AL"/>
        </w:rPr>
      </w:pPr>
      <w:r w:rsidRPr="0032048B">
        <w:rPr>
          <w:lang w:val="sq-AL" w:bidi="sq-AL"/>
        </w:rPr>
        <w:t xml:space="preserve">Sa i përket </w:t>
      </w:r>
      <w:r w:rsidRPr="0032048B">
        <w:rPr>
          <w:b/>
          <w:lang w:val="sq-AL" w:bidi="sq-AL"/>
        </w:rPr>
        <w:t>kuadrit institucional</w:t>
      </w:r>
      <w:r w:rsidRPr="0032048B">
        <w:rPr>
          <w:lang w:val="sq-AL" w:bidi="sq-AL"/>
        </w:rPr>
        <w:t xml:space="preserve">, KNSH-ja është përgjegjës për zbatimin e ligjit për ndihmën shtetërore. Pavarësia e tij </w:t>
      </w:r>
      <w:proofErr w:type="spellStart"/>
      <w:r w:rsidRPr="0032048B">
        <w:rPr>
          <w:lang w:val="sq-AL" w:bidi="sq-AL"/>
        </w:rPr>
        <w:t>operacionale</w:t>
      </w:r>
      <w:proofErr w:type="spellEnd"/>
      <w:r w:rsidRPr="0032048B">
        <w:rPr>
          <w:lang w:val="sq-AL" w:bidi="sq-AL"/>
        </w:rPr>
        <w:t xml:space="preserve">, që kërkohet në kuadër të MSA-së, nuk është garantuar ende, duke qenë se është institucion i Ministrisë së Financave dhe Ekonomisë. KNSH-ja mund të urdhërojë rikuperimin e ndihmës së jashtëligjshme dhe të papërputhshme, por deri më tani nuk ka marrë vendim të tillë. Vendimet e tij mund të </w:t>
      </w:r>
      <w:proofErr w:type="spellStart"/>
      <w:r w:rsidRPr="0032048B">
        <w:rPr>
          <w:lang w:val="sq-AL" w:bidi="sq-AL"/>
        </w:rPr>
        <w:t>ankimohen</w:t>
      </w:r>
      <w:proofErr w:type="spellEnd"/>
      <w:r w:rsidRPr="0032048B">
        <w:rPr>
          <w:lang w:val="sq-AL" w:bidi="sq-AL"/>
        </w:rPr>
        <w:t xml:space="preserve"> në gjykatë.</w:t>
      </w:r>
    </w:p>
    <w:p w14:paraId="56943ED0" w14:textId="77777777" w:rsidR="00E6279B" w:rsidRPr="0032048B" w:rsidRDefault="00E6279B" w:rsidP="00E6279B">
      <w:pPr>
        <w:pStyle w:val="BodyText"/>
        <w:rPr>
          <w:lang w:val="sq-AL"/>
        </w:rPr>
      </w:pPr>
      <w:r w:rsidRPr="0032048B">
        <w:rPr>
          <w:b/>
          <w:lang w:val="sq-AL" w:bidi="sq-AL"/>
        </w:rPr>
        <w:t xml:space="preserve">Kapaciteti zbatues </w:t>
      </w:r>
      <w:r w:rsidRPr="0032048B">
        <w:rPr>
          <w:lang w:val="sq-AL" w:bidi="sq-AL"/>
        </w:rPr>
        <w:t xml:space="preserve">i KNSH-së mbetet i pamjaftueshëm, për shkak se numri i personelit të sekretariatit të tij duhet të rritet ndjeshëm. Sa i përket </w:t>
      </w:r>
      <w:r w:rsidRPr="0032048B">
        <w:rPr>
          <w:b/>
          <w:lang w:val="sq-AL" w:bidi="sq-AL"/>
        </w:rPr>
        <w:t>zbatimit</w:t>
      </w:r>
      <w:r w:rsidRPr="0032048B">
        <w:rPr>
          <w:lang w:val="sq-AL" w:bidi="sq-AL"/>
        </w:rPr>
        <w:t xml:space="preserve">, në gjysmën e dytë të vitit 2022, KNSH-ja miratoi katër vendime për autorizimin e ndihmës shtetërore. Në qershor të vitit 2023, KNSH-ja miratoi një vendim për autorizimin e ndihmës shtetërore në fushën e </w:t>
      </w:r>
      <w:proofErr w:type="spellStart"/>
      <w:r w:rsidRPr="0032048B">
        <w:rPr>
          <w:lang w:val="sq-AL" w:bidi="sq-AL"/>
        </w:rPr>
        <w:t>fotovoltaikëve</w:t>
      </w:r>
      <w:proofErr w:type="spellEnd"/>
      <w:r w:rsidRPr="0032048B">
        <w:rPr>
          <w:lang w:val="sq-AL" w:bidi="sq-AL"/>
        </w:rPr>
        <w:t xml:space="preserve">. Nuk janë marrë vendime negative ose për rikuperim të ndihmës. Historiku i zbatimit në kuadër të kontrollit të ndihmës shtetërore duhet të përmirësohet ndjeshëm. Veprimtaritë e </w:t>
      </w:r>
      <w:proofErr w:type="spellStart"/>
      <w:r w:rsidRPr="0032048B">
        <w:rPr>
          <w:lang w:val="sq-AL" w:bidi="sq-AL"/>
        </w:rPr>
        <w:t>avokimit</w:t>
      </w:r>
      <w:proofErr w:type="spellEnd"/>
      <w:r w:rsidRPr="0032048B">
        <w:rPr>
          <w:lang w:val="sq-AL" w:bidi="sq-AL"/>
        </w:rPr>
        <w:t xml:space="preserve"> me ofruesit duhet të shtohen për të siguruar njoftimin paraprak për masat e ndihmës.</w:t>
      </w:r>
    </w:p>
    <w:p w14:paraId="103AA614" w14:textId="77777777" w:rsidR="00E6279B" w:rsidRPr="0032048B" w:rsidRDefault="00E6279B" w:rsidP="00E6279B">
      <w:pPr>
        <w:pStyle w:val="BodyText"/>
        <w:ind w:right="0"/>
        <w:jc w:val="left"/>
        <w:rPr>
          <w:lang w:val="sq-AL"/>
        </w:rPr>
      </w:pPr>
      <w:r w:rsidRPr="0032048B">
        <w:rPr>
          <w:spacing w:val="-2"/>
          <w:u w:val="single"/>
          <w:lang w:val="sq-AL" w:bidi="sq-AL"/>
        </w:rPr>
        <w:t>Liberalizimi</w:t>
      </w:r>
    </w:p>
    <w:p w14:paraId="405C71C0" w14:textId="692EB16E" w:rsidR="006C790B" w:rsidRDefault="00E6279B" w:rsidP="004D53EC">
      <w:pPr>
        <w:pStyle w:val="BodyText"/>
        <w:ind w:right="977"/>
        <w:rPr>
          <w:lang w:val="sq-AL" w:bidi="sq-AL"/>
        </w:rPr>
      </w:pPr>
      <w:r w:rsidRPr="0032048B">
        <w:rPr>
          <w:lang w:val="sq-AL" w:bidi="sq-AL"/>
        </w:rPr>
        <w:t>Ligji për ndihmën shtetërore gjen zbatim për të gjithë personat fizikë të cilët kryejnë veprimtari ekonomike. Nuk është ndërmarrë hetim lidhur me ndihmën shtetërore për sipërmarrje publike apo sipërmarrje me të drejta të veçanta ose ekskluzive.</w:t>
      </w:r>
    </w:p>
    <w:p w14:paraId="7219FDD8" w14:textId="77777777" w:rsidR="004D53EC" w:rsidRPr="0032048B" w:rsidRDefault="004D53EC" w:rsidP="004D53EC">
      <w:pPr>
        <w:pStyle w:val="BodyText"/>
        <w:ind w:right="977"/>
        <w:rPr>
          <w:lang w:val="sq-AL" w:bidi="sq-AL"/>
        </w:rPr>
      </w:pPr>
    </w:p>
    <w:p w14:paraId="6F97CF8D" w14:textId="77777777" w:rsidR="006C790B" w:rsidRPr="004D53EC" w:rsidRDefault="006C790B" w:rsidP="006C790B">
      <w:pPr>
        <w:spacing w:before="120"/>
        <w:ind w:left="1040"/>
        <w:jc w:val="both"/>
        <w:outlineLvl w:val="0"/>
        <w:rPr>
          <w:b/>
          <w:bCs/>
          <w:sz w:val="24"/>
          <w:szCs w:val="24"/>
          <w:lang w:val="sq-AL"/>
        </w:rPr>
      </w:pPr>
      <w:r w:rsidRPr="004D53EC">
        <w:rPr>
          <w:b/>
          <w:bCs/>
          <w:spacing w:val="-2"/>
          <w:sz w:val="24"/>
          <w:szCs w:val="24"/>
          <w:lang w:val="sq-AL"/>
        </w:rPr>
        <w:t>Kapitulli 9: Shërbimet financiare</w:t>
      </w:r>
    </w:p>
    <w:p w14:paraId="2E023EB2" w14:textId="77777777" w:rsidR="006C790B" w:rsidRPr="004D53EC" w:rsidRDefault="006C790B" w:rsidP="006C790B">
      <w:pPr>
        <w:spacing w:before="120"/>
        <w:ind w:left="980" w:right="976"/>
        <w:jc w:val="both"/>
        <w:rPr>
          <w:lang w:val="sq-AL"/>
        </w:rPr>
      </w:pPr>
      <w:r w:rsidRPr="004D53EC">
        <w:rPr>
          <w:i/>
          <w:sz w:val="24"/>
          <w:lang w:val="sq-AL"/>
        </w:rPr>
        <w:t>Rregullat e BE-së kanë për qëllim konkurrencën e ndershme ndërmjet institucioneve financiare dhe stabilitetin e tyre, përkatësisht veprimet bankare, sigurimet, pensionet shtesë, shërbimet e investimeve dhe tregjet e sigurimeve. Ato përfshijnë rregullat për autorizimin, funksionimin dhe mbikëqyrjen e këtyre institucioneve.</w:t>
      </w:r>
    </w:p>
    <w:p w14:paraId="272C10DA" w14:textId="77777777" w:rsidR="006C790B" w:rsidRPr="004D53EC" w:rsidRDefault="006C790B" w:rsidP="006C790B">
      <w:pPr>
        <w:spacing w:before="5"/>
        <w:rPr>
          <w:i/>
          <w:sz w:val="10"/>
          <w:szCs w:val="24"/>
          <w:lang w:val="sq-AL"/>
        </w:rPr>
      </w:pPr>
    </w:p>
    <w:tbl>
      <w:tblPr>
        <w:tblW w:w="9254" w:type="dxa"/>
        <w:tblInd w:w="871" w:type="dxa"/>
        <w:tblCellMar>
          <w:left w:w="5" w:type="dxa"/>
          <w:right w:w="5" w:type="dxa"/>
        </w:tblCellMar>
        <w:tblLook w:val="01E0" w:firstRow="1" w:lastRow="1" w:firstColumn="1" w:lastColumn="1" w:noHBand="0" w:noVBand="0"/>
      </w:tblPr>
      <w:tblGrid>
        <w:gridCol w:w="9254"/>
      </w:tblGrid>
      <w:tr w:rsidR="006C790B" w:rsidRPr="004D53EC" w14:paraId="538E6D95" w14:textId="77777777" w:rsidTr="005760FF">
        <w:trPr>
          <w:trHeight w:val="898"/>
        </w:trPr>
        <w:tc>
          <w:tcPr>
            <w:tcW w:w="9254" w:type="dxa"/>
            <w:tcBorders>
              <w:top w:val="single" w:sz="4" w:space="0" w:color="000000"/>
              <w:left w:val="single" w:sz="4" w:space="0" w:color="000000"/>
              <w:bottom w:val="single" w:sz="4" w:space="0" w:color="000000"/>
              <w:right w:val="single" w:sz="4" w:space="0" w:color="000000"/>
            </w:tcBorders>
            <w:shd w:val="clear" w:color="auto" w:fill="auto"/>
          </w:tcPr>
          <w:p w14:paraId="608F3B08" w14:textId="77777777" w:rsidR="006C790B" w:rsidRPr="004D53EC" w:rsidRDefault="006C790B" w:rsidP="006C790B">
            <w:pPr>
              <w:spacing w:before="39"/>
              <w:ind w:left="113" w:right="100"/>
              <w:jc w:val="both"/>
              <w:rPr>
                <w:lang w:val="sq-AL"/>
              </w:rPr>
            </w:pPr>
            <w:r w:rsidRPr="004D53EC">
              <w:rPr>
                <w:sz w:val="24"/>
                <w:lang w:val="sq-AL"/>
              </w:rPr>
              <w:t xml:space="preserve">Shqipëria ka </w:t>
            </w:r>
            <w:r w:rsidRPr="004D53EC">
              <w:rPr>
                <w:b/>
                <w:sz w:val="24"/>
                <w:lang w:val="sq-AL"/>
              </w:rPr>
              <w:t xml:space="preserve">një përgatitjeje të mirë dhe mesatare </w:t>
            </w:r>
            <w:r w:rsidRPr="004D53EC">
              <w:rPr>
                <w:sz w:val="24"/>
                <w:lang w:val="sq-AL"/>
              </w:rPr>
              <w:t xml:space="preserve">në fushën e shërbimeve financiare. Është bërë një farë progresi në rekomandimet e vitit të fundit për përmirësimin e ekzekutimit të </w:t>
            </w:r>
            <w:proofErr w:type="spellStart"/>
            <w:r w:rsidRPr="004D53EC">
              <w:rPr>
                <w:sz w:val="24"/>
                <w:lang w:val="sq-AL"/>
              </w:rPr>
              <w:t>kolateralit</w:t>
            </w:r>
            <w:proofErr w:type="spellEnd"/>
            <w:r w:rsidRPr="004D53EC">
              <w:rPr>
                <w:sz w:val="24"/>
                <w:lang w:val="sq-AL"/>
              </w:rPr>
              <w:t xml:space="preserve"> nga zyrat përmbarimore, ndërkohë që është zgjidhur çështja ligjore e mbetur pezull për tarifat e shërbimeve. Progres gjithashtu është bërë në harmonizimin e legjislacionit për tregun kombëtar të kapitalit me </w:t>
            </w:r>
            <w:proofErr w:type="spellStart"/>
            <w:r w:rsidRPr="004D53EC">
              <w:rPr>
                <w:i/>
                <w:sz w:val="24"/>
                <w:lang w:val="sq-AL"/>
              </w:rPr>
              <w:t>acquis</w:t>
            </w:r>
            <w:proofErr w:type="spellEnd"/>
            <w:r w:rsidRPr="004D53EC">
              <w:rPr>
                <w:sz w:val="24"/>
                <w:lang w:val="sq-AL"/>
              </w:rPr>
              <w:t xml:space="preserve"> përkatëse të BE-së, dhe në përfshirjen e parimeve të qëndrueshme financiare në politikat dhe objektivat strategjikë bankare dhe jo-bankare. Vendi duhet të përpiqet më shumë për t’u përshtatur me </w:t>
            </w:r>
            <w:proofErr w:type="spellStart"/>
            <w:r w:rsidRPr="004D53EC">
              <w:rPr>
                <w:i/>
                <w:sz w:val="24"/>
                <w:lang w:val="sq-AL"/>
              </w:rPr>
              <w:t>acquis</w:t>
            </w:r>
            <w:proofErr w:type="spellEnd"/>
            <w:r w:rsidRPr="004D53EC">
              <w:rPr>
                <w:sz w:val="24"/>
                <w:lang w:val="sq-AL"/>
              </w:rPr>
              <w:t xml:space="preserve"> e shërbimeve financiare, duke u fokusuar në përparësitë e identifikuara bazuar në situatën aktuale. Disa nga rekomandimet e vitit të shkuar vazhdojnë të jenë ende të vlefshme.</w:t>
            </w:r>
          </w:p>
          <w:p w14:paraId="71D898D1" w14:textId="77777777" w:rsidR="006C790B" w:rsidRPr="004D53EC" w:rsidRDefault="006C790B" w:rsidP="006C790B">
            <w:pPr>
              <w:spacing w:before="121"/>
              <w:ind w:left="113"/>
              <w:jc w:val="both"/>
              <w:rPr>
                <w:lang w:val="sq-AL"/>
              </w:rPr>
            </w:pPr>
            <w:r w:rsidRPr="004D53EC">
              <w:rPr>
                <w:spacing w:val="-2"/>
                <w:sz w:val="24"/>
                <w:lang w:val="sq-AL"/>
              </w:rPr>
              <w:t>Në vitin e ardhshëm Shqipëria duhet:</w:t>
            </w:r>
          </w:p>
          <w:p w14:paraId="1D6B6DE2" w14:textId="77777777" w:rsidR="006C790B" w:rsidRPr="004D53EC" w:rsidRDefault="006C790B" w:rsidP="006C790B">
            <w:pPr>
              <w:spacing w:before="119"/>
              <w:ind w:left="473" w:right="102" w:hanging="360"/>
              <w:jc w:val="both"/>
              <w:rPr>
                <w:lang w:val="sq-AL"/>
              </w:rPr>
            </w:pPr>
            <w:r w:rsidRPr="004D53EC">
              <w:rPr>
                <w:rFonts w:ascii="Symbol" w:hAnsi="Symbol"/>
                <w:sz w:val="24"/>
                <w:lang w:val="sq-AL"/>
              </w:rPr>
              <w:lastRenderedPageBreak/>
              <w:t></w:t>
            </w:r>
            <w:r w:rsidRPr="004D53EC">
              <w:rPr>
                <w:sz w:val="24"/>
                <w:lang w:val="sq-AL"/>
              </w:rPr>
              <w:t xml:space="preserve">të vazhdojë punën për harmonizimin e rregulloreve bankare me versionet e rishikuara të </w:t>
            </w:r>
            <w:proofErr w:type="spellStart"/>
            <w:r w:rsidRPr="004D53EC">
              <w:rPr>
                <w:i/>
                <w:sz w:val="24"/>
                <w:lang w:val="sq-AL"/>
              </w:rPr>
              <w:t>acquis</w:t>
            </w:r>
            <w:proofErr w:type="spellEnd"/>
            <w:r w:rsidRPr="004D53EC">
              <w:rPr>
                <w:sz w:val="24"/>
                <w:lang w:val="sq-AL"/>
              </w:rPr>
              <w:t xml:space="preserve"> të BE-së lidhur me Rregulloren për Kërkesat e Kapitalit/Direktivën për Kërkesat e Kapitalit dhe (CRR/CRD) dhe Direktivën për rimëkëmbjen dhe ndërhyrjen e jashtëzakonshme në banka (BRRD);</w:t>
            </w:r>
          </w:p>
          <w:p w14:paraId="3D633691" w14:textId="77777777" w:rsidR="006C790B" w:rsidRPr="004D53EC" w:rsidRDefault="006C790B" w:rsidP="006C790B">
            <w:pPr>
              <w:spacing w:before="119"/>
              <w:ind w:left="473" w:right="103" w:hanging="360"/>
              <w:jc w:val="both"/>
              <w:rPr>
                <w:lang w:val="sq-AL"/>
              </w:rPr>
            </w:pPr>
            <w:r w:rsidRPr="004D53EC">
              <w:rPr>
                <w:rFonts w:ascii="Symbol" w:hAnsi="Symbol"/>
                <w:sz w:val="24"/>
                <w:lang w:val="sq-AL"/>
              </w:rPr>
              <w:t></w:t>
            </w:r>
            <w:r w:rsidRPr="004D53EC">
              <w:rPr>
                <w:sz w:val="24"/>
                <w:lang w:val="sq-AL"/>
              </w:rPr>
              <w:t xml:space="preserve">të bëjë përpjekje më të mëdha për ta përshtatur akoma dhe më shumë legjislacionin në fushat e pensioneve private dhe tregjet kapitale me </w:t>
            </w:r>
            <w:proofErr w:type="spellStart"/>
            <w:r w:rsidRPr="004D53EC">
              <w:rPr>
                <w:i/>
                <w:sz w:val="24"/>
                <w:lang w:val="sq-AL"/>
              </w:rPr>
              <w:t>acquis</w:t>
            </w:r>
            <w:proofErr w:type="spellEnd"/>
            <w:r w:rsidRPr="004D53EC">
              <w:rPr>
                <w:sz w:val="24"/>
                <w:lang w:val="sq-AL"/>
              </w:rPr>
              <w:t xml:space="preserve"> përkatëse të BE-së;</w:t>
            </w:r>
          </w:p>
          <w:p w14:paraId="22312CBF" w14:textId="77777777" w:rsidR="006C790B" w:rsidRPr="004D53EC" w:rsidRDefault="006C790B" w:rsidP="006C790B">
            <w:pPr>
              <w:spacing w:before="120"/>
              <w:ind w:left="113"/>
              <w:jc w:val="both"/>
              <w:rPr>
                <w:lang w:val="sq-AL"/>
              </w:rPr>
            </w:pPr>
            <w:r w:rsidRPr="004D53EC">
              <w:rPr>
                <w:rFonts w:ascii="Symbol" w:hAnsi="Symbol"/>
                <w:sz w:val="24"/>
                <w:lang w:val="sq-AL"/>
              </w:rPr>
              <w:t></w:t>
            </w:r>
            <w:r w:rsidRPr="004D53EC">
              <w:rPr>
                <w:spacing w:val="-2"/>
                <w:sz w:val="24"/>
                <w:lang w:val="sq-AL"/>
              </w:rPr>
              <w:t xml:space="preserve">të vazhdojë punën për harmonizimin me Direktivën për Aftësinë </w:t>
            </w:r>
            <w:proofErr w:type="spellStart"/>
            <w:r w:rsidRPr="004D53EC">
              <w:rPr>
                <w:spacing w:val="-2"/>
                <w:sz w:val="24"/>
                <w:lang w:val="sq-AL"/>
              </w:rPr>
              <w:t>Paguese</w:t>
            </w:r>
            <w:proofErr w:type="spellEnd"/>
            <w:r w:rsidRPr="004D53EC">
              <w:rPr>
                <w:spacing w:val="-2"/>
                <w:sz w:val="24"/>
                <w:lang w:val="sq-AL"/>
              </w:rPr>
              <w:t xml:space="preserve"> II;</w:t>
            </w:r>
          </w:p>
        </w:tc>
      </w:tr>
    </w:tbl>
    <w:p w14:paraId="1A0ED0F0" w14:textId="77777777" w:rsidR="006C790B" w:rsidRPr="004D53EC" w:rsidRDefault="006C790B" w:rsidP="006C790B">
      <w:pPr>
        <w:spacing w:before="121"/>
        <w:ind w:left="980" w:right="972"/>
        <w:jc w:val="both"/>
        <w:rPr>
          <w:sz w:val="24"/>
          <w:szCs w:val="24"/>
          <w:lang w:val="sq-AL"/>
        </w:rPr>
      </w:pPr>
      <w:r w:rsidRPr="004D53EC">
        <w:rPr>
          <w:sz w:val="24"/>
          <w:szCs w:val="24"/>
          <w:lang w:val="sq-AL"/>
        </w:rPr>
        <w:lastRenderedPageBreak/>
        <w:t xml:space="preserve">Për </w:t>
      </w:r>
      <w:r w:rsidRPr="004D53EC">
        <w:rPr>
          <w:b/>
          <w:sz w:val="24"/>
          <w:szCs w:val="24"/>
          <w:lang w:val="sq-AL"/>
        </w:rPr>
        <w:t xml:space="preserve">bankat dhe </w:t>
      </w:r>
      <w:proofErr w:type="spellStart"/>
      <w:r w:rsidRPr="004D53EC">
        <w:rPr>
          <w:b/>
          <w:sz w:val="24"/>
          <w:szCs w:val="24"/>
          <w:lang w:val="sq-AL"/>
        </w:rPr>
        <w:t>konglomeratët</w:t>
      </w:r>
      <w:proofErr w:type="spellEnd"/>
      <w:r w:rsidRPr="004D53EC">
        <w:rPr>
          <w:b/>
          <w:sz w:val="24"/>
          <w:szCs w:val="24"/>
          <w:lang w:val="sq-AL"/>
        </w:rPr>
        <w:t xml:space="preserve"> financiarë</w:t>
      </w:r>
      <w:r w:rsidRPr="004D53EC">
        <w:rPr>
          <w:sz w:val="24"/>
          <w:szCs w:val="24"/>
          <w:lang w:val="sq-AL"/>
        </w:rPr>
        <w:t xml:space="preserve">, Banka e Shqipërisë (BSH) vijoi të harmonizojë rregulloren bankare me </w:t>
      </w:r>
      <w:proofErr w:type="spellStart"/>
      <w:r w:rsidRPr="004D53EC">
        <w:rPr>
          <w:sz w:val="24"/>
          <w:szCs w:val="24"/>
          <w:lang w:val="sq-AL"/>
        </w:rPr>
        <w:t>Basel</w:t>
      </w:r>
      <w:proofErr w:type="spellEnd"/>
      <w:r w:rsidRPr="004D53EC">
        <w:rPr>
          <w:sz w:val="24"/>
          <w:szCs w:val="24"/>
          <w:lang w:val="sq-AL"/>
        </w:rPr>
        <w:t xml:space="preserve"> III, kryesisht për raportin e </w:t>
      </w:r>
      <w:proofErr w:type="spellStart"/>
      <w:r w:rsidRPr="004D53EC">
        <w:rPr>
          <w:sz w:val="24"/>
          <w:szCs w:val="24"/>
          <w:lang w:val="sq-AL"/>
        </w:rPr>
        <w:t>mjaftueshmërisë</w:t>
      </w:r>
      <w:proofErr w:type="spellEnd"/>
      <w:r w:rsidRPr="004D53EC">
        <w:rPr>
          <w:sz w:val="24"/>
          <w:szCs w:val="24"/>
          <w:lang w:val="sq-AL"/>
        </w:rPr>
        <w:t xml:space="preserve"> së kapitalit. Ajo miratoi legjislacionin e hartuar për t’u harmonizuar me </w:t>
      </w:r>
      <w:proofErr w:type="spellStart"/>
      <w:r w:rsidRPr="004D53EC">
        <w:rPr>
          <w:i/>
          <w:sz w:val="24"/>
          <w:szCs w:val="24"/>
          <w:lang w:val="sq-AL"/>
        </w:rPr>
        <w:t>acquis</w:t>
      </w:r>
      <w:proofErr w:type="spellEnd"/>
      <w:r w:rsidRPr="004D53EC">
        <w:rPr>
          <w:i/>
          <w:sz w:val="24"/>
          <w:szCs w:val="24"/>
          <w:lang w:val="sq-AL"/>
        </w:rPr>
        <w:t xml:space="preserve"> </w:t>
      </w:r>
      <w:r w:rsidRPr="004D53EC">
        <w:rPr>
          <w:sz w:val="24"/>
          <w:szCs w:val="24"/>
          <w:lang w:val="sq-AL"/>
        </w:rPr>
        <w:t xml:space="preserve">të BE-së për procesin e vlerësimit të </w:t>
      </w:r>
      <w:proofErr w:type="spellStart"/>
      <w:r w:rsidRPr="004D53EC">
        <w:rPr>
          <w:sz w:val="24"/>
          <w:szCs w:val="24"/>
          <w:lang w:val="sq-AL"/>
        </w:rPr>
        <w:t>mjaftueshmërisë</w:t>
      </w:r>
      <w:proofErr w:type="spellEnd"/>
      <w:r w:rsidRPr="004D53EC">
        <w:rPr>
          <w:sz w:val="24"/>
          <w:szCs w:val="24"/>
          <w:lang w:val="sq-AL"/>
        </w:rPr>
        <w:t xml:space="preserve"> së likuiditetit, i cili ofron një kuadër rregullator për të siguruar nivelet e duhura të rezervave të likuiditetit. Legjislacioni kombëtar për raportin e </w:t>
      </w:r>
      <w:proofErr w:type="spellStart"/>
      <w:r w:rsidRPr="004D53EC">
        <w:rPr>
          <w:sz w:val="24"/>
          <w:szCs w:val="24"/>
          <w:lang w:val="sq-AL"/>
        </w:rPr>
        <w:t>mjaftueshmërisë</w:t>
      </w:r>
      <w:proofErr w:type="spellEnd"/>
      <w:r w:rsidRPr="004D53EC">
        <w:rPr>
          <w:sz w:val="24"/>
          <w:szCs w:val="24"/>
          <w:lang w:val="sq-AL"/>
        </w:rPr>
        <w:t xml:space="preserve"> së kapitalit dhe për raportin neto të financimit të qëndrueshëm të bankave u harmonizua më tej me </w:t>
      </w:r>
      <w:proofErr w:type="spellStart"/>
      <w:r w:rsidRPr="004D53EC">
        <w:rPr>
          <w:i/>
          <w:sz w:val="24"/>
          <w:szCs w:val="24"/>
          <w:lang w:val="sq-AL"/>
        </w:rPr>
        <w:t>acquis</w:t>
      </w:r>
      <w:proofErr w:type="spellEnd"/>
      <w:r w:rsidRPr="004D53EC">
        <w:rPr>
          <w:i/>
          <w:sz w:val="24"/>
          <w:szCs w:val="24"/>
          <w:lang w:val="sq-AL"/>
        </w:rPr>
        <w:t xml:space="preserve"> </w:t>
      </w:r>
      <w:r w:rsidRPr="004D53EC">
        <w:rPr>
          <w:sz w:val="24"/>
          <w:szCs w:val="24"/>
          <w:lang w:val="sq-AL"/>
        </w:rPr>
        <w:t>të BE-së për kërkesat e reja të riskut të kredisë.</w:t>
      </w:r>
    </w:p>
    <w:p w14:paraId="45723891" w14:textId="77777777" w:rsidR="006C790B" w:rsidRPr="004D53EC" w:rsidRDefault="006C790B" w:rsidP="006C790B">
      <w:pPr>
        <w:spacing w:before="120"/>
        <w:ind w:left="979" w:right="976"/>
        <w:jc w:val="both"/>
        <w:rPr>
          <w:sz w:val="24"/>
          <w:szCs w:val="24"/>
          <w:lang w:val="sq-AL"/>
        </w:rPr>
      </w:pPr>
      <w:r w:rsidRPr="004D53EC">
        <w:rPr>
          <w:sz w:val="24"/>
          <w:szCs w:val="24"/>
          <w:lang w:val="sq-AL"/>
        </w:rPr>
        <w:t xml:space="preserve">Legjislacioni shqiptar është përshtatur pjesërisht me </w:t>
      </w:r>
      <w:proofErr w:type="spellStart"/>
      <w:r w:rsidRPr="004D53EC">
        <w:rPr>
          <w:i/>
          <w:sz w:val="24"/>
          <w:szCs w:val="24"/>
          <w:lang w:val="sq-AL"/>
        </w:rPr>
        <w:t>acquis</w:t>
      </w:r>
      <w:proofErr w:type="spellEnd"/>
      <w:r w:rsidRPr="004D53EC">
        <w:rPr>
          <w:i/>
          <w:sz w:val="24"/>
          <w:szCs w:val="24"/>
          <w:lang w:val="sq-AL"/>
        </w:rPr>
        <w:t xml:space="preserve"> </w:t>
      </w:r>
      <w:r w:rsidRPr="004D53EC">
        <w:rPr>
          <w:sz w:val="24"/>
          <w:szCs w:val="24"/>
          <w:lang w:val="sq-AL"/>
        </w:rPr>
        <w:t xml:space="preserve">të BE-së për kuadrin e rimëkëmbjes dhe ndërhyrjes së jashtëzakonshme të bankave. Shqipëria duhet të vazhdojë të punojë deri në një harmonizim të plotë me Direktivën II për </w:t>
      </w:r>
      <w:proofErr w:type="spellStart"/>
      <w:r w:rsidRPr="004D53EC">
        <w:rPr>
          <w:sz w:val="24"/>
          <w:szCs w:val="24"/>
          <w:lang w:val="sq-AL"/>
        </w:rPr>
        <w:t>rimbëkëmbjen</w:t>
      </w:r>
      <w:proofErr w:type="spellEnd"/>
      <w:r w:rsidRPr="004D53EC">
        <w:rPr>
          <w:sz w:val="24"/>
          <w:szCs w:val="24"/>
          <w:lang w:val="sq-AL"/>
        </w:rPr>
        <w:t xml:space="preserve"> dhe ndërhyrjen e jashtëzakonshme në banka (</w:t>
      </w:r>
      <w:r w:rsidRPr="004D53EC">
        <w:rPr>
          <w:spacing w:val="-4"/>
          <w:sz w:val="24"/>
          <w:szCs w:val="24"/>
          <w:lang w:val="sq-AL"/>
        </w:rPr>
        <w:t xml:space="preserve">BRRD </w:t>
      </w:r>
      <w:r w:rsidRPr="004D53EC">
        <w:rPr>
          <w:sz w:val="24"/>
          <w:szCs w:val="24"/>
          <w:lang w:val="sq-AL"/>
        </w:rPr>
        <w:t>II). Lidhur me zbatimin e këtij kuadri, duke qenë se të gjitha bankat tani kanë hartuar plane për ndërhyrjen e jashtëzakonshme, BSH kreu inspektime në vend për të gjitha bankat, me qëllim për të përforcuar mundësinë e tyre për ndërhyrje të jashtëzakonshme, si dhe u dha bankave në fjalë rekomandimet përkatëse. Në maj të vitit 2023 u miratua strategjia 2023-2025 për administrimin dhe mbikëqyrjen e rreziqeve financiare të lidhura me klimën e sektorit financiar</w:t>
      </w:r>
      <w:r w:rsidRPr="004D53EC">
        <w:rPr>
          <w:spacing w:val="-2"/>
          <w:sz w:val="24"/>
          <w:szCs w:val="24"/>
          <w:lang w:val="sq-AL"/>
        </w:rPr>
        <w:t>.</w:t>
      </w:r>
    </w:p>
    <w:p w14:paraId="49F0E10D" w14:textId="77777777" w:rsidR="006C790B" w:rsidRPr="004D53EC" w:rsidRDefault="006C790B" w:rsidP="006C790B">
      <w:pPr>
        <w:spacing w:before="120"/>
        <w:ind w:left="979" w:right="976"/>
        <w:jc w:val="both"/>
        <w:rPr>
          <w:sz w:val="24"/>
          <w:szCs w:val="24"/>
          <w:lang w:val="sq-AL"/>
        </w:rPr>
      </w:pPr>
      <w:r w:rsidRPr="004D53EC">
        <w:rPr>
          <w:sz w:val="24"/>
          <w:szCs w:val="24"/>
          <w:lang w:val="sq-AL"/>
        </w:rPr>
        <w:t xml:space="preserve">Legjislacioni shqiptar është pjesërisht i harmonizuar me </w:t>
      </w:r>
      <w:proofErr w:type="spellStart"/>
      <w:r w:rsidRPr="004D53EC">
        <w:rPr>
          <w:i/>
          <w:sz w:val="24"/>
          <w:szCs w:val="24"/>
          <w:lang w:val="sq-AL"/>
        </w:rPr>
        <w:t>acquis</w:t>
      </w:r>
      <w:proofErr w:type="spellEnd"/>
      <w:r w:rsidRPr="004D53EC">
        <w:rPr>
          <w:i/>
          <w:sz w:val="24"/>
          <w:szCs w:val="24"/>
          <w:lang w:val="sq-AL"/>
        </w:rPr>
        <w:t xml:space="preserve"> </w:t>
      </w:r>
      <w:r w:rsidRPr="004D53EC">
        <w:rPr>
          <w:sz w:val="24"/>
          <w:szCs w:val="24"/>
          <w:lang w:val="sq-AL"/>
        </w:rPr>
        <w:t xml:space="preserve">të BE-së për skemat e sigurimit të depozitave. Fushat të cilat nuk janë përshtatur përfshijnë nivelin maksima të mbulimit, </w:t>
      </w:r>
      <w:proofErr w:type="spellStart"/>
      <w:r w:rsidRPr="004D53EC">
        <w:rPr>
          <w:sz w:val="24"/>
          <w:szCs w:val="24"/>
          <w:lang w:val="sq-AL"/>
        </w:rPr>
        <w:t>depozitorët</w:t>
      </w:r>
      <w:proofErr w:type="spellEnd"/>
      <w:r w:rsidRPr="004D53EC">
        <w:rPr>
          <w:sz w:val="24"/>
          <w:szCs w:val="24"/>
          <w:lang w:val="sq-AL"/>
        </w:rPr>
        <w:t xml:space="preserve"> e përjashtuar nga mbulimi dhe periudhën e shlyerjes.</w:t>
      </w:r>
    </w:p>
    <w:p w14:paraId="38F6896A" w14:textId="77777777" w:rsidR="006C790B" w:rsidRPr="004D53EC" w:rsidRDefault="006C790B" w:rsidP="006C790B">
      <w:pPr>
        <w:spacing w:before="120"/>
        <w:ind w:left="979" w:right="975"/>
        <w:jc w:val="both"/>
        <w:rPr>
          <w:sz w:val="24"/>
          <w:szCs w:val="24"/>
          <w:lang w:val="sq-AL"/>
        </w:rPr>
      </w:pPr>
      <w:r w:rsidRPr="004D53EC">
        <w:rPr>
          <w:sz w:val="24"/>
          <w:szCs w:val="24"/>
          <w:lang w:val="sq-AL"/>
        </w:rPr>
        <w:t xml:space="preserve">Në vitin 2023, Banka e Shqipërisë mori një ftesë nga Bordi i Përbashkët i Ndërhyrjes së Jashtëzakonshme (SRB) për të marrë pjesë në takimet e organizuara për ndërhyrjen e jashtëzakonshme, për dy grupet bankare filialet e të cilave operojnë në Shqipëri. Sipas listës së </w:t>
      </w:r>
      <w:proofErr w:type="spellStart"/>
      <w:r w:rsidRPr="004D53EC">
        <w:rPr>
          <w:sz w:val="24"/>
          <w:szCs w:val="24"/>
          <w:lang w:val="sq-AL"/>
        </w:rPr>
        <w:t>Task</w:t>
      </w:r>
      <w:proofErr w:type="spellEnd"/>
      <w:r w:rsidRPr="004D53EC">
        <w:rPr>
          <w:sz w:val="24"/>
          <w:szCs w:val="24"/>
          <w:lang w:val="sq-AL"/>
        </w:rPr>
        <w:t xml:space="preserve"> Forcës së Veprimit Financiar (FATF) së juridiksioneve sipas monitorimit të rritur (</w:t>
      </w:r>
      <w:r w:rsidRPr="004D53EC">
        <w:rPr>
          <w:i/>
          <w:sz w:val="24"/>
          <w:szCs w:val="24"/>
          <w:lang w:val="sq-AL"/>
        </w:rPr>
        <w:t>shih gjithashtu për më shumë detaje Kapitullin 4: Lëvizja e lirë e kapitaleve</w:t>
      </w:r>
      <w:r w:rsidRPr="004D53EC">
        <w:rPr>
          <w:sz w:val="24"/>
          <w:szCs w:val="24"/>
          <w:lang w:val="sq-AL"/>
        </w:rPr>
        <w:t xml:space="preserve">), Shqipëria nuk është vlerësuar për </w:t>
      </w:r>
      <w:proofErr w:type="spellStart"/>
      <w:r w:rsidRPr="004D53EC">
        <w:rPr>
          <w:sz w:val="24"/>
          <w:szCs w:val="24"/>
          <w:lang w:val="sq-AL"/>
        </w:rPr>
        <w:t>baravleshmërinë</w:t>
      </w:r>
      <w:proofErr w:type="spellEnd"/>
      <w:r w:rsidRPr="004D53EC">
        <w:rPr>
          <w:sz w:val="24"/>
          <w:szCs w:val="24"/>
          <w:lang w:val="sq-AL"/>
        </w:rPr>
        <w:t xml:space="preserve"> bankare në përputhje me Rregulloren për Kërkesat e Kapitalit.</w:t>
      </w:r>
    </w:p>
    <w:p w14:paraId="65026B3E" w14:textId="77777777" w:rsidR="006C790B" w:rsidRPr="004D53EC" w:rsidRDefault="006C790B" w:rsidP="006C790B">
      <w:pPr>
        <w:spacing w:before="120"/>
        <w:ind w:left="979" w:right="976"/>
        <w:jc w:val="both"/>
        <w:rPr>
          <w:sz w:val="24"/>
          <w:szCs w:val="24"/>
          <w:lang w:val="sq-AL"/>
        </w:rPr>
      </w:pPr>
      <w:r w:rsidRPr="004D53EC">
        <w:rPr>
          <w:sz w:val="24"/>
          <w:szCs w:val="24"/>
          <w:lang w:val="sq-AL"/>
        </w:rPr>
        <w:t xml:space="preserve">Raporti i kredive me probleme vijoi të ulej (5% në dhjetor 2022 krahasuar me 5.6% në dhjetor 2021). Zbatimi i plotë i ligjit për falimentimin mundëson ekzekutimin e mëtejshëm të Strategjisë së Ndërhyrjes së Jashtëzakonshme për Kreditë e me Probleme. Vendimi ligjor për tarifat e zyrave përmbarimore mundësoi miratimin e procedurës për ekzekutimin e </w:t>
      </w:r>
      <w:proofErr w:type="spellStart"/>
      <w:r w:rsidRPr="004D53EC">
        <w:rPr>
          <w:sz w:val="24"/>
          <w:szCs w:val="24"/>
          <w:lang w:val="sq-AL"/>
        </w:rPr>
        <w:t>kolateralit</w:t>
      </w:r>
      <w:proofErr w:type="spellEnd"/>
      <w:r w:rsidRPr="004D53EC">
        <w:rPr>
          <w:sz w:val="24"/>
          <w:szCs w:val="24"/>
          <w:lang w:val="sq-AL"/>
        </w:rPr>
        <w:t>.</w:t>
      </w:r>
    </w:p>
    <w:p w14:paraId="28D90B28" w14:textId="77777777" w:rsidR="006C790B" w:rsidRPr="004D53EC" w:rsidRDefault="006C790B" w:rsidP="006C790B">
      <w:pPr>
        <w:spacing w:before="120"/>
        <w:ind w:left="979" w:right="976"/>
        <w:jc w:val="both"/>
        <w:rPr>
          <w:sz w:val="24"/>
          <w:szCs w:val="24"/>
          <w:lang w:val="sq-AL"/>
        </w:rPr>
      </w:pPr>
      <w:r w:rsidRPr="004D53EC">
        <w:rPr>
          <w:sz w:val="24"/>
          <w:szCs w:val="24"/>
          <w:lang w:val="sq-AL"/>
        </w:rPr>
        <w:t xml:space="preserve">Në Shqipëri ushtrojnë aktivitetin e tyre bankar njëmbëdhjetë banka (përfshirë dy banka sistematike, të cilat janë filiale të grupeve të huaja). Për identifikimin e bankave të rëndësishme, Shqipëria ka një sistem, i cili është i ngjashëm me praktikën e BE-së. BSH ka një politikë investimesh për </w:t>
      </w:r>
      <w:proofErr w:type="spellStart"/>
      <w:r w:rsidRPr="004D53EC">
        <w:rPr>
          <w:sz w:val="24"/>
          <w:szCs w:val="24"/>
          <w:lang w:val="sq-AL"/>
        </w:rPr>
        <w:t>asetet</w:t>
      </w:r>
      <w:proofErr w:type="spellEnd"/>
      <w:r w:rsidRPr="004D53EC">
        <w:rPr>
          <w:sz w:val="24"/>
          <w:szCs w:val="24"/>
          <w:lang w:val="sq-AL"/>
        </w:rPr>
        <w:t xml:space="preserve"> financiare të fondit të ndërhyrjes së jashtëzakonshme. Sistemi i mbikëqyrjes dhe i rregullimit të sektorit financiar sigurohet nga BSH dhe Autoriteti Kombëtar i Mbikëqyrjes Financiare (AMF), të cilat janë institucione të pavarura që përgjigjen para Kuvendit. Në vitin 2022, BSH kreu 13 inspektime mbikëqyrjeje në vend (krahasuar me 16 inspektime në vitin 2021). Në gjysmën e parë të vitit 2023 u kryen tre inspektime të tjera të plota mbi bankat dhe një inspektim i pjesshëm fokusi i të cilëve ishte zbatimi i standardeve kombëtare të raportimit financiar.</w:t>
      </w:r>
      <w:r w:rsidRPr="004D53EC">
        <w:rPr>
          <w:spacing w:val="-1"/>
          <w:sz w:val="24"/>
          <w:szCs w:val="24"/>
          <w:lang w:val="sq-AL"/>
        </w:rPr>
        <w:t xml:space="preserve"> Katër inspektime të tjera të pjesshme u kryen në tremujorin </w:t>
      </w:r>
      <w:r w:rsidRPr="004D53EC">
        <w:rPr>
          <w:spacing w:val="-1"/>
          <w:sz w:val="24"/>
          <w:szCs w:val="24"/>
          <w:lang w:val="sq-AL"/>
        </w:rPr>
        <w:lastRenderedPageBreak/>
        <w:t>e tretë të vitit</w:t>
      </w:r>
      <w:r w:rsidRPr="004D53EC">
        <w:rPr>
          <w:sz w:val="24"/>
          <w:szCs w:val="24"/>
          <w:lang w:val="sq-AL"/>
        </w:rPr>
        <w:t xml:space="preserve"> 2023. Në periudhën 2018 dhe 2023 janë kryer 81 inspektime në vend, të cilat u shoqëruan me rekomandime për subjektet përkatëse. Shqipëria duhet të përpjekje më të mëdha për ta harmonizuar legjislacionin e saj për tregjet kapital me </w:t>
      </w:r>
      <w:proofErr w:type="spellStart"/>
      <w:r w:rsidRPr="004D53EC">
        <w:rPr>
          <w:i/>
          <w:sz w:val="24"/>
          <w:szCs w:val="24"/>
          <w:lang w:val="sq-AL"/>
        </w:rPr>
        <w:t>acquis</w:t>
      </w:r>
      <w:proofErr w:type="spellEnd"/>
      <w:r w:rsidRPr="004D53EC">
        <w:rPr>
          <w:i/>
          <w:sz w:val="24"/>
          <w:szCs w:val="24"/>
          <w:lang w:val="sq-AL"/>
        </w:rPr>
        <w:t xml:space="preserve"> </w:t>
      </w:r>
      <w:r w:rsidRPr="004D53EC">
        <w:rPr>
          <w:sz w:val="24"/>
          <w:szCs w:val="24"/>
          <w:lang w:val="sq-AL"/>
        </w:rPr>
        <w:t>përkatëse të BE-së</w:t>
      </w:r>
      <w:r w:rsidRPr="004D53EC">
        <w:rPr>
          <w:i/>
          <w:sz w:val="24"/>
          <w:szCs w:val="24"/>
          <w:lang w:val="sq-AL"/>
        </w:rPr>
        <w:t>.</w:t>
      </w:r>
      <w:r w:rsidRPr="004D53EC">
        <w:rPr>
          <w:spacing w:val="-2"/>
          <w:sz w:val="24"/>
          <w:szCs w:val="24"/>
          <w:lang w:val="sq-AL"/>
        </w:rPr>
        <w:t xml:space="preserve"> Në prill, Shqipëria miratoi një dokument politikash për zhvillimin e tregjeve të kapitalit,</w:t>
      </w:r>
      <w:r w:rsidRPr="004D53EC">
        <w:rPr>
          <w:sz w:val="24"/>
          <w:szCs w:val="24"/>
          <w:lang w:val="sq-AL"/>
        </w:rPr>
        <w:t xml:space="preserve"> 2023-2027, dhe në gusht 2023 MFA miratoi strategjinë e Autoritetit të Mbikëqyrjes Financiare për Edukim dhe Përfshirje Financiare 2023-2027.</w:t>
      </w:r>
    </w:p>
    <w:p w14:paraId="298DCB02" w14:textId="77777777" w:rsidR="006C790B" w:rsidRPr="004D53EC" w:rsidRDefault="006C790B" w:rsidP="006C790B">
      <w:pPr>
        <w:spacing w:before="119"/>
        <w:ind w:left="979" w:right="976"/>
        <w:jc w:val="both"/>
        <w:rPr>
          <w:sz w:val="24"/>
          <w:szCs w:val="24"/>
          <w:lang w:val="sq-AL"/>
        </w:rPr>
      </w:pPr>
      <w:r w:rsidRPr="004D53EC">
        <w:rPr>
          <w:sz w:val="24"/>
          <w:szCs w:val="24"/>
          <w:lang w:val="sq-AL"/>
        </w:rPr>
        <w:t xml:space="preserve">Në fushën e </w:t>
      </w:r>
      <w:proofErr w:type="spellStart"/>
      <w:r w:rsidRPr="004D53EC">
        <w:rPr>
          <w:b/>
          <w:sz w:val="24"/>
          <w:szCs w:val="24"/>
          <w:lang w:val="sq-AL"/>
        </w:rPr>
        <w:t>siguracionit</w:t>
      </w:r>
      <w:proofErr w:type="spellEnd"/>
      <w:r w:rsidRPr="004D53EC">
        <w:rPr>
          <w:b/>
          <w:sz w:val="24"/>
          <w:szCs w:val="24"/>
          <w:lang w:val="sq-AL"/>
        </w:rPr>
        <w:t xml:space="preserve"> dhe pensioneve profesionale</w:t>
      </w:r>
      <w:r w:rsidRPr="004D53EC">
        <w:rPr>
          <w:sz w:val="24"/>
          <w:szCs w:val="24"/>
          <w:lang w:val="sq-AL"/>
        </w:rPr>
        <w:t xml:space="preserve">, legjislacioni kombëtar për </w:t>
      </w:r>
      <w:proofErr w:type="spellStart"/>
      <w:r w:rsidRPr="004D53EC">
        <w:rPr>
          <w:sz w:val="24"/>
          <w:szCs w:val="24"/>
          <w:lang w:val="sq-AL"/>
        </w:rPr>
        <w:t>siguracionin</w:t>
      </w:r>
      <w:proofErr w:type="spellEnd"/>
      <w:r w:rsidRPr="004D53EC">
        <w:rPr>
          <w:sz w:val="24"/>
          <w:szCs w:val="24"/>
          <w:lang w:val="sq-AL"/>
        </w:rPr>
        <w:t xml:space="preserve"> e detyrueshëm në sektorin e transportit është hartuar për të qenë në harmoni me </w:t>
      </w:r>
      <w:proofErr w:type="spellStart"/>
      <w:r w:rsidRPr="004D53EC">
        <w:rPr>
          <w:i/>
          <w:sz w:val="24"/>
          <w:szCs w:val="24"/>
          <w:lang w:val="sq-AL"/>
        </w:rPr>
        <w:t>acquis</w:t>
      </w:r>
      <w:proofErr w:type="spellEnd"/>
      <w:r w:rsidRPr="004D53EC">
        <w:rPr>
          <w:i/>
          <w:sz w:val="24"/>
          <w:szCs w:val="24"/>
          <w:lang w:val="sq-AL"/>
        </w:rPr>
        <w:t xml:space="preserve"> </w:t>
      </w:r>
      <w:r w:rsidRPr="004D53EC">
        <w:rPr>
          <w:sz w:val="24"/>
          <w:szCs w:val="24"/>
          <w:lang w:val="sq-AL"/>
        </w:rPr>
        <w:t xml:space="preserve">përkatëse të BE-së. Në ligjin kombëtar parashikohet zbatimi vullnetar i sistemit </w:t>
      </w:r>
      <w:proofErr w:type="spellStart"/>
      <w:r w:rsidRPr="004D53EC">
        <w:rPr>
          <w:i/>
          <w:sz w:val="24"/>
          <w:szCs w:val="24"/>
          <w:lang w:val="sq-AL"/>
        </w:rPr>
        <w:t>bonus-malus</w:t>
      </w:r>
      <w:proofErr w:type="spellEnd"/>
      <w:r w:rsidRPr="004D53EC">
        <w:rPr>
          <w:i/>
          <w:sz w:val="24"/>
          <w:szCs w:val="24"/>
          <w:lang w:val="sq-AL"/>
        </w:rPr>
        <w:t xml:space="preserve"> </w:t>
      </w:r>
      <w:r w:rsidRPr="004D53EC">
        <w:rPr>
          <w:sz w:val="24"/>
          <w:szCs w:val="24"/>
          <w:lang w:val="sq-AL"/>
        </w:rPr>
        <w:t>(</w:t>
      </w:r>
      <w:proofErr w:type="spellStart"/>
      <w:r w:rsidRPr="004D53EC">
        <w:rPr>
          <w:sz w:val="24"/>
          <w:szCs w:val="24"/>
          <w:lang w:val="sq-AL"/>
        </w:rPr>
        <w:t>bonus</w:t>
      </w:r>
      <w:proofErr w:type="spellEnd"/>
      <w:r w:rsidRPr="004D53EC">
        <w:rPr>
          <w:sz w:val="24"/>
          <w:szCs w:val="24"/>
          <w:lang w:val="sq-AL"/>
        </w:rPr>
        <w:t xml:space="preserve"> pa pretendime për pagesë) nga agjencitë e sigurimit. Mundësia për të siguruar prodhimin bujqësor nga katastrofat natyrore (përmbytjet, thatësira dhe zjarret) është e kufizuar. Në shtator 2023, Shqipëria miratoi ligjin për fondet e pensionit privat, i cili u hartuar për të qenë në harmoni me </w:t>
      </w:r>
      <w:proofErr w:type="spellStart"/>
      <w:r w:rsidRPr="004D53EC">
        <w:rPr>
          <w:i/>
          <w:iCs/>
          <w:sz w:val="24"/>
          <w:szCs w:val="24"/>
          <w:lang w:val="sq-AL"/>
        </w:rPr>
        <w:t>acquis</w:t>
      </w:r>
      <w:proofErr w:type="spellEnd"/>
      <w:r w:rsidRPr="004D53EC">
        <w:rPr>
          <w:spacing w:val="-1"/>
          <w:sz w:val="24"/>
          <w:szCs w:val="24"/>
          <w:lang w:val="sq-AL"/>
        </w:rPr>
        <w:t xml:space="preserve"> të BE-së për veprimtarinë dhe mbikëqyrjen e institucioneve të pensionit profesional</w:t>
      </w:r>
      <w:r w:rsidRPr="004D53EC">
        <w:rPr>
          <w:sz w:val="24"/>
          <w:szCs w:val="24"/>
          <w:lang w:val="sq-AL"/>
        </w:rPr>
        <w:t xml:space="preserve"> (IORP II).</w:t>
      </w:r>
    </w:p>
    <w:p w14:paraId="3FB1DE86" w14:textId="77777777" w:rsidR="006C790B" w:rsidRPr="004D53EC" w:rsidRDefault="006C790B" w:rsidP="006C790B">
      <w:pPr>
        <w:spacing w:before="120"/>
        <w:ind w:left="979" w:right="977"/>
        <w:jc w:val="both"/>
        <w:rPr>
          <w:sz w:val="24"/>
          <w:szCs w:val="24"/>
          <w:lang w:val="sq-AL"/>
        </w:rPr>
      </w:pPr>
      <w:r w:rsidRPr="004D53EC">
        <w:rPr>
          <w:sz w:val="24"/>
          <w:szCs w:val="24"/>
          <w:lang w:val="sq-AL"/>
        </w:rPr>
        <w:t xml:space="preserve">Tregu i sigurimit vijon të mbizotërohet nga kompanitë e sigurimit jo-jetë (tetë nga 12 kompanitë e sigurimit janë sigurues jo-jetë, njëra prej të cilave ofron edhe veprimtaritë e </w:t>
      </w:r>
      <w:proofErr w:type="spellStart"/>
      <w:r w:rsidRPr="004D53EC">
        <w:rPr>
          <w:sz w:val="24"/>
          <w:szCs w:val="24"/>
          <w:lang w:val="sq-AL"/>
        </w:rPr>
        <w:t>risigurimit</w:t>
      </w:r>
      <w:proofErr w:type="spellEnd"/>
      <w:r w:rsidRPr="004D53EC">
        <w:rPr>
          <w:sz w:val="24"/>
          <w:szCs w:val="24"/>
          <w:lang w:val="sq-AL"/>
        </w:rPr>
        <w:t xml:space="preserve">). Rezultatet e tregut të sigurimeve ishin pozitive për vitin 2022, dhe kjo kryesisht për shkak të </w:t>
      </w:r>
      <w:proofErr w:type="spellStart"/>
      <w:r w:rsidRPr="004D53EC">
        <w:rPr>
          <w:sz w:val="24"/>
          <w:szCs w:val="24"/>
          <w:lang w:val="sq-AL"/>
        </w:rPr>
        <w:t>performancës</w:t>
      </w:r>
      <w:proofErr w:type="spellEnd"/>
      <w:r w:rsidRPr="004D53EC">
        <w:rPr>
          <w:sz w:val="24"/>
          <w:szCs w:val="24"/>
          <w:lang w:val="sq-AL"/>
        </w:rPr>
        <w:t xml:space="preserve"> së mirë të sektorit të sigurimit jo-jetë. Që prej marsit të vitit 2022, AMF u bë anëtare e Shoqatës Ndërkombëtare të Mbikëqyrësve të Sigurimeve përmes një marrëveshjeje për bashkëpunimin ndërkombëtar të mbikëqyrjes dhe shkëmbimin e informacionit. Në qershor 2023, Shqipëria përfundoi vetë-vlerësimin e nivelit të përputhshmërisë me parimet themelore të IAIS-it. Nga ky vlerësim rezultoi se Shqipëria është në përputhje të plotë me 10 nga 24 parimet dhe ka respektuar në mënyrë të konsiderueshme 12 parimet e tjera. Në maj 2023, AMF miratoi një manual të mbikëqyrjes me bazë rrezikun për tregun e sigurimeve. Gjatë periudhës së raportimit, AMF nënshkroi dy memorandume dypalëshe mirëkuptimi për shkëmbimin e informacioneve dhe bashkëpunimin me homologët e tyre në Maltë, Luksemburg dhe Austri. Në Shqipëri ka pesë fonde </w:t>
      </w:r>
      <w:proofErr w:type="spellStart"/>
      <w:r w:rsidRPr="004D53EC">
        <w:rPr>
          <w:sz w:val="24"/>
          <w:szCs w:val="24"/>
          <w:lang w:val="sq-AL"/>
        </w:rPr>
        <w:t>pensonesh</w:t>
      </w:r>
      <w:proofErr w:type="spellEnd"/>
      <w:r w:rsidRPr="004D53EC">
        <w:rPr>
          <w:sz w:val="24"/>
          <w:szCs w:val="24"/>
          <w:lang w:val="sq-AL"/>
        </w:rPr>
        <w:t xml:space="preserve"> që ofrojnë skemën e pensionit vullnetar privat. Në vitin 2022, këto fonde kishin 36518 anëtarë të regjistruar, me një rritje krahasuar me vitin 2021. Shqipëria duhet të bëjë më tepër përpjekje për ta harmonizuar legjislacionin e saj për pensionet private me </w:t>
      </w:r>
      <w:proofErr w:type="spellStart"/>
      <w:r w:rsidRPr="004D53EC">
        <w:rPr>
          <w:i/>
          <w:sz w:val="24"/>
          <w:szCs w:val="24"/>
          <w:lang w:val="sq-AL"/>
        </w:rPr>
        <w:t>acquis</w:t>
      </w:r>
      <w:proofErr w:type="spellEnd"/>
      <w:r w:rsidRPr="004D53EC">
        <w:rPr>
          <w:i/>
          <w:sz w:val="24"/>
          <w:szCs w:val="24"/>
          <w:lang w:val="sq-AL"/>
        </w:rPr>
        <w:t xml:space="preserve"> </w:t>
      </w:r>
      <w:r w:rsidRPr="004D53EC">
        <w:rPr>
          <w:sz w:val="24"/>
          <w:szCs w:val="24"/>
          <w:lang w:val="sq-AL"/>
        </w:rPr>
        <w:t>përkatëse të BE-së</w:t>
      </w:r>
      <w:r w:rsidRPr="004D53EC">
        <w:rPr>
          <w:i/>
          <w:sz w:val="24"/>
          <w:szCs w:val="24"/>
          <w:lang w:val="sq-AL"/>
        </w:rPr>
        <w:t>.</w:t>
      </w:r>
    </w:p>
    <w:p w14:paraId="25B28982" w14:textId="5E022429" w:rsidR="006C790B" w:rsidRPr="004D53EC" w:rsidRDefault="006C790B" w:rsidP="006C790B">
      <w:pPr>
        <w:spacing w:before="120"/>
        <w:ind w:left="980" w:right="976"/>
        <w:jc w:val="both"/>
        <w:rPr>
          <w:sz w:val="24"/>
          <w:szCs w:val="24"/>
          <w:lang w:val="sq-AL"/>
        </w:rPr>
      </w:pPr>
      <w:r w:rsidRPr="004D53EC">
        <w:rPr>
          <w:sz w:val="24"/>
          <w:szCs w:val="24"/>
          <w:lang w:val="sq-AL"/>
        </w:rPr>
        <w:t>Në lidhje me</w:t>
      </w:r>
      <w:r w:rsidR="004D53EC">
        <w:rPr>
          <w:sz w:val="24"/>
          <w:szCs w:val="24"/>
          <w:lang w:val="sq-AL"/>
        </w:rPr>
        <w:t xml:space="preserve"> </w:t>
      </w:r>
      <w:r w:rsidRPr="004D53EC">
        <w:rPr>
          <w:b/>
          <w:sz w:val="24"/>
          <w:szCs w:val="24"/>
          <w:lang w:val="sq-AL"/>
        </w:rPr>
        <w:t>infrastrukturën e tregjeve financiare</w:t>
      </w:r>
      <w:r w:rsidRPr="004D53EC">
        <w:rPr>
          <w:sz w:val="24"/>
          <w:szCs w:val="24"/>
          <w:lang w:val="sq-AL"/>
        </w:rPr>
        <w:t xml:space="preserve">, Bursa Shqiptare, e cila është një subjekt privat, tregton vetëm obligacione qeveritare. Pas pezullimit të saj në prill 2022, bursa nuk është më e regjistruar si një subjekt i </w:t>
      </w:r>
      <w:proofErr w:type="spellStart"/>
      <w:r w:rsidRPr="004D53EC">
        <w:rPr>
          <w:sz w:val="24"/>
          <w:szCs w:val="24"/>
          <w:lang w:val="sq-AL"/>
        </w:rPr>
        <w:t>licensuar</w:t>
      </w:r>
      <w:proofErr w:type="spellEnd"/>
      <w:r w:rsidRPr="004D53EC">
        <w:rPr>
          <w:sz w:val="24"/>
          <w:szCs w:val="24"/>
          <w:lang w:val="sq-AL"/>
        </w:rPr>
        <w:t xml:space="preserve"> financiar dhe nuk operon më në treg. Depozitari Qendror i Titujve (AFISAR) vazhdon aktivitetin e tij, dhe ky sistem operohet nga BSH-ja. Regjistri Shqiptar i Titujve (ALREG), një shoqëri private, siguron shlyerjen e titujve jo-qeveritarë. ALREG është pjesëmarrës i tërthortë në sistemin shqiptar </w:t>
      </w:r>
      <w:proofErr w:type="spellStart"/>
      <w:r w:rsidRPr="004D53EC">
        <w:rPr>
          <w:sz w:val="24"/>
          <w:szCs w:val="24"/>
          <w:lang w:val="sq-AL"/>
        </w:rPr>
        <w:t>ndërbankar</w:t>
      </w:r>
      <w:proofErr w:type="spellEnd"/>
      <w:r w:rsidRPr="004D53EC">
        <w:rPr>
          <w:sz w:val="24"/>
          <w:szCs w:val="24"/>
          <w:lang w:val="sq-AL"/>
        </w:rPr>
        <w:t xml:space="preserve"> të pagesave të BSH-së.</w:t>
      </w:r>
      <w:r w:rsidR="004D53EC">
        <w:rPr>
          <w:sz w:val="24"/>
          <w:szCs w:val="24"/>
          <w:lang w:val="sq-AL"/>
        </w:rPr>
        <w:t xml:space="preserve"> </w:t>
      </w:r>
      <w:r w:rsidRPr="004D53EC">
        <w:rPr>
          <w:sz w:val="24"/>
          <w:szCs w:val="24"/>
          <w:lang w:val="sq-AL"/>
        </w:rPr>
        <w:t xml:space="preserve">Në marrëveshjen e lidhur ndërmjet BSH-së dhe AMF-së parashikohet se BSH do të jetë përgjegjëse për minimizimin e rrezikut </w:t>
      </w:r>
      <w:proofErr w:type="spellStart"/>
      <w:r w:rsidRPr="004D53EC">
        <w:rPr>
          <w:sz w:val="24"/>
          <w:szCs w:val="24"/>
          <w:lang w:val="sq-AL"/>
        </w:rPr>
        <w:t>sistemik</w:t>
      </w:r>
      <w:proofErr w:type="spellEnd"/>
      <w:r w:rsidRPr="004D53EC">
        <w:rPr>
          <w:sz w:val="24"/>
          <w:szCs w:val="24"/>
          <w:lang w:val="sq-AL"/>
        </w:rPr>
        <w:t xml:space="preserve"> dhe AMF do të jetë përgjegjëse për mbrojtjen e investitorit. AMF-ja miratoi rregulloren për fondin e garancisë, duke bërë që infrastruktura pas-tregtisë të jetë në funksionim të plotë.</w:t>
      </w:r>
    </w:p>
    <w:p w14:paraId="4D51F700" w14:textId="77777777" w:rsidR="006C790B" w:rsidRPr="004D53EC" w:rsidRDefault="006C790B" w:rsidP="006C790B">
      <w:pPr>
        <w:spacing w:before="120"/>
        <w:ind w:left="980" w:right="976"/>
        <w:jc w:val="both"/>
        <w:rPr>
          <w:sz w:val="24"/>
          <w:szCs w:val="24"/>
          <w:lang w:val="sq-AL"/>
        </w:rPr>
      </w:pPr>
      <w:r w:rsidRPr="004D53EC">
        <w:rPr>
          <w:sz w:val="24"/>
          <w:szCs w:val="24"/>
          <w:lang w:val="sq-AL"/>
        </w:rPr>
        <w:t xml:space="preserve">Kuadri rregullator i Shqipërisë për tregjet kapitale është harmonizuar pjesërisht me </w:t>
      </w:r>
      <w:proofErr w:type="spellStart"/>
      <w:r w:rsidRPr="004D53EC">
        <w:rPr>
          <w:sz w:val="24"/>
          <w:szCs w:val="24"/>
          <w:lang w:val="sq-AL"/>
        </w:rPr>
        <w:t>MiFID</w:t>
      </w:r>
      <w:proofErr w:type="spellEnd"/>
      <w:r w:rsidRPr="004D53EC">
        <w:rPr>
          <w:sz w:val="24"/>
          <w:szCs w:val="24"/>
          <w:lang w:val="sq-AL"/>
        </w:rPr>
        <w:t xml:space="preserve"> II dhe </w:t>
      </w:r>
      <w:proofErr w:type="spellStart"/>
      <w:r w:rsidRPr="004D53EC">
        <w:rPr>
          <w:sz w:val="24"/>
          <w:szCs w:val="24"/>
          <w:lang w:val="sq-AL"/>
        </w:rPr>
        <w:t>me</w:t>
      </w:r>
      <w:r w:rsidRPr="004D53EC">
        <w:rPr>
          <w:i/>
          <w:sz w:val="24"/>
          <w:szCs w:val="24"/>
          <w:lang w:val="sq-AL"/>
        </w:rPr>
        <w:t>acquis</w:t>
      </w:r>
      <w:proofErr w:type="spellEnd"/>
      <w:r w:rsidRPr="004D53EC">
        <w:rPr>
          <w:i/>
          <w:sz w:val="24"/>
          <w:szCs w:val="24"/>
          <w:lang w:val="sq-AL"/>
        </w:rPr>
        <w:t xml:space="preserve"> </w:t>
      </w:r>
      <w:r w:rsidRPr="004D53EC">
        <w:rPr>
          <w:sz w:val="24"/>
          <w:szCs w:val="24"/>
          <w:lang w:val="sq-AL"/>
        </w:rPr>
        <w:t xml:space="preserve">të BE-së për transparencën, abuzimin me tregun, prospektet, shlyerjen dhe depozitarët qendrorë të titujve. Gjatë periudhës së raportimit, Shqipëria miratoi katër akte për vënien në zbatim të legjislacionit të hartuar për ta harmonizuar më tej legjislacionin e saj për tregjet kapitale me </w:t>
      </w:r>
      <w:proofErr w:type="spellStart"/>
      <w:r w:rsidRPr="004D53EC">
        <w:rPr>
          <w:i/>
          <w:sz w:val="24"/>
          <w:szCs w:val="24"/>
          <w:lang w:val="sq-AL"/>
        </w:rPr>
        <w:t>aquis</w:t>
      </w:r>
      <w:proofErr w:type="spellEnd"/>
      <w:r w:rsidRPr="004D53EC">
        <w:rPr>
          <w:i/>
          <w:sz w:val="24"/>
          <w:szCs w:val="24"/>
          <w:lang w:val="sq-AL"/>
        </w:rPr>
        <w:t xml:space="preserve"> </w:t>
      </w:r>
      <w:r w:rsidRPr="004D53EC">
        <w:rPr>
          <w:sz w:val="24"/>
          <w:szCs w:val="24"/>
          <w:lang w:val="sq-AL"/>
        </w:rPr>
        <w:t>të BE-së për transparencën, prospektet dhe kompanitë e investimit.</w:t>
      </w:r>
    </w:p>
    <w:p w14:paraId="5C7D8C5F" w14:textId="77777777" w:rsidR="006C790B" w:rsidRPr="004D53EC" w:rsidRDefault="006C790B" w:rsidP="006C790B">
      <w:pPr>
        <w:spacing w:before="119"/>
        <w:ind w:left="979" w:right="976"/>
        <w:jc w:val="both"/>
        <w:rPr>
          <w:sz w:val="24"/>
          <w:szCs w:val="24"/>
          <w:lang w:val="sq-AL"/>
        </w:rPr>
      </w:pPr>
      <w:r w:rsidRPr="004D53EC">
        <w:rPr>
          <w:sz w:val="24"/>
          <w:szCs w:val="24"/>
          <w:lang w:val="sq-AL"/>
        </w:rPr>
        <w:t xml:space="preserve">Tregu shqiptar i kapitalit përbëhet nga dy segmente: i) </w:t>
      </w:r>
      <w:r w:rsidRPr="004D53EC">
        <w:rPr>
          <w:spacing w:val="-2"/>
          <w:sz w:val="24"/>
          <w:szCs w:val="24"/>
          <w:lang w:val="sq-AL"/>
        </w:rPr>
        <w:t>titujt qeveritarë dhe</w:t>
      </w:r>
      <w:r w:rsidRPr="004D53EC">
        <w:rPr>
          <w:sz w:val="24"/>
          <w:szCs w:val="24"/>
          <w:lang w:val="sq-AL"/>
        </w:rPr>
        <w:t xml:space="preserve"> </w:t>
      </w:r>
      <w:proofErr w:type="spellStart"/>
      <w:r w:rsidRPr="004D53EC">
        <w:rPr>
          <w:sz w:val="24"/>
          <w:szCs w:val="24"/>
          <w:lang w:val="sq-AL"/>
        </w:rPr>
        <w:t>ii</w:t>
      </w:r>
      <w:proofErr w:type="spellEnd"/>
      <w:r w:rsidRPr="004D53EC">
        <w:rPr>
          <w:sz w:val="24"/>
          <w:szCs w:val="24"/>
          <w:lang w:val="sq-AL"/>
        </w:rPr>
        <w:t xml:space="preserve">) obligacionet e emetuara përmes ofertës private. Në tregun shqiptar të kapitalit operojnë 13 subjekte, të cilat janë të gjitha banka, me përjashtim të depozitarit qendror të titujve dhe shkëmbimit të titujve </w:t>
      </w:r>
      <w:r w:rsidRPr="004D53EC">
        <w:rPr>
          <w:sz w:val="24"/>
          <w:szCs w:val="24"/>
          <w:lang w:val="sq-AL"/>
        </w:rPr>
        <w:lastRenderedPageBreak/>
        <w:t>jo-</w:t>
      </w:r>
      <w:proofErr w:type="spellStart"/>
      <w:r w:rsidRPr="004D53EC">
        <w:rPr>
          <w:sz w:val="24"/>
          <w:szCs w:val="24"/>
          <w:lang w:val="sq-AL"/>
        </w:rPr>
        <w:t>operacionalë</w:t>
      </w:r>
      <w:proofErr w:type="spellEnd"/>
      <w:r w:rsidRPr="004D53EC">
        <w:rPr>
          <w:spacing w:val="-2"/>
          <w:sz w:val="24"/>
          <w:szCs w:val="24"/>
          <w:lang w:val="sq-AL"/>
        </w:rPr>
        <w:t>.</w:t>
      </w:r>
    </w:p>
    <w:p w14:paraId="577EFC64" w14:textId="77777777" w:rsidR="006C790B" w:rsidRPr="004D53EC" w:rsidRDefault="006C790B" w:rsidP="006C790B">
      <w:pPr>
        <w:spacing w:before="120"/>
        <w:ind w:left="980" w:right="977"/>
        <w:jc w:val="both"/>
        <w:rPr>
          <w:sz w:val="24"/>
          <w:szCs w:val="24"/>
          <w:lang w:val="sq-AL"/>
        </w:rPr>
      </w:pPr>
      <w:r w:rsidRPr="004D53EC">
        <w:rPr>
          <w:sz w:val="24"/>
          <w:szCs w:val="24"/>
          <w:lang w:val="sq-AL"/>
        </w:rPr>
        <w:t xml:space="preserve">Në lidhje me </w:t>
      </w:r>
      <w:r w:rsidRPr="004D53EC">
        <w:rPr>
          <w:b/>
          <w:sz w:val="24"/>
          <w:szCs w:val="24"/>
          <w:lang w:val="sq-AL"/>
        </w:rPr>
        <w:t>tregjet e titujve dhe shërbimet e investimit</w:t>
      </w:r>
      <w:r w:rsidRPr="004D53EC">
        <w:rPr>
          <w:sz w:val="24"/>
          <w:szCs w:val="24"/>
          <w:lang w:val="sq-AL"/>
        </w:rPr>
        <w:t>, AMF vijon të mbikëqyrë tregjet e titujve në përputhje me Ligjin shqiptar për tregjet e kapitalit. Në Shqipëri, tregjet e titujve përbëhen kryesisht nga titujt dhe obligacionet qeveritare të emetuara përmes ofertës private. Në dhjetor 2022, vlera e obligacioneve me ofertë private të regjistruara në ALREG arriti në shumën 90.5 milion Euro. Prezantimi i një platforme digjitale në gusht 2022 bën të mundur ofrimin e shërbimeve të investimit (ofrimi i bonove të thesarit).</w:t>
      </w:r>
    </w:p>
    <w:p w14:paraId="3DA5670A" w14:textId="133216EF" w:rsidR="006C790B" w:rsidRPr="004D53EC" w:rsidRDefault="006C790B" w:rsidP="006C790B">
      <w:pPr>
        <w:spacing w:before="120"/>
        <w:ind w:left="980" w:right="976"/>
        <w:jc w:val="both"/>
        <w:rPr>
          <w:sz w:val="24"/>
          <w:szCs w:val="24"/>
          <w:lang w:val="sq-AL"/>
        </w:rPr>
      </w:pPr>
      <w:r w:rsidRPr="004D53EC">
        <w:rPr>
          <w:sz w:val="24"/>
          <w:szCs w:val="24"/>
          <w:lang w:val="sq-AL"/>
        </w:rPr>
        <w:t xml:space="preserve">Në fushën e </w:t>
      </w:r>
      <w:r w:rsidRPr="004D53EC">
        <w:rPr>
          <w:b/>
          <w:sz w:val="24"/>
          <w:szCs w:val="24"/>
          <w:lang w:val="sq-AL"/>
        </w:rPr>
        <w:t>financës së qëndrueshme dhe digjitale</w:t>
      </w:r>
      <w:r w:rsidRPr="004D53EC">
        <w:rPr>
          <w:sz w:val="24"/>
          <w:szCs w:val="24"/>
          <w:lang w:val="sq-AL"/>
        </w:rPr>
        <w:t xml:space="preserve">, pavarësisht se në strategjinë e AMF-së për vitet 2023-2027 përfshihen veprimet me aspekte të financimit të gjelbër/të qëndrueshëm, Shqipëria duhet të ndërmarrë hapa të mëtejshëm për t’i përshtatur dhe përfshirë aspektet e financimit të qëndrueshëm në kuadrin e saj rregullator dhe ligjor. Gjithashtu, Shqipëria duhet të përfshijë elemente të qëndrueshëm në regjimin e saj të zbulimit për kompanitë jo-financiare dhe financiare, me qëllim që të dhënat e besueshme për ekspozimet me rrezik kredie të bankave të jenë të </w:t>
      </w:r>
      <w:proofErr w:type="spellStart"/>
      <w:r w:rsidRPr="004D53EC">
        <w:rPr>
          <w:sz w:val="24"/>
          <w:szCs w:val="24"/>
          <w:lang w:val="sq-AL"/>
        </w:rPr>
        <w:t>disponueshme</w:t>
      </w:r>
      <w:proofErr w:type="spellEnd"/>
      <w:r w:rsidRPr="004D53EC">
        <w:rPr>
          <w:sz w:val="24"/>
          <w:szCs w:val="24"/>
          <w:lang w:val="sq-AL"/>
        </w:rPr>
        <w:t xml:space="preserve"> dhe, për pasojë, të vërë në zbatim të plotë Strategjinë Afatmesme të Bankës së Shqipërisë për administrimin dhe mbikëqyrjen e rreziqeve financiare të lidhura me klimën në sektorin bankar. Banka e Shqipërisë po bashkëpunon gjithashtu me institucione ndërkombëtare, si Bankën Botërore dhe Fondin Monetar Ndërkombëtar për t’i harmonizuar akoma dhe më shumë aspektet e financës së gjelbër/të qëndrueshme në kuadrin e saj rregullator.</w:t>
      </w:r>
      <w:r w:rsidR="004D53EC">
        <w:rPr>
          <w:sz w:val="24"/>
          <w:szCs w:val="24"/>
          <w:lang w:val="sq-AL"/>
        </w:rPr>
        <w:t xml:space="preserve"> </w:t>
      </w:r>
      <w:r w:rsidRPr="004D53EC">
        <w:rPr>
          <w:sz w:val="24"/>
          <w:szCs w:val="24"/>
          <w:lang w:val="sq-AL"/>
        </w:rPr>
        <w:t>Shqipëria duhet t’i përfshijë parimet e financimit të qëndrueshëm dhe digjital në politikat dhe objektivat strategjike bankare dhe jo-bankare.</w:t>
      </w:r>
    </w:p>
    <w:p w14:paraId="0D6EB4E4" w14:textId="77777777" w:rsidR="006C790B" w:rsidRPr="004D53EC" w:rsidRDefault="006C790B" w:rsidP="006C790B">
      <w:pPr>
        <w:spacing w:before="120"/>
        <w:ind w:left="1040"/>
        <w:jc w:val="both"/>
        <w:outlineLvl w:val="0"/>
        <w:rPr>
          <w:b/>
          <w:bCs/>
          <w:sz w:val="24"/>
          <w:szCs w:val="24"/>
          <w:lang w:val="sq-AL"/>
        </w:rPr>
      </w:pPr>
      <w:r w:rsidRPr="004D53EC">
        <w:rPr>
          <w:b/>
          <w:bCs/>
          <w:spacing w:val="-2"/>
          <w:sz w:val="24"/>
          <w:szCs w:val="24"/>
          <w:lang w:val="sq-AL"/>
        </w:rPr>
        <w:t xml:space="preserve">Kapitulli </w:t>
      </w:r>
      <w:r w:rsidRPr="004D53EC">
        <w:rPr>
          <w:b/>
          <w:bCs/>
          <w:sz w:val="24"/>
          <w:szCs w:val="24"/>
          <w:lang w:val="sq-AL"/>
        </w:rPr>
        <w:t>28:</w:t>
      </w:r>
      <w:r w:rsidRPr="004D53EC">
        <w:rPr>
          <w:b/>
          <w:bCs/>
          <w:spacing w:val="-2"/>
          <w:sz w:val="24"/>
          <w:szCs w:val="24"/>
          <w:lang w:val="sq-AL"/>
        </w:rPr>
        <w:t>Mbrojtja e konsumatorit dhe e shëndetit</w:t>
      </w:r>
    </w:p>
    <w:tbl>
      <w:tblPr>
        <w:tblW w:w="9254" w:type="dxa"/>
        <w:tblInd w:w="871" w:type="dxa"/>
        <w:tblCellMar>
          <w:left w:w="5" w:type="dxa"/>
          <w:right w:w="5" w:type="dxa"/>
        </w:tblCellMar>
        <w:tblLook w:val="01E0" w:firstRow="1" w:lastRow="1" w:firstColumn="1" w:lastColumn="1" w:noHBand="0" w:noVBand="0"/>
      </w:tblPr>
      <w:tblGrid>
        <w:gridCol w:w="9254"/>
      </w:tblGrid>
      <w:tr w:rsidR="006C790B" w:rsidRPr="004D53EC" w14:paraId="0A300CF8" w14:textId="77777777" w:rsidTr="005760FF">
        <w:trPr>
          <w:trHeight w:val="6089"/>
        </w:trPr>
        <w:tc>
          <w:tcPr>
            <w:tcW w:w="9254" w:type="dxa"/>
            <w:tcBorders>
              <w:top w:val="single" w:sz="4" w:space="0" w:color="000000"/>
              <w:left w:val="single" w:sz="4" w:space="0" w:color="000000"/>
              <w:bottom w:val="single" w:sz="4" w:space="0" w:color="000000"/>
              <w:right w:val="single" w:sz="4" w:space="0" w:color="000000"/>
            </w:tcBorders>
            <w:shd w:val="clear" w:color="auto" w:fill="D9D9D9"/>
          </w:tcPr>
          <w:p w14:paraId="108F6FDE" w14:textId="79FA5342" w:rsidR="006C790B" w:rsidRPr="004D53EC" w:rsidRDefault="006C790B" w:rsidP="006C790B">
            <w:pPr>
              <w:spacing w:before="19"/>
              <w:ind w:left="113" w:right="100"/>
              <w:jc w:val="both"/>
              <w:rPr>
                <w:lang w:val="sq-AL"/>
              </w:rPr>
            </w:pPr>
            <w:r w:rsidRPr="004D53EC">
              <w:rPr>
                <w:i/>
                <w:sz w:val="24"/>
                <w:lang w:val="sq-AL"/>
              </w:rPr>
              <w:t xml:space="preserve">Rregullat e BE-së mbrojnë interesat ekonomike të konsumatorëve edhe në lidhje me sigurinë e produktit, imitimet e rrezikshme dhe përgjegjësinë për produktet </w:t>
            </w:r>
            <w:proofErr w:type="spellStart"/>
            <w:r w:rsidRPr="004D53EC">
              <w:rPr>
                <w:i/>
                <w:sz w:val="24"/>
                <w:lang w:val="sq-AL"/>
              </w:rPr>
              <w:t>defektoze</w:t>
            </w:r>
            <w:proofErr w:type="spellEnd"/>
            <w:r w:rsidRPr="004D53EC">
              <w:rPr>
                <w:i/>
                <w:sz w:val="24"/>
                <w:lang w:val="sq-AL"/>
              </w:rPr>
              <w:t xml:space="preserve">. BE-ja siguron gjithashtu standarde të larta të përbashkëta për kontrollin e duhanit, gjakut, indeve, qelizave, organeve, dhe mjekimeve, të cilat mund të përdoren nga njeriu, por edhe për qëllime veterinare. BE-ja ka gjithashtu rregullore për mbrojtjen e të drejtave të pacientëve në kujdesin shëndetësor ndërkufitar, si dhe për përgatitjen dhe reagimin ndaj kërcënimeve serioze të shëndetit ndërkufitar duke përfshirë sëmundje të </w:t>
            </w:r>
            <w:proofErr w:type="spellStart"/>
            <w:r w:rsidRPr="004D53EC">
              <w:rPr>
                <w:i/>
                <w:sz w:val="24"/>
                <w:lang w:val="sq-AL"/>
              </w:rPr>
              <w:t>transmetueshme</w:t>
            </w:r>
            <w:proofErr w:type="spellEnd"/>
            <w:r w:rsidRPr="004D53EC">
              <w:rPr>
                <w:i/>
                <w:sz w:val="24"/>
                <w:lang w:val="sq-AL"/>
              </w:rPr>
              <w:t xml:space="preserve">. </w:t>
            </w:r>
            <w:r w:rsidRPr="004D53EC">
              <w:rPr>
                <w:sz w:val="24"/>
                <w:lang w:val="sq-AL"/>
              </w:rPr>
              <w:t xml:space="preserve">Përgatitjet në fushën e mbrojtjes së konsumatorit dhe të shëndetit janë </w:t>
            </w:r>
            <w:r w:rsidRPr="004D53EC">
              <w:rPr>
                <w:b/>
                <w:sz w:val="24"/>
                <w:lang w:val="sq-AL"/>
              </w:rPr>
              <w:t>në një fazë të hershme</w:t>
            </w:r>
            <w:r w:rsidRPr="004D53EC">
              <w:rPr>
                <w:sz w:val="24"/>
                <w:lang w:val="sq-AL"/>
              </w:rPr>
              <w:t xml:space="preserve">. Ka pasur </w:t>
            </w:r>
            <w:r w:rsidRPr="004D53EC">
              <w:rPr>
                <w:b/>
                <w:sz w:val="24"/>
                <w:lang w:val="sq-AL"/>
              </w:rPr>
              <w:t>progres të kufizuar</w:t>
            </w:r>
            <w:r w:rsidRPr="004D53EC">
              <w:rPr>
                <w:sz w:val="24"/>
                <w:lang w:val="sq-AL"/>
              </w:rPr>
              <w:t xml:space="preserve"> në rekomandimet e vitit të kaluar, të cilat vijojnë të jenë të rëndësishme, përmes harmonizimit me </w:t>
            </w:r>
            <w:proofErr w:type="spellStart"/>
            <w:r w:rsidRPr="004D53EC">
              <w:rPr>
                <w:i/>
                <w:sz w:val="24"/>
                <w:lang w:val="sq-AL"/>
              </w:rPr>
              <w:t>acquis</w:t>
            </w:r>
            <w:proofErr w:type="spellEnd"/>
            <w:r w:rsidRPr="004D53EC">
              <w:rPr>
                <w:i/>
                <w:sz w:val="24"/>
                <w:lang w:val="sq-AL"/>
              </w:rPr>
              <w:t xml:space="preserve"> </w:t>
            </w:r>
            <w:r w:rsidRPr="004D53EC">
              <w:rPr>
                <w:sz w:val="24"/>
                <w:lang w:val="sq-AL"/>
              </w:rPr>
              <w:t xml:space="preserve">të BE-së për kërcënimet </w:t>
            </w:r>
            <w:proofErr w:type="spellStart"/>
            <w:r w:rsidRPr="004D53EC">
              <w:rPr>
                <w:sz w:val="24"/>
                <w:lang w:val="sq-AL"/>
              </w:rPr>
              <w:t>serioe</w:t>
            </w:r>
            <w:proofErr w:type="spellEnd"/>
            <w:r w:rsidRPr="004D53EC">
              <w:rPr>
                <w:sz w:val="24"/>
                <w:lang w:val="sq-AL"/>
              </w:rPr>
              <w:t xml:space="preserve"> të shëndetit ndërkufitar (ndonëse legjislacioni </w:t>
            </w:r>
            <w:r w:rsidR="000857D8">
              <w:rPr>
                <w:sz w:val="24"/>
                <w:lang w:val="sq-AL"/>
              </w:rPr>
              <w:t>z</w:t>
            </w:r>
            <w:r w:rsidRPr="004D53EC">
              <w:rPr>
                <w:sz w:val="24"/>
                <w:lang w:val="sq-AL"/>
              </w:rPr>
              <w:t xml:space="preserve">batues mbetet për t’u miratuar) dhe integrimit të tij në </w:t>
            </w:r>
            <w:r w:rsidR="000857D8" w:rsidRPr="004D53EC">
              <w:rPr>
                <w:sz w:val="24"/>
                <w:lang w:val="sq-AL"/>
              </w:rPr>
              <w:t>sistem</w:t>
            </w:r>
            <w:r w:rsidR="000857D8">
              <w:rPr>
                <w:sz w:val="24"/>
                <w:lang w:val="sq-AL"/>
              </w:rPr>
              <w:t>in</w:t>
            </w:r>
            <w:r w:rsidRPr="004D53EC">
              <w:rPr>
                <w:sz w:val="24"/>
                <w:lang w:val="sq-AL"/>
              </w:rPr>
              <w:t xml:space="preserve"> e mbikëqyrjes së BE-së për COVID-19. Duhet të bëhet ende progres i ndjeshëm, me qëllim për të zbatuar qasjen Një Shëndetësi dhe për të qenë të gatshëm ndaj sëmundjeve të </w:t>
            </w:r>
            <w:proofErr w:type="spellStart"/>
            <w:r w:rsidRPr="004D53EC">
              <w:rPr>
                <w:sz w:val="24"/>
                <w:lang w:val="sq-AL"/>
              </w:rPr>
              <w:t>të</w:t>
            </w:r>
            <w:proofErr w:type="spellEnd"/>
            <w:r w:rsidRPr="004D53EC">
              <w:rPr>
                <w:sz w:val="24"/>
                <w:lang w:val="sq-AL"/>
              </w:rPr>
              <w:t xml:space="preserve"> gjitha rreziqeve, për të përforcuar kuadrin e politikave dhe për të siguruar që gjithsecilit në Shqipëri t’i ofrohet kujdes shëndetësor cilësor. Tani po sigurohen edhe organet për zgjidhjen alternative të mosmarrëveshjeve në sektorët e rregulluar.</w:t>
            </w:r>
          </w:p>
          <w:p w14:paraId="69C3479A" w14:textId="77777777" w:rsidR="006C790B" w:rsidRPr="004D53EC" w:rsidRDefault="006C790B" w:rsidP="006C790B">
            <w:pPr>
              <w:spacing w:before="120"/>
              <w:ind w:left="113"/>
              <w:jc w:val="both"/>
              <w:rPr>
                <w:lang w:val="sq-AL"/>
              </w:rPr>
            </w:pPr>
            <w:r w:rsidRPr="004D53EC">
              <w:rPr>
                <w:sz w:val="24"/>
                <w:lang w:val="sq-AL"/>
              </w:rPr>
              <w:t>Në vitin e ardhshëm, Shqipëria duhet në veçanti</w:t>
            </w:r>
            <w:r w:rsidRPr="004D53EC">
              <w:rPr>
                <w:spacing w:val="-2"/>
                <w:sz w:val="24"/>
                <w:lang w:val="sq-AL"/>
              </w:rPr>
              <w:t>:</w:t>
            </w:r>
          </w:p>
          <w:p w14:paraId="039ED962" w14:textId="56C19B7A" w:rsidR="006C790B" w:rsidRPr="004D53EC" w:rsidRDefault="006C790B" w:rsidP="006C790B">
            <w:pPr>
              <w:spacing w:before="120"/>
              <w:ind w:left="473" w:right="102" w:hanging="360"/>
              <w:jc w:val="both"/>
              <w:rPr>
                <w:lang w:val="sq-AL"/>
              </w:rPr>
            </w:pPr>
            <w:r w:rsidRPr="004D53EC">
              <w:rPr>
                <w:rFonts w:ascii="Symbol" w:hAnsi="Symbol"/>
                <w:sz w:val="24"/>
                <w:lang w:val="sq-AL"/>
              </w:rPr>
              <w:t></w:t>
            </w:r>
            <w:r w:rsidRPr="004D53EC">
              <w:rPr>
                <w:sz w:val="24"/>
                <w:lang w:val="sq-AL"/>
              </w:rPr>
              <w:t xml:space="preserve">të harmonizojë më tej legjislacionin e tij me </w:t>
            </w:r>
            <w:proofErr w:type="spellStart"/>
            <w:r w:rsidRPr="004D53EC">
              <w:rPr>
                <w:sz w:val="24"/>
                <w:lang w:val="sq-AL"/>
              </w:rPr>
              <w:t>acquis</w:t>
            </w:r>
            <w:proofErr w:type="spellEnd"/>
            <w:r w:rsidRPr="004D53EC">
              <w:rPr>
                <w:sz w:val="24"/>
                <w:lang w:val="sq-AL"/>
              </w:rPr>
              <w:t xml:space="preserve"> e BE-së për shëndetësinë, për substancat me origjinë nga njeriu, për mjekimet, të cilat do të përdoren nga njeriu dhe do të kenë gjithashtu edhe përdorim atë veterinar, dhe për kontrollin e duhanit, dhe t´i përmbahet Protokollit të Konventës Kuadër të OBSH-së për të </w:t>
            </w:r>
            <w:r w:rsidR="000857D8" w:rsidRPr="004D53EC">
              <w:rPr>
                <w:sz w:val="24"/>
                <w:lang w:val="sq-AL"/>
              </w:rPr>
              <w:t>Eliminuar</w:t>
            </w:r>
            <w:r w:rsidRPr="004D53EC">
              <w:rPr>
                <w:sz w:val="24"/>
                <w:lang w:val="sq-AL"/>
              </w:rPr>
              <w:t xml:space="preserve"> Tregtinë e Paligjshme në Produktet e Duhanit;</w:t>
            </w:r>
          </w:p>
          <w:p w14:paraId="00063070" w14:textId="77777777" w:rsidR="006C790B" w:rsidRPr="004D53EC" w:rsidRDefault="006C790B" w:rsidP="006C790B">
            <w:pPr>
              <w:spacing w:before="119"/>
              <w:ind w:left="473" w:right="101" w:hanging="360"/>
              <w:jc w:val="both"/>
              <w:rPr>
                <w:lang w:val="sq-AL"/>
              </w:rPr>
            </w:pPr>
            <w:r w:rsidRPr="004D53EC">
              <w:rPr>
                <w:rFonts w:ascii="Symbol" w:hAnsi="Symbol"/>
                <w:sz w:val="24"/>
                <w:lang w:val="sq-AL"/>
              </w:rPr>
              <w:t></w:t>
            </w:r>
            <w:r w:rsidRPr="004D53EC">
              <w:rPr>
                <w:rFonts w:eastAsia="MS Mincho"/>
                <w:color w:val="000000" w:themeColor="text1"/>
                <w:sz w:val="24"/>
                <w:szCs w:val="24"/>
                <w:lang w:val="sq-AL" w:eastAsia="it-IT"/>
              </w:rPr>
              <w:t xml:space="preserve"> </w:t>
            </w:r>
            <w:r w:rsidRPr="004D53EC">
              <w:rPr>
                <w:sz w:val="24"/>
                <w:lang w:val="sq-AL"/>
              </w:rPr>
              <w:t xml:space="preserve">të rrisë burimet njerëzore dhe financiare në sektorin shëndetësor, veçanërisht në sektorin e kujdesit parësor shëndetësor, dhe të përdorë mësimet e nxjerra nga pandemia COVID-19 për të forcuar përgatitjen për emergjencat shëndetësore të </w:t>
            </w:r>
            <w:proofErr w:type="spellStart"/>
            <w:r w:rsidRPr="004D53EC">
              <w:rPr>
                <w:sz w:val="24"/>
                <w:lang w:val="sq-AL"/>
              </w:rPr>
              <w:t>të</w:t>
            </w:r>
            <w:proofErr w:type="spellEnd"/>
            <w:r w:rsidRPr="004D53EC">
              <w:rPr>
                <w:sz w:val="24"/>
                <w:lang w:val="sq-AL"/>
              </w:rPr>
              <w:t xml:space="preserve"> gjithë rreziqeve, si në nivelin qendror ashtu edhe në atë vendor;</w:t>
            </w:r>
          </w:p>
          <w:p w14:paraId="3CFB27BB" w14:textId="5C768E01" w:rsidR="006C790B" w:rsidRPr="000857D8" w:rsidRDefault="006C790B" w:rsidP="000857D8">
            <w:pPr>
              <w:spacing w:before="118"/>
              <w:ind w:left="473" w:right="100" w:hanging="360"/>
              <w:jc w:val="both"/>
              <w:rPr>
                <w:spacing w:val="-2"/>
                <w:sz w:val="24"/>
                <w:lang w:val="sq-AL"/>
              </w:rPr>
            </w:pPr>
            <w:r w:rsidRPr="004D53EC">
              <w:rPr>
                <w:rFonts w:ascii="Symbol" w:hAnsi="Symbol"/>
                <w:sz w:val="24"/>
                <w:lang w:val="sq-AL"/>
              </w:rPr>
              <w:lastRenderedPageBreak/>
              <w:t></w:t>
            </w:r>
            <w:r w:rsidRPr="004D53EC">
              <w:rPr>
                <w:sz w:val="24"/>
                <w:lang w:val="sq-AL"/>
              </w:rPr>
              <w:t>të garantojë përdorimin e barabartë të shërbimeve cilësore shëndetësore për popullsitë e cenueshme duke përfshirë pakicat rome dhe egjiptiane, të moshuarit, personat me probleme të hershme mendore, personat me aftësi të kufizuar, popullsitë rurale dhe të zonave të thella, kryesisht për gratë dhe vajzat që u përkasin grupeve që shpesh përballen me forma të shumta të diskriminimit</w:t>
            </w:r>
            <w:r w:rsidRPr="004D53EC">
              <w:rPr>
                <w:spacing w:val="-2"/>
                <w:sz w:val="24"/>
                <w:lang w:val="sq-AL"/>
              </w:rPr>
              <w:t>.</w:t>
            </w:r>
          </w:p>
        </w:tc>
      </w:tr>
    </w:tbl>
    <w:p w14:paraId="706E33CC" w14:textId="77777777" w:rsidR="006C790B" w:rsidRPr="004D53EC" w:rsidRDefault="006C790B" w:rsidP="006C790B">
      <w:pPr>
        <w:spacing w:before="121"/>
        <w:ind w:left="980"/>
        <w:jc w:val="both"/>
        <w:rPr>
          <w:sz w:val="24"/>
          <w:szCs w:val="24"/>
          <w:lang w:val="sq-AL"/>
        </w:rPr>
      </w:pPr>
      <w:r w:rsidRPr="004D53EC">
        <w:rPr>
          <w:sz w:val="24"/>
          <w:szCs w:val="24"/>
          <w:u w:val="single"/>
          <w:lang w:val="sq-AL"/>
        </w:rPr>
        <w:lastRenderedPageBreak/>
        <w:t>Mbrojtja e konsumatorit</w:t>
      </w:r>
    </w:p>
    <w:p w14:paraId="4EC611AB" w14:textId="72DAEAF8" w:rsidR="006C790B" w:rsidRPr="004D53EC" w:rsidRDefault="006C790B" w:rsidP="006C790B">
      <w:pPr>
        <w:spacing w:before="119"/>
        <w:ind w:left="979" w:right="976"/>
        <w:jc w:val="both"/>
        <w:rPr>
          <w:sz w:val="24"/>
          <w:szCs w:val="24"/>
          <w:lang w:val="sq-AL"/>
        </w:rPr>
      </w:pPr>
      <w:r w:rsidRPr="004D53EC">
        <w:rPr>
          <w:sz w:val="24"/>
          <w:szCs w:val="24"/>
          <w:lang w:val="sq-AL"/>
        </w:rPr>
        <w:t xml:space="preserve">Për </w:t>
      </w:r>
      <w:r w:rsidRPr="004D53EC">
        <w:rPr>
          <w:b/>
          <w:sz w:val="24"/>
          <w:szCs w:val="24"/>
          <w:lang w:val="sq-AL"/>
        </w:rPr>
        <w:t>aspektet horizontale</w:t>
      </w:r>
      <w:r w:rsidRPr="004D53EC">
        <w:rPr>
          <w:sz w:val="24"/>
          <w:szCs w:val="24"/>
          <w:lang w:val="sq-AL"/>
        </w:rPr>
        <w:t xml:space="preserve">, Shqipëria duhet të miratojë strategjinë e saj të 2023-2030 për mbrojtjen e konsumatorit dhe mbikëqyrjen e tregut duke parashikuar politikën e saj aktuale për konsumatorët. Kuadri kombëtar ligjor në këtë fushë janë ligjet shqiptare për mbrojtjen e konsumatorit dhe për sigurinë e përgjithshme të produkteve jo-ushqimore, dhe legjislacioni përkatës kombëtar në fuqi. Gjithsesi, legjislacioni kombëtar nuk është harmonizuar ende me </w:t>
      </w:r>
      <w:proofErr w:type="spellStart"/>
      <w:r w:rsidRPr="004D53EC">
        <w:rPr>
          <w:i/>
          <w:sz w:val="24"/>
          <w:szCs w:val="24"/>
          <w:lang w:val="sq-AL"/>
        </w:rPr>
        <w:t>acquis</w:t>
      </w:r>
      <w:proofErr w:type="spellEnd"/>
      <w:r w:rsidRPr="004D53EC">
        <w:rPr>
          <w:i/>
          <w:sz w:val="24"/>
          <w:szCs w:val="24"/>
          <w:lang w:val="sq-AL"/>
        </w:rPr>
        <w:t xml:space="preserve"> </w:t>
      </w:r>
      <w:r w:rsidRPr="004D53EC">
        <w:rPr>
          <w:sz w:val="24"/>
          <w:szCs w:val="24"/>
          <w:lang w:val="sq-AL"/>
        </w:rPr>
        <w:t xml:space="preserve">të BE-së për planifikimin e udhëtimeve me paketë dhe udhëtimeve të lidhura, ose me </w:t>
      </w:r>
      <w:proofErr w:type="spellStart"/>
      <w:r w:rsidRPr="004D53EC">
        <w:rPr>
          <w:i/>
          <w:sz w:val="24"/>
          <w:szCs w:val="24"/>
          <w:lang w:val="sq-AL"/>
        </w:rPr>
        <w:t>acquis</w:t>
      </w:r>
      <w:proofErr w:type="spellEnd"/>
      <w:r w:rsidRPr="004D53EC">
        <w:rPr>
          <w:i/>
          <w:sz w:val="24"/>
          <w:szCs w:val="24"/>
          <w:lang w:val="sq-AL"/>
        </w:rPr>
        <w:t xml:space="preserve"> </w:t>
      </w:r>
      <w:r w:rsidRPr="004D53EC">
        <w:rPr>
          <w:sz w:val="24"/>
          <w:szCs w:val="24"/>
          <w:lang w:val="sq-AL"/>
        </w:rPr>
        <w:t xml:space="preserve">më të fundit të BE-së për përmbajtjen digjitale. Ai nuk është përshtatur ende me </w:t>
      </w:r>
      <w:proofErr w:type="spellStart"/>
      <w:r w:rsidRPr="004D53EC">
        <w:rPr>
          <w:i/>
          <w:sz w:val="24"/>
          <w:szCs w:val="24"/>
          <w:lang w:val="sq-AL"/>
        </w:rPr>
        <w:t>acquis</w:t>
      </w:r>
      <w:proofErr w:type="spellEnd"/>
      <w:r w:rsidRPr="004D53EC">
        <w:rPr>
          <w:i/>
          <w:sz w:val="24"/>
          <w:szCs w:val="24"/>
          <w:lang w:val="sq-AL"/>
        </w:rPr>
        <w:t xml:space="preserve"> </w:t>
      </w:r>
      <w:r w:rsidRPr="004D53EC">
        <w:rPr>
          <w:sz w:val="24"/>
          <w:szCs w:val="24"/>
          <w:lang w:val="sq-AL"/>
        </w:rPr>
        <w:t xml:space="preserve">e rishikuar të BE-së për shitjen e mallrave ose me ndryshimet në </w:t>
      </w:r>
      <w:proofErr w:type="spellStart"/>
      <w:r w:rsidRPr="004D53EC">
        <w:rPr>
          <w:i/>
          <w:sz w:val="24"/>
          <w:szCs w:val="24"/>
          <w:lang w:val="sq-AL"/>
        </w:rPr>
        <w:t>acquis</w:t>
      </w:r>
      <w:proofErr w:type="spellEnd"/>
      <w:r w:rsidRPr="004D53EC">
        <w:rPr>
          <w:i/>
          <w:sz w:val="24"/>
          <w:szCs w:val="24"/>
          <w:lang w:val="sq-AL"/>
        </w:rPr>
        <w:t xml:space="preserve"> </w:t>
      </w:r>
      <w:r w:rsidRPr="004D53EC">
        <w:rPr>
          <w:sz w:val="24"/>
          <w:szCs w:val="24"/>
          <w:lang w:val="sq-AL"/>
        </w:rPr>
        <w:t xml:space="preserve">të BË-së, të paraqitura nga Direktiva për zbatimin më të mirë dhe modernizimin e rregullave për mbrojtjen e konsumatorit të Unionit. Politika dhe legjislacioni për konsumatorin zbatohen nga Komisioni për Mbrojtjen e Konsumatorit, </w:t>
      </w:r>
      <w:r w:rsidR="000857D8" w:rsidRPr="004D53EC">
        <w:rPr>
          <w:sz w:val="24"/>
          <w:szCs w:val="24"/>
          <w:lang w:val="sq-AL"/>
        </w:rPr>
        <w:t>Inspektorati</w:t>
      </w:r>
      <w:r w:rsidRPr="004D53EC">
        <w:rPr>
          <w:sz w:val="24"/>
          <w:szCs w:val="24"/>
          <w:lang w:val="sq-AL"/>
        </w:rPr>
        <w:t xml:space="preserve"> Shtetëror i Mbikëqyrjes së Tregjeve (ISHMT), Autoriteti i Mbikëqyrjes Financiare, Organet për zgjidhjen alternative të mosmarrëveshjeve në sektorët e rregulluar, qeveria lokale, Autoriteti i Aviacionit Civil dhe autoritetet ligjore. KMK organizoi tre mbledhje në vitin 2022 dhe trajtoi 22 raste, dhe 10 raste të tjera u trajtuan gjatë mbledhjes së tij në prill 2023. Vendimet përkatëse të KMK u publikuan në faqen e tij të internetit. Shqipëria duhet të rrisë burimet njerëzore dhe kapacitetin në shumicën e këtyre organeve, dhe duhet të rrisë koordinimin ndërmjet tyre. Aktualisht, Shqipëria është në negociata e sipër për t’iu bashkuar programit të BE-së për mbrojtjen e konsumatorit, sipas programit për tregun e vetëm të BE-së.</w:t>
      </w:r>
    </w:p>
    <w:p w14:paraId="1FA0B101" w14:textId="77777777" w:rsidR="006C790B" w:rsidRPr="004D53EC" w:rsidRDefault="006C790B" w:rsidP="006C790B">
      <w:pPr>
        <w:spacing w:before="120"/>
        <w:ind w:left="980" w:right="976"/>
        <w:jc w:val="both"/>
        <w:rPr>
          <w:sz w:val="24"/>
          <w:szCs w:val="24"/>
          <w:lang w:val="sq-AL"/>
        </w:rPr>
      </w:pPr>
      <w:r w:rsidRPr="004D53EC">
        <w:rPr>
          <w:sz w:val="24"/>
          <w:szCs w:val="24"/>
          <w:lang w:val="sq-AL"/>
        </w:rPr>
        <w:t xml:space="preserve">Për </w:t>
      </w:r>
      <w:r w:rsidRPr="004D53EC">
        <w:rPr>
          <w:b/>
          <w:sz w:val="24"/>
          <w:szCs w:val="24"/>
          <w:lang w:val="sq-AL"/>
        </w:rPr>
        <w:t>zbatimin dhe rregullimin</w:t>
      </w:r>
      <w:r w:rsidRPr="004D53EC">
        <w:rPr>
          <w:sz w:val="24"/>
          <w:szCs w:val="24"/>
          <w:lang w:val="sq-AL"/>
        </w:rPr>
        <w:t xml:space="preserve">, Shqipëria nuk i ka përditësuar ende </w:t>
      </w:r>
      <w:proofErr w:type="spellStart"/>
      <w:r w:rsidRPr="004D53EC">
        <w:rPr>
          <w:sz w:val="24"/>
          <w:szCs w:val="24"/>
          <w:lang w:val="sq-AL"/>
        </w:rPr>
        <w:t>ende</w:t>
      </w:r>
      <w:proofErr w:type="spellEnd"/>
      <w:r w:rsidRPr="004D53EC">
        <w:rPr>
          <w:sz w:val="24"/>
          <w:szCs w:val="24"/>
          <w:lang w:val="sq-AL"/>
        </w:rPr>
        <w:t xml:space="preserve"> masat e saj ligjore për të zgjeruar më tej kompetencat hetimore dhe zbatuese të autoriteteve kompetente në përputhje me Rregulloren 2017/2394 për bashkëpunimin ndërmjet autoriteteve kombëtare përgjegjëse për zbatimin e ligjeve për mbrojtjen e konsumatorëve. Gjithashtu nuk është përafruar ende me Direktivën 2013/11 për zgjidhjen alternative të mosmarrëveshjeve të konsumatorëve. </w:t>
      </w:r>
    </w:p>
    <w:p w14:paraId="72B32BB5" w14:textId="7C99F6E4" w:rsidR="006C790B" w:rsidRPr="004D53EC" w:rsidRDefault="006C790B" w:rsidP="006C790B">
      <w:pPr>
        <w:spacing w:before="120"/>
        <w:ind w:left="980" w:right="976"/>
        <w:jc w:val="both"/>
        <w:rPr>
          <w:sz w:val="24"/>
          <w:szCs w:val="24"/>
          <w:lang w:val="sq-AL"/>
        </w:rPr>
      </w:pPr>
      <w:r w:rsidRPr="004D53EC">
        <w:rPr>
          <w:sz w:val="24"/>
          <w:szCs w:val="24"/>
          <w:lang w:val="sq-AL"/>
        </w:rPr>
        <w:t xml:space="preserve">Në fushën e </w:t>
      </w:r>
      <w:r w:rsidRPr="004D53EC">
        <w:rPr>
          <w:b/>
          <w:sz w:val="24"/>
          <w:szCs w:val="24"/>
          <w:lang w:val="sq-AL"/>
        </w:rPr>
        <w:t>sigurisë së produktit</w:t>
      </w:r>
      <w:r w:rsidRPr="004D53EC">
        <w:rPr>
          <w:sz w:val="24"/>
          <w:szCs w:val="24"/>
          <w:lang w:val="sq-AL"/>
        </w:rPr>
        <w:t xml:space="preserve">, ligji </w:t>
      </w:r>
      <w:proofErr w:type="spellStart"/>
      <w:r w:rsidRPr="004D53EC">
        <w:rPr>
          <w:sz w:val="24"/>
          <w:szCs w:val="24"/>
          <w:lang w:val="sq-AL"/>
        </w:rPr>
        <w:t>shqipëtar</w:t>
      </w:r>
      <w:proofErr w:type="spellEnd"/>
      <w:r w:rsidRPr="004D53EC">
        <w:rPr>
          <w:sz w:val="24"/>
          <w:szCs w:val="24"/>
          <w:lang w:val="sq-AL"/>
        </w:rPr>
        <w:t xml:space="preserve"> për sigurinë e përgjithshme të produkteve jo-</w:t>
      </w:r>
      <w:r w:rsidRPr="004D53EC">
        <w:rPr>
          <w:sz w:val="24"/>
          <w:szCs w:val="24"/>
          <w:lang w:val="sq-AL"/>
        </w:rPr>
        <w:lastRenderedPageBreak/>
        <w:t xml:space="preserve">ushqimore është hartuar të përafrohet me </w:t>
      </w:r>
      <w:proofErr w:type="spellStart"/>
      <w:r w:rsidRPr="004D53EC">
        <w:rPr>
          <w:i/>
          <w:sz w:val="24"/>
          <w:szCs w:val="24"/>
          <w:lang w:val="sq-AL"/>
        </w:rPr>
        <w:t>acquis</w:t>
      </w:r>
      <w:proofErr w:type="spellEnd"/>
      <w:r w:rsidRPr="004D53EC">
        <w:rPr>
          <w:sz w:val="24"/>
          <w:szCs w:val="24"/>
          <w:lang w:val="sq-AL"/>
        </w:rPr>
        <w:t xml:space="preserve"> të BE-së</w:t>
      </w:r>
      <w:r w:rsidRPr="004D53EC">
        <w:rPr>
          <w:i/>
          <w:sz w:val="24"/>
          <w:szCs w:val="24"/>
          <w:lang w:val="sq-AL"/>
        </w:rPr>
        <w:t xml:space="preserve">, </w:t>
      </w:r>
      <w:r w:rsidRPr="004D53EC">
        <w:rPr>
          <w:sz w:val="24"/>
          <w:szCs w:val="24"/>
          <w:lang w:val="sq-AL"/>
        </w:rPr>
        <w:t>me përjashtim të aspekteve, të cilat</w:t>
      </w:r>
      <w:r w:rsidRPr="004D53EC">
        <w:rPr>
          <w:i/>
          <w:sz w:val="24"/>
          <w:szCs w:val="24"/>
          <w:lang w:val="sq-AL"/>
        </w:rPr>
        <w:t xml:space="preserve"> </w:t>
      </w:r>
      <w:r w:rsidRPr="004D53EC">
        <w:rPr>
          <w:sz w:val="24"/>
          <w:szCs w:val="24"/>
          <w:lang w:val="sq-AL"/>
        </w:rPr>
        <w:t>janë të vlefshme vetëm për shtetet anëtare të BE-së. Kryesisht për sa i përket detyrimeve që janë të lidhura me Portën e Sigurisë, i cili është sistemi i shpejtë i sinjalizimit të BE-së për produktet e rrezikshme jo-</w:t>
      </w:r>
      <w:r w:rsidR="000857D8" w:rsidRPr="004D53EC">
        <w:rPr>
          <w:sz w:val="24"/>
          <w:szCs w:val="24"/>
          <w:lang w:val="sq-AL"/>
        </w:rPr>
        <w:t>ushqimore</w:t>
      </w:r>
      <w:r w:rsidRPr="004D53EC">
        <w:rPr>
          <w:sz w:val="24"/>
          <w:szCs w:val="24"/>
          <w:lang w:val="sq-AL"/>
        </w:rPr>
        <w:t xml:space="preserve">, të quajtura më parë ‘RAPEX’. Legjislacioni shqiptar ka një nivel të kufizuar harmonizimi me </w:t>
      </w:r>
      <w:proofErr w:type="spellStart"/>
      <w:r w:rsidRPr="004D53EC">
        <w:rPr>
          <w:i/>
          <w:sz w:val="24"/>
          <w:szCs w:val="24"/>
          <w:lang w:val="sq-AL"/>
        </w:rPr>
        <w:t>acquis</w:t>
      </w:r>
      <w:proofErr w:type="spellEnd"/>
      <w:r w:rsidRPr="004D53EC">
        <w:rPr>
          <w:i/>
          <w:sz w:val="24"/>
          <w:szCs w:val="24"/>
          <w:lang w:val="sq-AL"/>
        </w:rPr>
        <w:t xml:space="preserve"> </w:t>
      </w:r>
      <w:r w:rsidRPr="004D53EC">
        <w:rPr>
          <w:sz w:val="24"/>
          <w:szCs w:val="24"/>
          <w:lang w:val="sq-AL"/>
        </w:rPr>
        <w:t xml:space="preserve">për detyrimin e </w:t>
      </w:r>
      <w:r w:rsidR="000857D8" w:rsidRPr="004D53EC">
        <w:rPr>
          <w:sz w:val="24"/>
          <w:szCs w:val="24"/>
          <w:lang w:val="sq-AL"/>
        </w:rPr>
        <w:t>produktit</w:t>
      </w:r>
      <w:r w:rsidRPr="004D53EC">
        <w:rPr>
          <w:sz w:val="24"/>
          <w:szCs w:val="24"/>
          <w:lang w:val="sq-AL"/>
        </w:rPr>
        <w:t xml:space="preserve">. </w:t>
      </w:r>
      <w:r w:rsidR="000857D8" w:rsidRPr="004D53EC">
        <w:rPr>
          <w:sz w:val="24"/>
          <w:szCs w:val="24"/>
          <w:lang w:val="sq-AL"/>
        </w:rPr>
        <w:t>Inspektorati</w:t>
      </w:r>
      <w:r w:rsidRPr="004D53EC">
        <w:rPr>
          <w:sz w:val="24"/>
          <w:szCs w:val="24"/>
          <w:lang w:val="sq-AL"/>
        </w:rPr>
        <w:t xml:space="preserve"> Shtetëror për Mbikëqyrjen e Tregut u ristrukturua në qershor 2020 dhe, megjithëse numri i vendeve u rrit nga 69 deri në 80 (69 e stafit janë të punësuar aktualisht), por ai vijon të ketë sërish mungesa në staf. Ai do të vijojë ta rrisë numrin e stafit, përfshirë edhe numrin e inspektorëve. Në vitin 2022, në Shqipëri u kryen mbi 11000 inspektime të mbikëqyrjes së tregut, duke rezultuar në 179 gjoba, 38 masa urgjente dhe 58 produkte të nxjerra nga tregu.</w:t>
      </w:r>
    </w:p>
    <w:p w14:paraId="5EA0AF5F" w14:textId="77777777" w:rsidR="006C790B" w:rsidRPr="004D53EC" w:rsidRDefault="006C790B" w:rsidP="006C790B">
      <w:pPr>
        <w:spacing w:before="120"/>
        <w:ind w:left="979" w:right="975"/>
        <w:jc w:val="both"/>
        <w:rPr>
          <w:sz w:val="24"/>
          <w:szCs w:val="24"/>
          <w:lang w:val="sq-AL"/>
        </w:rPr>
      </w:pPr>
      <w:r w:rsidRPr="004D53EC">
        <w:rPr>
          <w:sz w:val="24"/>
          <w:szCs w:val="24"/>
          <w:lang w:val="sq-AL"/>
        </w:rPr>
        <w:t>Shëndeti publik</w:t>
      </w:r>
    </w:p>
    <w:p w14:paraId="5574A9A6" w14:textId="77777777" w:rsidR="006C790B" w:rsidRPr="004D53EC" w:rsidRDefault="006C790B" w:rsidP="006C790B">
      <w:pPr>
        <w:spacing w:before="120"/>
        <w:ind w:left="979" w:right="975"/>
        <w:jc w:val="both"/>
        <w:rPr>
          <w:sz w:val="24"/>
          <w:szCs w:val="24"/>
          <w:lang w:val="sq-AL"/>
        </w:rPr>
      </w:pPr>
      <w:r w:rsidRPr="004D53EC">
        <w:rPr>
          <w:sz w:val="24"/>
          <w:szCs w:val="24"/>
          <w:lang w:val="sq-AL"/>
        </w:rPr>
        <w:t xml:space="preserve">Për </w:t>
      </w:r>
      <w:r w:rsidRPr="004D53EC">
        <w:rPr>
          <w:b/>
          <w:sz w:val="24"/>
          <w:szCs w:val="24"/>
          <w:lang w:val="sq-AL"/>
        </w:rPr>
        <w:t>shëndetin publik</w:t>
      </w:r>
      <w:r w:rsidRPr="004D53EC">
        <w:rPr>
          <w:sz w:val="24"/>
          <w:szCs w:val="24"/>
          <w:lang w:val="sq-AL"/>
        </w:rPr>
        <w:t>, Shqipëria po zbaton politikën e saj shëndetësore 2021-2030 dhe dokumentin e veprimit 2020-2025 për kujdesin shëndetësor parësor; kjo e fundit synon të trajtojë pabarazitë në shëndetësi. Niveli i shpenzimeve publike për shëndetësinë mbetet i ulët, në 3,04% të PBB-së dhe 9,47% të shpenzimeve totale të qeverisë (sipas të dhënave të qeverisë për vitin 2022), dhe është më i ulët se në shumicën e vendeve në Evropën Juglindore dhe BE.</w:t>
      </w:r>
    </w:p>
    <w:p w14:paraId="779D32D9" w14:textId="3F54417F" w:rsidR="006C790B" w:rsidRPr="004D53EC" w:rsidRDefault="006C790B" w:rsidP="006C790B">
      <w:pPr>
        <w:spacing w:before="120"/>
        <w:ind w:left="979" w:right="975"/>
        <w:jc w:val="both"/>
        <w:rPr>
          <w:sz w:val="24"/>
          <w:szCs w:val="24"/>
          <w:lang w:val="sq-AL"/>
        </w:rPr>
      </w:pPr>
      <w:r w:rsidRPr="004D53EC">
        <w:rPr>
          <w:sz w:val="24"/>
          <w:szCs w:val="24"/>
          <w:lang w:val="sq-AL"/>
        </w:rPr>
        <w:t xml:space="preserve">Financimi i shëndetësisë ka prioritet kujdesin kurativ mbi kujdesin parandalues dhe trajtimin e bazuar në spital mbi kujdesin parësor shëndetësor. Në Shqipëri, jetëgjatësia mesatare në lindje është më e lartë për burrat (80,5 vjet kundrejt 77,4 vjet), por gratë kanë jetë më të shëndetshme se burrat (51,9 vjet kundrejt 54,6 vjet), edhe pse gratë janë më pak të ekspozuara ndaj disa prej faktorëve kryesorë të rrezikut shëndetësor, si pirja e duhanit ose abuzimi me alkoolin. Vdekshmëria </w:t>
      </w:r>
      <w:proofErr w:type="spellStart"/>
      <w:r w:rsidRPr="004D53EC">
        <w:rPr>
          <w:sz w:val="24"/>
          <w:szCs w:val="24"/>
          <w:lang w:val="sq-AL"/>
        </w:rPr>
        <w:t>neonatale</w:t>
      </w:r>
      <w:proofErr w:type="spellEnd"/>
      <w:r w:rsidRPr="004D53EC">
        <w:rPr>
          <w:sz w:val="24"/>
          <w:szCs w:val="24"/>
          <w:lang w:val="sq-AL"/>
        </w:rPr>
        <w:t xml:space="preserve"> në vitin 2021 ishte 7 për 1000 lindje të gjalla, pati një përmirësim në vitin 2020 (8 për 1000), por </w:t>
      </w:r>
      <w:r w:rsidR="000857D8" w:rsidRPr="004D53EC">
        <w:rPr>
          <w:sz w:val="24"/>
          <w:szCs w:val="24"/>
          <w:lang w:val="sq-AL"/>
        </w:rPr>
        <w:t>vijon</w:t>
      </w:r>
      <w:r w:rsidRPr="004D53EC">
        <w:rPr>
          <w:sz w:val="24"/>
          <w:szCs w:val="24"/>
          <w:lang w:val="sq-AL"/>
        </w:rPr>
        <w:t xml:space="preserve"> të mbetet e lartë krahasuar me vendet e tjera të rajonit.</w:t>
      </w:r>
    </w:p>
    <w:p w14:paraId="64B49E19" w14:textId="77777777" w:rsidR="006C790B" w:rsidRPr="004D53EC" w:rsidRDefault="006C790B" w:rsidP="006C790B">
      <w:pPr>
        <w:spacing w:before="119"/>
        <w:ind w:left="979" w:right="976"/>
        <w:jc w:val="both"/>
        <w:rPr>
          <w:sz w:val="24"/>
          <w:szCs w:val="24"/>
          <w:lang w:val="sq-AL"/>
        </w:rPr>
      </w:pPr>
      <w:r w:rsidRPr="004D53EC">
        <w:rPr>
          <w:sz w:val="24"/>
          <w:szCs w:val="24"/>
          <w:lang w:val="sq-AL"/>
        </w:rPr>
        <w:t xml:space="preserve">Ministria e Shëndetësisë dhe Mbrojtjes Sociale (MSHMS) dhe Agjencia Kombëtare e Shoqërisë së Informacionit (AKSHI) janë përgjegjëse për e-shëndetësinë. MSHMS zbaton dhe operon një sistem elektronik për mbledhjen dhe raportimin e informacionit për shëndetësinë të marrë nga kartelat mjekësore të bazuara në Treguesit Qendrorë Evropianë të Shëndetësisë (TQESH). </w:t>
      </w:r>
    </w:p>
    <w:p w14:paraId="00221B40" w14:textId="77777777" w:rsidR="006C790B" w:rsidRPr="004D53EC" w:rsidRDefault="006C790B" w:rsidP="006C790B">
      <w:pPr>
        <w:spacing w:before="119"/>
        <w:ind w:left="979" w:right="976"/>
        <w:jc w:val="both"/>
        <w:rPr>
          <w:sz w:val="24"/>
          <w:szCs w:val="24"/>
          <w:lang w:val="sq-AL"/>
        </w:rPr>
      </w:pPr>
      <w:r w:rsidRPr="004D53EC">
        <w:rPr>
          <w:sz w:val="24"/>
          <w:szCs w:val="24"/>
          <w:lang w:val="sq-AL"/>
        </w:rPr>
        <w:t xml:space="preserve">Receta elektronike të Shqipërisë mbulojnë përshkrimin, regjistrimin, ekzekutimin dhe </w:t>
      </w:r>
      <w:proofErr w:type="spellStart"/>
      <w:r w:rsidRPr="004D53EC">
        <w:rPr>
          <w:sz w:val="24"/>
          <w:szCs w:val="24"/>
          <w:lang w:val="sq-AL"/>
        </w:rPr>
        <w:t>rimbursimin</w:t>
      </w:r>
      <w:proofErr w:type="spellEnd"/>
      <w:r w:rsidRPr="004D53EC">
        <w:rPr>
          <w:sz w:val="24"/>
          <w:szCs w:val="24"/>
          <w:lang w:val="sq-AL"/>
        </w:rPr>
        <w:t xml:space="preserve"> e recetave dhe ka edhe një sistem elektronik magazinimi për produktet farmaceutike. Shqipëria ka gjithashtu një sistem elektronik vizitash për regjistrimin e vizitave të pacientëve në qendrat e kujdesit shëndetësor parësor, një sistem elektronik referimi për digjitalizimin e referimeve dhe një sistem elektronik raportimi për të automatizuar raportet elektronike mjekësore, i cili bën të mundur dërgimin e raporteve elektronike tek punëdhënësit dhe punonjësit, dhe që përfshin nënshkrimet elektronike nga mjekët. Statistikat shëndetësore, infrastruktura shëndetësore, pajisjet dhe burimet njerëzore mbeten të pamjaftueshme, veçanërisht në zonat rurale.</w:t>
      </w:r>
    </w:p>
    <w:p w14:paraId="377C0486" w14:textId="77777777" w:rsidR="006C790B" w:rsidRPr="004D53EC" w:rsidRDefault="006C790B" w:rsidP="006C790B">
      <w:pPr>
        <w:spacing w:before="120"/>
        <w:ind w:left="979" w:right="976"/>
        <w:jc w:val="both"/>
        <w:rPr>
          <w:sz w:val="24"/>
          <w:szCs w:val="24"/>
          <w:lang w:val="sq-AL"/>
        </w:rPr>
      </w:pPr>
      <w:r w:rsidRPr="004D53EC">
        <w:rPr>
          <w:sz w:val="24"/>
          <w:szCs w:val="24"/>
          <w:lang w:val="sq-AL"/>
        </w:rPr>
        <w:t xml:space="preserve">Legjislacioni i Shqipërisë për </w:t>
      </w:r>
      <w:r w:rsidRPr="004D53EC">
        <w:rPr>
          <w:b/>
          <w:sz w:val="24"/>
          <w:szCs w:val="24"/>
          <w:lang w:val="sq-AL"/>
        </w:rPr>
        <w:t>gjakun, indet, qelizat dhe organet</w:t>
      </w:r>
      <w:r w:rsidRPr="004D53EC">
        <w:rPr>
          <w:sz w:val="24"/>
          <w:szCs w:val="24"/>
          <w:lang w:val="sq-AL"/>
        </w:rPr>
        <w:t xml:space="preserve"> nuk është përshtatur plotësisht me </w:t>
      </w:r>
      <w:proofErr w:type="spellStart"/>
      <w:r w:rsidRPr="004D53EC">
        <w:rPr>
          <w:i/>
          <w:sz w:val="24"/>
          <w:szCs w:val="24"/>
          <w:lang w:val="sq-AL"/>
        </w:rPr>
        <w:t>acquis</w:t>
      </w:r>
      <w:proofErr w:type="spellEnd"/>
      <w:r w:rsidRPr="004D53EC">
        <w:rPr>
          <w:sz w:val="24"/>
          <w:szCs w:val="24"/>
          <w:lang w:val="sq-AL"/>
        </w:rPr>
        <w:t xml:space="preserve"> përkatëse të BE-së dhe nuk ka asnjë sistem për të raportuar sinjalet, reagimet serioze të dëmshme, ngjarjet ose për të dhënë </w:t>
      </w:r>
      <w:proofErr w:type="spellStart"/>
      <w:r w:rsidRPr="004D53EC">
        <w:rPr>
          <w:sz w:val="24"/>
          <w:szCs w:val="24"/>
          <w:lang w:val="sq-AL"/>
        </w:rPr>
        <w:t>feedback</w:t>
      </w:r>
      <w:proofErr w:type="spellEnd"/>
      <w:r w:rsidRPr="004D53EC">
        <w:rPr>
          <w:sz w:val="24"/>
          <w:szCs w:val="24"/>
          <w:lang w:val="sq-AL"/>
        </w:rPr>
        <w:t xml:space="preserve">. Shqipëria ka një qendër kombëtare të transfuzionit të gjakut, qendra gjaku rajonale dhe banka gjaku për grumbullim dhe shpërndarje, që përfshin 31 subjekte në total. Shqipëria ka një program të </w:t>
      </w:r>
      <w:proofErr w:type="spellStart"/>
      <w:r w:rsidRPr="004D53EC">
        <w:rPr>
          <w:sz w:val="24"/>
          <w:szCs w:val="24"/>
          <w:lang w:val="sq-AL"/>
        </w:rPr>
        <w:t>transplantit</w:t>
      </w:r>
      <w:proofErr w:type="spellEnd"/>
      <w:r w:rsidRPr="004D53EC">
        <w:rPr>
          <w:sz w:val="24"/>
          <w:szCs w:val="24"/>
          <w:lang w:val="sq-AL"/>
        </w:rPr>
        <w:t xml:space="preserve"> të veshkave, si dhe një protokoll kombëtar për këtë çështje. Shqipëria nuk ka ende kapacitet për të kryer transplantime nga donatorët që kanë ndërruar jetë apo për donacione </w:t>
      </w:r>
      <w:proofErr w:type="spellStart"/>
      <w:r w:rsidRPr="004D53EC">
        <w:rPr>
          <w:sz w:val="24"/>
          <w:szCs w:val="24"/>
          <w:lang w:val="sq-AL"/>
        </w:rPr>
        <w:t>korneale</w:t>
      </w:r>
      <w:proofErr w:type="spellEnd"/>
      <w:r w:rsidRPr="004D53EC">
        <w:rPr>
          <w:sz w:val="24"/>
          <w:szCs w:val="24"/>
          <w:lang w:val="sq-AL"/>
        </w:rPr>
        <w:t>.</w:t>
      </w:r>
    </w:p>
    <w:p w14:paraId="2BC64AD8" w14:textId="672407F6" w:rsidR="006C790B" w:rsidRPr="004D53EC" w:rsidRDefault="006C790B" w:rsidP="006C790B">
      <w:pPr>
        <w:spacing w:before="62"/>
        <w:ind w:left="979" w:right="977"/>
        <w:jc w:val="both"/>
        <w:rPr>
          <w:sz w:val="24"/>
          <w:szCs w:val="24"/>
          <w:lang w:val="sq-AL"/>
        </w:rPr>
      </w:pPr>
      <w:r w:rsidRPr="004D53EC">
        <w:rPr>
          <w:sz w:val="24"/>
          <w:szCs w:val="24"/>
          <w:lang w:val="sq-AL"/>
        </w:rPr>
        <w:t xml:space="preserve">Për </w:t>
      </w:r>
      <w:r w:rsidR="000857D8">
        <w:rPr>
          <w:b/>
          <w:sz w:val="24"/>
          <w:szCs w:val="24"/>
          <w:lang w:val="sq-AL"/>
        </w:rPr>
        <w:t>kontrollin e duhanit</w:t>
      </w:r>
      <w:r w:rsidRPr="004D53EC">
        <w:rPr>
          <w:sz w:val="24"/>
          <w:szCs w:val="24"/>
          <w:lang w:val="sq-AL"/>
        </w:rPr>
        <w:t xml:space="preserve">, legjislacioni kombëtar për produktet e duhanit është hartuar për t'u përafruar me </w:t>
      </w:r>
      <w:proofErr w:type="spellStart"/>
      <w:r w:rsidRPr="004D53EC">
        <w:rPr>
          <w:i/>
          <w:sz w:val="24"/>
          <w:szCs w:val="24"/>
          <w:lang w:val="sq-AL"/>
        </w:rPr>
        <w:t>acquis</w:t>
      </w:r>
      <w:proofErr w:type="spellEnd"/>
      <w:r w:rsidRPr="004D53EC">
        <w:rPr>
          <w:sz w:val="24"/>
          <w:szCs w:val="24"/>
          <w:lang w:val="sq-AL"/>
        </w:rPr>
        <w:t xml:space="preserve"> të BE-së, por Shqipëria duhet ende të aderojë në Protokollin e Konventës Kuadër të Organizatës Botërore të Shëndetësisë për Eliminimin e Tregtisë së Paligjshme të </w:t>
      </w:r>
      <w:r w:rsidRPr="004D53EC">
        <w:rPr>
          <w:sz w:val="24"/>
          <w:szCs w:val="24"/>
          <w:lang w:val="sq-AL"/>
        </w:rPr>
        <w:lastRenderedPageBreak/>
        <w:t xml:space="preserve">Produkteve të Duhanit dhe të harmonizojë më tej legjislacionin e saj për produktet e tjera të duhanit me </w:t>
      </w:r>
      <w:proofErr w:type="spellStart"/>
      <w:r w:rsidRPr="004D53EC">
        <w:rPr>
          <w:i/>
          <w:sz w:val="24"/>
          <w:szCs w:val="24"/>
          <w:lang w:val="sq-AL"/>
        </w:rPr>
        <w:t>acquis</w:t>
      </w:r>
      <w:proofErr w:type="spellEnd"/>
      <w:r w:rsidRPr="004D53EC">
        <w:rPr>
          <w:sz w:val="24"/>
          <w:szCs w:val="24"/>
          <w:lang w:val="sq-AL"/>
        </w:rPr>
        <w:t xml:space="preserve"> e BE-së.</w:t>
      </w:r>
    </w:p>
    <w:p w14:paraId="7132113D" w14:textId="77777777" w:rsidR="006C790B" w:rsidRPr="004D53EC" w:rsidRDefault="006C790B" w:rsidP="006C790B">
      <w:pPr>
        <w:spacing w:before="120"/>
        <w:ind w:left="979" w:right="976"/>
        <w:jc w:val="both"/>
        <w:rPr>
          <w:sz w:val="24"/>
          <w:szCs w:val="24"/>
          <w:lang w:val="sq-AL"/>
        </w:rPr>
      </w:pPr>
      <w:r w:rsidRPr="004D53EC">
        <w:rPr>
          <w:sz w:val="24"/>
          <w:szCs w:val="24"/>
          <w:lang w:val="sq-AL"/>
        </w:rPr>
        <w:t xml:space="preserve">Në fushën e </w:t>
      </w:r>
      <w:r w:rsidRPr="004D53EC">
        <w:rPr>
          <w:b/>
          <w:sz w:val="24"/>
          <w:szCs w:val="24"/>
          <w:lang w:val="sq-AL"/>
        </w:rPr>
        <w:t xml:space="preserve">kërcënimeve serioze të shëndetësisë ndërkufitare duke përfshirë sëmundjet e </w:t>
      </w:r>
      <w:proofErr w:type="spellStart"/>
      <w:r w:rsidRPr="004D53EC">
        <w:rPr>
          <w:b/>
          <w:sz w:val="24"/>
          <w:szCs w:val="24"/>
          <w:lang w:val="sq-AL"/>
        </w:rPr>
        <w:t>transmetueshme</w:t>
      </w:r>
      <w:proofErr w:type="spellEnd"/>
      <w:r w:rsidRPr="004D53EC">
        <w:rPr>
          <w:sz w:val="24"/>
          <w:szCs w:val="24"/>
          <w:lang w:val="sq-AL"/>
        </w:rPr>
        <w:t xml:space="preserve">, baza ligjore është hartuar që të jetë në përputhje me </w:t>
      </w:r>
      <w:proofErr w:type="spellStart"/>
      <w:r w:rsidRPr="004D53EC">
        <w:rPr>
          <w:sz w:val="24"/>
          <w:szCs w:val="24"/>
          <w:lang w:val="sq-AL"/>
        </w:rPr>
        <w:t>acquis</w:t>
      </w:r>
      <w:proofErr w:type="spellEnd"/>
      <w:r w:rsidRPr="004D53EC">
        <w:rPr>
          <w:sz w:val="24"/>
          <w:szCs w:val="24"/>
          <w:lang w:val="sq-AL"/>
        </w:rPr>
        <w:t xml:space="preserve"> të BE-së, por legjislacioni përkatës zbatues mbetet ende për t'u miratuar. Ndërsa Shqipëria ka një plan veprimi për rezistencën </w:t>
      </w:r>
      <w:proofErr w:type="spellStart"/>
      <w:r w:rsidRPr="004D53EC">
        <w:rPr>
          <w:sz w:val="24"/>
          <w:szCs w:val="24"/>
          <w:lang w:val="sq-AL"/>
        </w:rPr>
        <w:t>antimikrobike</w:t>
      </w:r>
      <w:proofErr w:type="spellEnd"/>
      <w:r w:rsidRPr="004D53EC">
        <w:rPr>
          <w:sz w:val="24"/>
          <w:szCs w:val="24"/>
          <w:lang w:val="sq-AL"/>
        </w:rPr>
        <w:t xml:space="preserve">, </w:t>
      </w:r>
      <w:r w:rsidRPr="004D53EC">
        <w:rPr>
          <w:b/>
          <w:sz w:val="24"/>
          <w:szCs w:val="24"/>
          <w:lang w:val="sq-AL"/>
        </w:rPr>
        <w:t>pandemia COVID-19</w:t>
      </w:r>
      <w:r w:rsidRPr="004D53EC">
        <w:rPr>
          <w:sz w:val="24"/>
          <w:szCs w:val="24"/>
          <w:lang w:val="sq-AL"/>
        </w:rPr>
        <w:t xml:space="preserve"> demonstroi mangësi të konsiderueshme. Ajo zgjeroi kapacitetin e sistemit për të ofruar </w:t>
      </w:r>
      <w:proofErr w:type="spellStart"/>
      <w:r w:rsidRPr="004D53EC">
        <w:rPr>
          <w:sz w:val="24"/>
          <w:szCs w:val="24"/>
          <w:lang w:val="sq-AL"/>
        </w:rPr>
        <w:t>akses</w:t>
      </w:r>
      <w:proofErr w:type="spellEnd"/>
      <w:r w:rsidRPr="004D53EC">
        <w:rPr>
          <w:sz w:val="24"/>
          <w:szCs w:val="24"/>
          <w:lang w:val="sq-AL"/>
        </w:rPr>
        <w:t xml:space="preserve"> të menjëhershëm në furnizime mjekësore, pajisje mbrojtëse dhe zgjeroi infrastrukturën digjitale të nevojshme për të ruajtur shërbimet thelbësore dhe për të mbrojtur personelin e kujdesit shëndetësor dhe pacientët, duke demonstruar mungesë burimesh. Shqipëria është nënshkruese e Marrëveshjes së Përbashkët të Prokurimit të BE-së për kundërmasat mjekësore. Është pjesë e Rrjetit Evropian të Mbikëqyrjes COVID-19, duke raportuar të dhënat e COVID-19 në Sistemin Evropian të Mbikëqyrjes (</w:t>
      </w:r>
      <w:proofErr w:type="spellStart"/>
      <w:r w:rsidRPr="004D53EC">
        <w:rPr>
          <w:sz w:val="24"/>
          <w:szCs w:val="24"/>
          <w:lang w:val="sq-AL"/>
        </w:rPr>
        <w:t>TESSy</w:t>
      </w:r>
      <w:proofErr w:type="spellEnd"/>
      <w:r w:rsidRPr="004D53EC">
        <w:rPr>
          <w:sz w:val="24"/>
          <w:szCs w:val="24"/>
          <w:lang w:val="sq-AL"/>
        </w:rPr>
        <w:t xml:space="preserve">) të menaxhuar nga Qendra Evropiane për Parandalimin dhe Kontrollin e Sëmundjeve (ECDC). Është gjithashtu pjesë e rrjeteve të mbikëqyrjes së sëmundjeve </w:t>
      </w:r>
      <w:proofErr w:type="spellStart"/>
      <w:r w:rsidRPr="004D53EC">
        <w:rPr>
          <w:sz w:val="24"/>
          <w:szCs w:val="24"/>
          <w:lang w:val="sq-AL"/>
        </w:rPr>
        <w:t>virale</w:t>
      </w:r>
      <w:proofErr w:type="spellEnd"/>
      <w:r w:rsidRPr="004D53EC">
        <w:rPr>
          <w:sz w:val="24"/>
          <w:szCs w:val="24"/>
          <w:lang w:val="sq-AL"/>
        </w:rPr>
        <w:t xml:space="preserve"> të frymëmarrjes të Qendrës Evropiane, në të cilat raporton për disa sëmundje ngjitëse. Megjithatë, Shqipëria duhet të përmirësojë afatin dhe plotësinë e të dhënave të raportuara që ofron. Në fund të vitit 2022, Shqipëria prezantoi vaksinimin kundër HPV-it për vajzat e moshës 13-vjeçare.</w:t>
      </w:r>
    </w:p>
    <w:p w14:paraId="28CC4A05" w14:textId="701E2AB4" w:rsidR="006C790B" w:rsidRPr="004D53EC" w:rsidRDefault="006C790B" w:rsidP="006C790B">
      <w:pPr>
        <w:spacing w:before="120"/>
        <w:ind w:left="979" w:right="976"/>
        <w:jc w:val="both"/>
        <w:rPr>
          <w:sz w:val="24"/>
          <w:szCs w:val="24"/>
          <w:lang w:val="sq-AL"/>
        </w:rPr>
      </w:pPr>
      <w:r w:rsidRPr="004D53EC">
        <w:rPr>
          <w:sz w:val="24"/>
          <w:szCs w:val="24"/>
          <w:lang w:val="sq-AL"/>
        </w:rPr>
        <w:t xml:space="preserve">Legjislacioni i Shqipërisë për </w:t>
      </w:r>
      <w:r w:rsidRPr="004D53EC">
        <w:rPr>
          <w:b/>
          <w:sz w:val="24"/>
          <w:szCs w:val="24"/>
          <w:lang w:val="sq-AL"/>
        </w:rPr>
        <w:t>të drejtat e pacientëve në kujdesin shëndetësor ndërkufitar</w:t>
      </w:r>
      <w:r w:rsidRPr="004D53EC">
        <w:rPr>
          <w:sz w:val="24"/>
          <w:szCs w:val="24"/>
          <w:lang w:val="sq-AL"/>
        </w:rPr>
        <w:t xml:space="preserve"> nuk është </w:t>
      </w:r>
      <w:r w:rsidR="000857D8" w:rsidRPr="004D53EC">
        <w:rPr>
          <w:sz w:val="24"/>
          <w:szCs w:val="24"/>
          <w:lang w:val="sq-AL"/>
        </w:rPr>
        <w:t>harmonizuar</w:t>
      </w:r>
      <w:r w:rsidRPr="004D53EC">
        <w:rPr>
          <w:sz w:val="24"/>
          <w:szCs w:val="24"/>
          <w:lang w:val="sq-AL"/>
        </w:rPr>
        <w:t xml:space="preserve"> ende me </w:t>
      </w:r>
      <w:proofErr w:type="spellStart"/>
      <w:r w:rsidRPr="004D53EC">
        <w:rPr>
          <w:i/>
          <w:sz w:val="24"/>
          <w:szCs w:val="24"/>
          <w:lang w:val="sq-AL"/>
        </w:rPr>
        <w:t>acquis</w:t>
      </w:r>
      <w:proofErr w:type="spellEnd"/>
      <w:r w:rsidRPr="004D53EC">
        <w:rPr>
          <w:sz w:val="24"/>
          <w:szCs w:val="24"/>
          <w:lang w:val="sq-AL"/>
        </w:rPr>
        <w:t xml:space="preserve"> të BE-së, ndërsa legjislacioni i saj për </w:t>
      </w:r>
      <w:r w:rsidRPr="004D53EC">
        <w:rPr>
          <w:b/>
          <w:sz w:val="24"/>
          <w:szCs w:val="24"/>
          <w:lang w:val="sq-AL"/>
        </w:rPr>
        <w:t>barnat për përdorim njerëzor dhe veterinar</w:t>
      </w:r>
      <w:r w:rsidRPr="004D53EC">
        <w:rPr>
          <w:sz w:val="24"/>
          <w:szCs w:val="24"/>
          <w:lang w:val="sq-AL"/>
        </w:rPr>
        <w:t xml:space="preserve"> është përafruar pjesërisht. Nuk ka pasur progres të dukshëm për standardet në sektorin farmaceutik. Nuk ka ende një legjislacion specifik për të trajtuar rrezikun nga barnat e falsifikuara në furnizimin ligjor, pavarësisht se ka disa dispozita në fuqi për të adresuar këtë rrezik. Duhen përpjekjet të tjera për ta mbrojtur publikun nga produktet e falsifikuara mjekësore dhe për të rritur bashkëpunimin ndërkufitar për </w:t>
      </w:r>
      <w:proofErr w:type="spellStart"/>
      <w:r w:rsidRPr="004D53EC">
        <w:rPr>
          <w:sz w:val="24"/>
          <w:szCs w:val="24"/>
          <w:lang w:val="sq-AL"/>
        </w:rPr>
        <w:t>aksesin</w:t>
      </w:r>
      <w:proofErr w:type="spellEnd"/>
      <w:r w:rsidRPr="004D53EC">
        <w:rPr>
          <w:sz w:val="24"/>
          <w:szCs w:val="24"/>
          <w:lang w:val="sq-AL"/>
        </w:rPr>
        <w:t xml:space="preserve"> e qëndrueshëm ndaj barnave dhe përdorimit të tyre të duhur. Nuk ka pasur asnjë zhvillim ose ekspertizë të </w:t>
      </w:r>
      <w:proofErr w:type="spellStart"/>
      <w:r w:rsidRPr="004D53EC">
        <w:rPr>
          <w:sz w:val="24"/>
          <w:szCs w:val="24"/>
          <w:lang w:val="sq-AL"/>
        </w:rPr>
        <w:t>disponueshme</w:t>
      </w:r>
      <w:proofErr w:type="spellEnd"/>
      <w:r w:rsidRPr="004D53EC">
        <w:rPr>
          <w:sz w:val="24"/>
          <w:szCs w:val="24"/>
          <w:lang w:val="sq-AL"/>
        </w:rPr>
        <w:t xml:space="preserve"> për produktet mjekësore </w:t>
      </w:r>
      <w:proofErr w:type="spellStart"/>
      <w:r w:rsidRPr="004D53EC">
        <w:rPr>
          <w:sz w:val="24"/>
          <w:szCs w:val="24"/>
          <w:lang w:val="sq-AL"/>
        </w:rPr>
        <w:t>pediatrike</w:t>
      </w:r>
      <w:proofErr w:type="spellEnd"/>
      <w:r w:rsidRPr="004D53EC">
        <w:rPr>
          <w:sz w:val="24"/>
          <w:szCs w:val="24"/>
          <w:lang w:val="sq-AL"/>
        </w:rPr>
        <w:t>, produktet mjekësore për diagnozën, produktet mjekësore për jetimët, produktet mjekësore të bazuara në gjene (terapia me gjene), qelizat (terapia me qelizat) ose indet (inxhinieria e indeve). Shqipëria duhet të rrisë investimet dhe kapacitetet në këtë sektor.</w:t>
      </w:r>
    </w:p>
    <w:p w14:paraId="40407B35" w14:textId="77777777" w:rsidR="006C790B" w:rsidRPr="004D53EC" w:rsidRDefault="006C790B" w:rsidP="006C790B">
      <w:pPr>
        <w:spacing w:before="119"/>
        <w:ind w:left="979" w:right="976"/>
        <w:jc w:val="both"/>
        <w:rPr>
          <w:sz w:val="24"/>
          <w:szCs w:val="24"/>
          <w:lang w:val="sq-AL"/>
        </w:rPr>
      </w:pPr>
      <w:r w:rsidRPr="004D53EC">
        <w:rPr>
          <w:sz w:val="24"/>
          <w:szCs w:val="24"/>
          <w:lang w:val="sq-AL"/>
        </w:rPr>
        <w:t xml:space="preserve">Për </w:t>
      </w:r>
      <w:r w:rsidRPr="004D53EC">
        <w:rPr>
          <w:b/>
          <w:sz w:val="24"/>
          <w:szCs w:val="24"/>
          <w:lang w:val="sq-AL"/>
        </w:rPr>
        <w:t>masat parandaluese</w:t>
      </w:r>
      <w:r w:rsidRPr="004D53EC">
        <w:rPr>
          <w:sz w:val="24"/>
          <w:szCs w:val="24"/>
          <w:lang w:val="sq-AL"/>
        </w:rPr>
        <w:t xml:space="preserve">, një plan kombëtar për kontrollin e </w:t>
      </w:r>
      <w:r w:rsidRPr="004D53EC">
        <w:rPr>
          <w:b/>
          <w:sz w:val="24"/>
          <w:szCs w:val="24"/>
          <w:lang w:val="sq-AL"/>
        </w:rPr>
        <w:t>kancerit</w:t>
      </w:r>
      <w:r w:rsidRPr="004D53EC">
        <w:rPr>
          <w:sz w:val="24"/>
          <w:szCs w:val="24"/>
          <w:lang w:val="sq-AL"/>
        </w:rPr>
        <w:t xml:space="preserve"> është në zbatim. Strukturat e duhura për shërbimet e </w:t>
      </w:r>
      <w:proofErr w:type="spellStart"/>
      <w:r w:rsidRPr="004D53EC">
        <w:rPr>
          <w:sz w:val="24"/>
          <w:szCs w:val="24"/>
          <w:lang w:val="sq-AL"/>
        </w:rPr>
        <w:t>depistimit</w:t>
      </w:r>
      <w:proofErr w:type="spellEnd"/>
      <w:r w:rsidRPr="004D53EC">
        <w:rPr>
          <w:sz w:val="24"/>
          <w:szCs w:val="24"/>
          <w:lang w:val="sq-AL"/>
        </w:rPr>
        <w:t xml:space="preserve"> të kancerit janë në zbatim, por ende nuk është krijuar një regjistër për kancerin. </w:t>
      </w:r>
    </w:p>
    <w:p w14:paraId="04C36E7C" w14:textId="77777777" w:rsidR="006C790B" w:rsidRPr="004D53EC" w:rsidRDefault="006C790B" w:rsidP="006C790B">
      <w:pPr>
        <w:spacing w:before="119"/>
        <w:ind w:left="979" w:right="976"/>
        <w:jc w:val="both"/>
        <w:rPr>
          <w:sz w:val="24"/>
          <w:szCs w:val="24"/>
          <w:lang w:val="sq-AL"/>
        </w:rPr>
      </w:pPr>
      <w:r w:rsidRPr="004D53EC">
        <w:rPr>
          <w:sz w:val="24"/>
          <w:szCs w:val="24"/>
          <w:lang w:val="sq-AL"/>
        </w:rPr>
        <w:t xml:space="preserve">Ekziston një program për </w:t>
      </w:r>
      <w:proofErr w:type="spellStart"/>
      <w:r w:rsidRPr="004D53EC">
        <w:rPr>
          <w:sz w:val="24"/>
          <w:szCs w:val="24"/>
          <w:lang w:val="sq-AL"/>
        </w:rPr>
        <w:t>depistimin</w:t>
      </w:r>
      <w:proofErr w:type="spellEnd"/>
      <w:r w:rsidRPr="004D53EC">
        <w:rPr>
          <w:sz w:val="24"/>
          <w:szCs w:val="24"/>
          <w:lang w:val="sq-AL"/>
        </w:rPr>
        <w:t xml:space="preserve"> e kancerit të gjirit, i cili përfshin ekzaminimet sistematike për gratë e moshës 50-60 vjeç, së bashku me ekzaminimet klinike falas të gjirit. </w:t>
      </w:r>
      <w:proofErr w:type="spellStart"/>
      <w:r w:rsidRPr="004D53EC">
        <w:rPr>
          <w:sz w:val="24"/>
          <w:szCs w:val="24"/>
          <w:lang w:val="sq-AL"/>
        </w:rPr>
        <w:t>Depistimi</w:t>
      </w:r>
      <w:proofErr w:type="spellEnd"/>
      <w:r w:rsidRPr="004D53EC">
        <w:rPr>
          <w:sz w:val="24"/>
          <w:szCs w:val="24"/>
          <w:lang w:val="sq-AL"/>
        </w:rPr>
        <w:t xml:space="preserve"> për kancerin </w:t>
      </w:r>
      <w:proofErr w:type="spellStart"/>
      <w:r w:rsidRPr="004D53EC">
        <w:rPr>
          <w:sz w:val="24"/>
          <w:szCs w:val="24"/>
          <w:lang w:val="sq-AL"/>
        </w:rPr>
        <w:t>kolorektal</w:t>
      </w:r>
      <w:proofErr w:type="spellEnd"/>
      <w:r w:rsidRPr="004D53EC">
        <w:rPr>
          <w:sz w:val="24"/>
          <w:szCs w:val="24"/>
          <w:lang w:val="sq-AL"/>
        </w:rPr>
        <w:t xml:space="preserve"> kryhet si pjesë e një programi kontrolli falas që ofrohet çdo vit për të gjithë qytetarët shqiptarë të moshës nga 35 deri në 70 vjeç. Në shtator 2023 Shqipëria miratoi planin e veprimit </w:t>
      </w:r>
      <w:r w:rsidRPr="004D53EC">
        <w:rPr>
          <w:b/>
          <w:sz w:val="24"/>
          <w:szCs w:val="24"/>
          <w:lang w:val="sq-AL"/>
        </w:rPr>
        <w:t>të shëndetit mendor</w:t>
      </w:r>
      <w:r w:rsidRPr="004D53EC">
        <w:rPr>
          <w:sz w:val="24"/>
          <w:szCs w:val="24"/>
          <w:lang w:val="sq-AL"/>
        </w:rPr>
        <w:t xml:space="preserve"> 2023 – 2026, i cili synon të promovojë kujdesin ndaj shëndetit mendor dhe mirëqenies për të gjithë qytetarët.</w:t>
      </w:r>
    </w:p>
    <w:p w14:paraId="5872306F" w14:textId="77777777" w:rsidR="006C790B" w:rsidRPr="004D53EC" w:rsidRDefault="006C790B" w:rsidP="006C790B">
      <w:pPr>
        <w:spacing w:before="120"/>
        <w:ind w:left="979" w:right="976"/>
        <w:jc w:val="both"/>
        <w:rPr>
          <w:sz w:val="24"/>
          <w:szCs w:val="24"/>
          <w:lang w:val="sq-AL"/>
        </w:rPr>
      </w:pPr>
      <w:r w:rsidRPr="004D53EC">
        <w:rPr>
          <w:sz w:val="24"/>
          <w:szCs w:val="24"/>
          <w:lang w:val="sq-AL"/>
        </w:rPr>
        <w:t xml:space="preserve">Sa i përket </w:t>
      </w:r>
      <w:r w:rsidRPr="004D53EC">
        <w:rPr>
          <w:b/>
          <w:sz w:val="24"/>
          <w:szCs w:val="24"/>
          <w:lang w:val="sq-AL"/>
        </w:rPr>
        <w:t>ushqyerjes dhe aktivitetit fizik</w:t>
      </w:r>
      <w:r w:rsidRPr="004D53EC">
        <w:rPr>
          <w:sz w:val="24"/>
          <w:szCs w:val="24"/>
          <w:lang w:val="sq-AL"/>
        </w:rPr>
        <w:t xml:space="preserve">, kequshqyerja mbetet një çështje kritike, veçanërisht për fëmijët dhe gratë shtatzëna. Shqipëria duhet të hartojë një plan ushqimor dhe të rrisë ndërgjegjësimin në shkolla dhe qendrat </w:t>
      </w:r>
      <w:proofErr w:type="spellStart"/>
      <w:r w:rsidRPr="004D53EC">
        <w:rPr>
          <w:sz w:val="24"/>
          <w:szCs w:val="24"/>
          <w:lang w:val="sq-AL"/>
        </w:rPr>
        <w:t>komunitare</w:t>
      </w:r>
      <w:proofErr w:type="spellEnd"/>
      <w:r w:rsidRPr="004D53EC">
        <w:rPr>
          <w:sz w:val="24"/>
          <w:szCs w:val="24"/>
          <w:lang w:val="sq-AL"/>
        </w:rPr>
        <w:t xml:space="preserve"> për rreziqet e kequshqyerjes. Për </w:t>
      </w:r>
      <w:r w:rsidRPr="004D53EC">
        <w:rPr>
          <w:b/>
          <w:sz w:val="24"/>
          <w:szCs w:val="24"/>
          <w:lang w:val="sq-AL"/>
        </w:rPr>
        <w:t>parandalimin e abuzimit me drogën dhe reduktimin e dëmit</w:t>
      </w:r>
      <w:r w:rsidRPr="004D53EC">
        <w:rPr>
          <w:sz w:val="24"/>
          <w:szCs w:val="24"/>
          <w:lang w:val="sq-AL"/>
        </w:rPr>
        <w:t>, aktivitetet parandaluese janë vetëm sporadike dhe duhet të kryhen në një mënyrë më sistematike. Observatorit Kombëtar të Barnave, i themeluar në vitin 2011, duhet t'i vihen në dispozicion burimet e duhura, me qëllim që të jetë në funksionim të plotë.</w:t>
      </w:r>
    </w:p>
    <w:p w14:paraId="2FB904AB" w14:textId="0BEE0716" w:rsidR="006C790B" w:rsidRPr="004D53EC" w:rsidRDefault="006C790B" w:rsidP="006C790B">
      <w:pPr>
        <w:spacing w:before="120"/>
        <w:ind w:left="979" w:right="976"/>
        <w:jc w:val="both"/>
        <w:rPr>
          <w:sz w:val="24"/>
          <w:szCs w:val="24"/>
          <w:lang w:val="sq-AL"/>
        </w:rPr>
      </w:pPr>
      <w:r w:rsidRPr="004D53EC">
        <w:rPr>
          <w:sz w:val="24"/>
          <w:szCs w:val="24"/>
          <w:lang w:val="sq-AL"/>
        </w:rPr>
        <w:t xml:space="preserve">Për </w:t>
      </w:r>
      <w:r w:rsidRPr="004D53EC">
        <w:rPr>
          <w:b/>
          <w:sz w:val="24"/>
          <w:szCs w:val="24"/>
          <w:lang w:val="sq-AL"/>
        </w:rPr>
        <w:t>pabarazitë shëndetësore</w:t>
      </w:r>
      <w:r w:rsidRPr="004D53EC">
        <w:rPr>
          <w:sz w:val="24"/>
          <w:szCs w:val="24"/>
          <w:lang w:val="sq-AL"/>
        </w:rPr>
        <w:t xml:space="preserve">, zbatimi i Strategjisë së Kujdesit Shëndetësor Parësor 2020-2025 duhet të sigurojë që komunitetet e cenueshme të kenë </w:t>
      </w:r>
      <w:proofErr w:type="spellStart"/>
      <w:r w:rsidRPr="004D53EC">
        <w:rPr>
          <w:sz w:val="24"/>
          <w:szCs w:val="24"/>
          <w:lang w:val="sq-AL"/>
        </w:rPr>
        <w:t>akses</w:t>
      </w:r>
      <w:proofErr w:type="spellEnd"/>
      <w:r w:rsidRPr="004D53EC">
        <w:rPr>
          <w:sz w:val="24"/>
          <w:szCs w:val="24"/>
          <w:lang w:val="sq-AL"/>
        </w:rPr>
        <w:t xml:space="preserve"> më të mirë ndaj shërbimeve të kujdesit shëndetësor, si dhe </w:t>
      </w:r>
      <w:r w:rsidR="000857D8">
        <w:rPr>
          <w:sz w:val="24"/>
          <w:szCs w:val="24"/>
          <w:lang w:val="sq-AL"/>
        </w:rPr>
        <w:t>t</w:t>
      </w:r>
      <w:r w:rsidRPr="004D53EC">
        <w:rPr>
          <w:sz w:val="24"/>
          <w:szCs w:val="24"/>
          <w:lang w:val="sq-AL"/>
        </w:rPr>
        <w:t xml:space="preserve">ë sigurojë rritjen e mbulimit për kujdesin shëndetësor parësor të </w:t>
      </w:r>
      <w:r w:rsidRPr="004D53EC">
        <w:rPr>
          <w:sz w:val="24"/>
          <w:szCs w:val="24"/>
          <w:lang w:val="sq-AL"/>
        </w:rPr>
        <w:lastRenderedPageBreak/>
        <w:t xml:space="preserve">komunitetit, duke i dhënë përparësi grupeve të </w:t>
      </w:r>
      <w:r w:rsidR="000857D8" w:rsidRPr="004D53EC">
        <w:rPr>
          <w:sz w:val="24"/>
          <w:szCs w:val="24"/>
          <w:lang w:val="sq-AL"/>
        </w:rPr>
        <w:t>cenueshme</w:t>
      </w:r>
      <w:r w:rsidRPr="004D53EC">
        <w:rPr>
          <w:sz w:val="24"/>
          <w:szCs w:val="24"/>
          <w:lang w:val="sq-AL"/>
        </w:rPr>
        <w:t xml:space="preserve">. Pabarazitë shëndetësore kanë një ndikim të veçantë te gratë, veçanërisht gratë nga zonat rurale dhe komunitetet e </w:t>
      </w:r>
      <w:proofErr w:type="spellStart"/>
      <w:r w:rsidRPr="004D53EC">
        <w:rPr>
          <w:sz w:val="24"/>
          <w:szCs w:val="24"/>
          <w:lang w:val="sq-AL"/>
        </w:rPr>
        <w:t>pafavorizuara</w:t>
      </w:r>
      <w:proofErr w:type="spellEnd"/>
      <w:r w:rsidRPr="004D53EC">
        <w:rPr>
          <w:sz w:val="24"/>
          <w:szCs w:val="24"/>
          <w:lang w:val="sq-AL"/>
        </w:rPr>
        <w:t xml:space="preserve">, gratë me aftësi të kufizuara, gratë rome dhe egjiptiane (të cilat përballen me problemet e </w:t>
      </w:r>
      <w:proofErr w:type="spellStart"/>
      <w:r w:rsidRPr="004D53EC">
        <w:rPr>
          <w:sz w:val="24"/>
          <w:szCs w:val="24"/>
          <w:lang w:val="sq-AL"/>
        </w:rPr>
        <w:t>aksesit</w:t>
      </w:r>
      <w:proofErr w:type="spellEnd"/>
      <w:r w:rsidRPr="004D53EC">
        <w:rPr>
          <w:sz w:val="24"/>
          <w:szCs w:val="24"/>
          <w:lang w:val="sq-AL"/>
        </w:rPr>
        <w:t xml:space="preserve"> në abortin), personat e grupit të LGBTIQ-se dhe gratë </w:t>
      </w:r>
      <w:proofErr w:type="spellStart"/>
      <w:r w:rsidRPr="004D53EC">
        <w:rPr>
          <w:sz w:val="24"/>
          <w:szCs w:val="24"/>
          <w:lang w:val="sq-AL"/>
        </w:rPr>
        <w:t>migrante</w:t>
      </w:r>
      <w:proofErr w:type="spellEnd"/>
      <w:r w:rsidRPr="004D53EC">
        <w:rPr>
          <w:sz w:val="24"/>
          <w:szCs w:val="24"/>
          <w:lang w:val="sq-AL"/>
        </w:rPr>
        <w:t>. Nevojiten përpjekje të mëtejshme që kujdesi shëndetësor t’u ofrohet edhe personave me aftësi të kufizuara dhe popullatave në zonat rurale dhe të largëta, dhe që shërbimet e shëndetit mendor për fëmijët të përmirësohen.</w:t>
      </w:r>
    </w:p>
    <w:p w14:paraId="67F4CEA3" w14:textId="77777777" w:rsidR="006C790B" w:rsidRPr="004D53EC" w:rsidRDefault="006C790B" w:rsidP="006C790B">
      <w:pPr>
        <w:spacing w:before="120"/>
        <w:ind w:left="979" w:right="976"/>
        <w:jc w:val="both"/>
        <w:rPr>
          <w:sz w:val="24"/>
          <w:szCs w:val="24"/>
          <w:lang w:val="sq-AL"/>
        </w:rPr>
      </w:pPr>
      <w:r w:rsidRPr="004D53EC">
        <w:rPr>
          <w:sz w:val="24"/>
          <w:szCs w:val="24"/>
          <w:lang w:val="sq-AL"/>
        </w:rPr>
        <w:t xml:space="preserve">Plani kombëtar për barazi, përfshirje dhe pjesëmarrjen e pakicave rome dhe egjiptiane 2021-2025, i hartuar për të përmirësuar </w:t>
      </w:r>
      <w:proofErr w:type="spellStart"/>
      <w:r w:rsidRPr="004D53EC">
        <w:rPr>
          <w:sz w:val="24"/>
          <w:szCs w:val="24"/>
          <w:lang w:val="sq-AL"/>
        </w:rPr>
        <w:t>aksesin</w:t>
      </w:r>
      <w:proofErr w:type="spellEnd"/>
      <w:r w:rsidRPr="004D53EC">
        <w:rPr>
          <w:sz w:val="24"/>
          <w:szCs w:val="24"/>
          <w:lang w:val="sq-AL"/>
        </w:rPr>
        <w:t xml:space="preserve"> e tyre në kujdesin shëndetësor, është në vazhdim. Ka pasur një rritje të lehtë të numrit të romëve dhe egjiptianëve në vendbanimet </w:t>
      </w:r>
      <w:proofErr w:type="spellStart"/>
      <w:r w:rsidRPr="004D53EC">
        <w:rPr>
          <w:sz w:val="24"/>
          <w:szCs w:val="24"/>
          <w:lang w:val="sq-AL"/>
        </w:rPr>
        <w:t>informale</w:t>
      </w:r>
      <w:proofErr w:type="spellEnd"/>
      <w:r w:rsidRPr="004D53EC">
        <w:rPr>
          <w:sz w:val="24"/>
          <w:szCs w:val="24"/>
          <w:lang w:val="sq-AL"/>
        </w:rPr>
        <w:t xml:space="preserve"> që përfitojnë nga shërbimet shëndetësore. Megjithatë, pozicioni i krijuar së fundmi i ndërmjetësuesit shëndetësor rom dhe egjiptian nuk është ende funksional dhe ata vazhdojnë të përballen me pengesa për të përdorur shërbimet shëndetësore. Mbulimi i sigurimit shëndetësor për romët dhe egjiptianët mbetet i ulët.</w:t>
      </w:r>
    </w:p>
    <w:p w14:paraId="35A83E19" w14:textId="77777777" w:rsidR="006C790B" w:rsidRPr="004D53EC" w:rsidRDefault="006C790B" w:rsidP="006C790B">
      <w:pPr>
        <w:spacing w:before="120"/>
        <w:ind w:left="979" w:right="976"/>
        <w:jc w:val="both"/>
        <w:rPr>
          <w:sz w:val="24"/>
          <w:szCs w:val="24"/>
          <w:lang w:val="sq-AL"/>
        </w:rPr>
      </w:pPr>
      <w:r w:rsidRPr="004D53EC">
        <w:rPr>
          <w:sz w:val="24"/>
          <w:szCs w:val="24"/>
          <w:lang w:val="sq-AL"/>
        </w:rPr>
        <w:t xml:space="preserve">Për sa i përket </w:t>
      </w:r>
      <w:proofErr w:type="spellStart"/>
      <w:r w:rsidRPr="004D53EC">
        <w:rPr>
          <w:sz w:val="24"/>
          <w:szCs w:val="24"/>
          <w:lang w:val="sq-AL"/>
        </w:rPr>
        <w:t>antikorrupsionit</w:t>
      </w:r>
      <w:proofErr w:type="spellEnd"/>
      <w:r w:rsidRPr="004D53EC">
        <w:rPr>
          <w:sz w:val="24"/>
          <w:szCs w:val="24"/>
          <w:lang w:val="sq-AL"/>
        </w:rPr>
        <w:t xml:space="preserve"> në lidhje me mbrojtjen e konsumatorit, agjencitë dhe administrata doganore që sigurojnë mbikëqyrjen e tregut, kanë rregulla për transparencën, etikën dhe konfliktin e interesit, dhe janë subjekt i </w:t>
      </w:r>
      <w:proofErr w:type="spellStart"/>
      <w:r w:rsidRPr="004D53EC">
        <w:rPr>
          <w:sz w:val="24"/>
          <w:szCs w:val="24"/>
          <w:lang w:val="sq-AL"/>
        </w:rPr>
        <w:t>auditimeve</w:t>
      </w:r>
      <w:proofErr w:type="spellEnd"/>
      <w:r w:rsidRPr="004D53EC">
        <w:rPr>
          <w:sz w:val="24"/>
          <w:szCs w:val="24"/>
          <w:lang w:val="sq-AL"/>
        </w:rPr>
        <w:t>. Për sa i përket publikut, ka masa specifike kundër korrupsionit për produktet kozmetike dhe ka gjithashtu edhe sisteme për të kontrolluar prodhuesit farmaceutikë dhe për të gjurmuar stoqet e barnave veterinare. Agjencia kombëtare e barnave ka në fuqi një sërë dispozitash kundër korrupsionit dhe sinjalizuesve.</w:t>
      </w:r>
    </w:p>
    <w:p w14:paraId="12631ABA" w14:textId="77777777" w:rsidR="006C790B" w:rsidRPr="004D53EC" w:rsidRDefault="006C790B" w:rsidP="006C790B">
      <w:pPr>
        <w:spacing w:before="120"/>
        <w:ind w:left="979"/>
        <w:jc w:val="both"/>
        <w:rPr>
          <w:b/>
          <w:spacing w:val="-2"/>
          <w:sz w:val="24"/>
          <w:lang w:val="sq-AL"/>
        </w:rPr>
      </w:pPr>
      <w:bookmarkStart w:id="69" w:name="Cluster_3%253A_Competitiveness_and_inclu"/>
      <w:bookmarkStart w:id="70" w:name="_bookmark44"/>
      <w:bookmarkStart w:id="71" w:name="_Toc83193446"/>
      <w:bookmarkStart w:id="72" w:name="_Toc115364541"/>
      <w:bookmarkEnd w:id="69"/>
      <w:bookmarkEnd w:id="70"/>
      <w:r w:rsidRPr="004D53EC">
        <w:rPr>
          <w:b/>
          <w:spacing w:val="-2"/>
          <w:sz w:val="24"/>
          <w:lang w:val="sq-AL"/>
        </w:rPr>
        <w:t xml:space="preserve">Grupi 3: </w:t>
      </w:r>
      <w:proofErr w:type="spellStart"/>
      <w:r w:rsidRPr="004D53EC">
        <w:rPr>
          <w:b/>
          <w:spacing w:val="-2"/>
          <w:sz w:val="24"/>
          <w:lang w:val="sq-AL"/>
        </w:rPr>
        <w:t>Konkurrueshmëria</w:t>
      </w:r>
      <w:proofErr w:type="spellEnd"/>
      <w:r w:rsidRPr="004D53EC">
        <w:rPr>
          <w:b/>
          <w:spacing w:val="-2"/>
          <w:sz w:val="24"/>
          <w:lang w:val="sq-AL"/>
        </w:rPr>
        <w:t xml:space="preserve"> dhe Rritja Gjithëpërfshirëse </w:t>
      </w:r>
      <w:bookmarkEnd w:id="71"/>
      <w:bookmarkEnd w:id="72"/>
    </w:p>
    <w:p w14:paraId="7F051CA5" w14:textId="77777777" w:rsidR="006C790B" w:rsidRPr="004D53EC" w:rsidRDefault="006C790B" w:rsidP="006C790B">
      <w:pPr>
        <w:spacing w:before="120"/>
        <w:ind w:left="980" w:right="976"/>
        <w:jc w:val="both"/>
        <w:rPr>
          <w:sz w:val="24"/>
          <w:szCs w:val="24"/>
          <w:lang w:val="sq-AL"/>
        </w:rPr>
      </w:pPr>
      <w:r w:rsidRPr="004D53EC">
        <w:rPr>
          <w:sz w:val="24"/>
          <w:szCs w:val="24"/>
          <w:lang w:val="sq-AL"/>
        </w:rPr>
        <w:t xml:space="preserve">Ky grupim mbulon: transformimin digjital dhe median (Kapitulli 10); tatimin (Kapitulli 16); politikën ekonomike dhe monetare (Kapitulli 17); politikën sociale dhe punësimin (Kapitulli 19); politikën industriale (Kapitulli 20), shkencën dhe kërkimin (Kapitulli 25); arsimin dhe kulturën (Kapitulli 26); dhe doganat (Kapitulli 29). </w:t>
      </w:r>
    </w:p>
    <w:p w14:paraId="0228E64C" w14:textId="77777777" w:rsidR="006C790B" w:rsidRPr="004D53EC" w:rsidRDefault="006C790B" w:rsidP="006C790B">
      <w:pPr>
        <w:spacing w:before="120"/>
        <w:ind w:left="979" w:right="976"/>
        <w:jc w:val="both"/>
        <w:rPr>
          <w:sz w:val="24"/>
          <w:szCs w:val="24"/>
          <w:lang w:val="sq-AL"/>
        </w:rPr>
      </w:pPr>
      <w:r w:rsidRPr="004D53EC">
        <w:rPr>
          <w:sz w:val="24"/>
          <w:szCs w:val="24"/>
          <w:lang w:val="sq-AL"/>
        </w:rPr>
        <w:t xml:space="preserve">Shqipëria ka një nivel përgatitjeje mesatare në shumë fusha të lidhura me </w:t>
      </w:r>
      <w:proofErr w:type="spellStart"/>
      <w:r w:rsidRPr="004D53EC">
        <w:rPr>
          <w:sz w:val="24"/>
          <w:szCs w:val="24"/>
          <w:lang w:val="sq-AL"/>
        </w:rPr>
        <w:t>konkurrueshmërinë</w:t>
      </w:r>
      <w:proofErr w:type="spellEnd"/>
      <w:r w:rsidRPr="004D53EC">
        <w:rPr>
          <w:sz w:val="24"/>
          <w:szCs w:val="24"/>
          <w:lang w:val="sq-AL"/>
        </w:rPr>
        <w:t xml:space="preserve"> dhe rritjen gjithëpërfshirëse, përkatësisht transformimin digjital dhe median, tatimin, politikën ekonomike dhe monetare, sipërmarrjen dhe politikën industriale, arsimin dhe kulturën, dhe doganën. </w:t>
      </w:r>
    </w:p>
    <w:p w14:paraId="7617AAED" w14:textId="77777777" w:rsidR="006C790B" w:rsidRPr="004D53EC" w:rsidRDefault="006C790B" w:rsidP="006C790B">
      <w:pPr>
        <w:spacing w:before="120"/>
        <w:ind w:left="979" w:right="976"/>
        <w:jc w:val="both"/>
        <w:rPr>
          <w:sz w:val="24"/>
          <w:szCs w:val="24"/>
          <w:lang w:val="sq-AL"/>
        </w:rPr>
      </w:pPr>
      <w:r w:rsidRPr="004D53EC">
        <w:rPr>
          <w:sz w:val="24"/>
          <w:szCs w:val="24"/>
          <w:lang w:val="sq-AL"/>
        </w:rPr>
        <w:t>Shqipëria ka përgatitje të mjaftueshme shkencore dhe kërkimore. Vendi ka bërë përparim të mirë në transformimin digjital dhe median, duke iu bashkuar në 2023programit të Evropës digjitale, dhe në sipërmarrje dhe politikën industriale. Gjithashtu, ajo ka bërë përparim të kufizuar në fushën e tatimeve. Vendi ka një nivel përgatitjeje mesatare dhe të mirë për politikën ekonomike dhe monetare, pasi qeverisja dhe politika monetare e Bankës së Shqipërisë ishin të përshtatshme dhe efektive për të përballuar krizën e shkaktuar nga lufta e Rusisë kundër Ukrainës; nevojiten më shumë përpjekje për pavarësinë e saj. Me përparimin e kufizuar të bërë në bashkimin doganor, kërkohen më shumë përpjekje gjithashtu në luftën kundër kontrabandës, korrupsionit dhe importeve të produkteve të falsifikuara.</w:t>
      </w:r>
    </w:p>
    <w:p w14:paraId="05054495" w14:textId="77777777" w:rsidR="006C790B" w:rsidRPr="004D53EC" w:rsidRDefault="006C790B" w:rsidP="006C790B">
      <w:pPr>
        <w:spacing w:before="119"/>
        <w:ind w:left="980" w:right="977"/>
        <w:jc w:val="both"/>
        <w:rPr>
          <w:sz w:val="24"/>
          <w:szCs w:val="24"/>
          <w:lang w:val="sq-AL"/>
        </w:rPr>
      </w:pPr>
      <w:r w:rsidRPr="004D53EC">
        <w:rPr>
          <w:sz w:val="24"/>
          <w:szCs w:val="24"/>
          <w:lang w:val="sq-AL"/>
        </w:rPr>
        <w:t xml:space="preserve">Ky grupim dhe reformat përkatëse kanë lidhje të konsiderueshme me Programin për Reformën ekonomike të Shqipërisë. Reformat socio-ekonomike duhet të respektohen pasi ato ndihmojnë në adresimin e pikave të dobëta strukturore ekzistuese, </w:t>
      </w:r>
      <w:proofErr w:type="spellStart"/>
      <w:r w:rsidRPr="004D53EC">
        <w:rPr>
          <w:sz w:val="24"/>
          <w:szCs w:val="24"/>
          <w:lang w:val="sq-AL"/>
        </w:rPr>
        <w:t>konkurrueshmërinë</w:t>
      </w:r>
      <w:proofErr w:type="spellEnd"/>
      <w:r w:rsidRPr="004D53EC">
        <w:rPr>
          <w:sz w:val="24"/>
          <w:szCs w:val="24"/>
          <w:lang w:val="sq-AL"/>
        </w:rPr>
        <w:t xml:space="preserve"> e ulët, nivelin e lartë të papunësinë, si edhe ndikimin ekonomik luftës së Rusisë kundër Ukrainës. </w:t>
      </w:r>
    </w:p>
    <w:p w14:paraId="3624C3B3" w14:textId="77777777" w:rsidR="006C790B" w:rsidRPr="004D53EC" w:rsidRDefault="006C790B" w:rsidP="006C790B">
      <w:pPr>
        <w:spacing w:before="120"/>
        <w:ind w:left="1040"/>
        <w:jc w:val="both"/>
        <w:outlineLvl w:val="0"/>
        <w:rPr>
          <w:b/>
          <w:bCs/>
          <w:sz w:val="24"/>
          <w:szCs w:val="24"/>
          <w:lang w:val="sq-AL"/>
        </w:rPr>
      </w:pPr>
      <w:bookmarkStart w:id="73" w:name="Chapter_10%253A_Digital_transformation_a"/>
      <w:bookmarkStart w:id="74" w:name="_bookmark45"/>
      <w:bookmarkStart w:id="75" w:name="_Toc83193447"/>
      <w:bookmarkStart w:id="76" w:name="_Toc115364542"/>
      <w:bookmarkEnd w:id="73"/>
      <w:bookmarkEnd w:id="74"/>
      <w:r w:rsidRPr="004D53EC">
        <w:rPr>
          <w:b/>
          <w:bCs/>
          <w:sz w:val="24"/>
          <w:szCs w:val="24"/>
          <w:lang w:val="sq-AL"/>
        </w:rPr>
        <w:t xml:space="preserve">Kapitulli 10: Transformimi digjital dhe media </w:t>
      </w:r>
      <w:bookmarkEnd w:id="75"/>
      <w:bookmarkEnd w:id="76"/>
    </w:p>
    <w:p w14:paraId="3B746D04" w14:textId="459290E9" w:rsidR="006C790B" w:rsidRPr="004D53EC" w:rsidRDefault="006C790B" w:rsidP="006C790B">
      <w:pPr>
        <w:spacing w:before="120"/>
        <w:ind w:left="980" w:right="976"/>
        <w:jc w:val="both"/>
        <w:rPr>
          <w:i/>
          <w:sz w:val="24"/>
          <w:lang w:val="sq-AL"/>
        </w:rPr>
      </w:pPr>
      <w:r w:rsidRPr="004D53EC">
        <w:rPr>
          <w:i/>
          <w:sz w:val="24"/>
          <w:lang w:val="sq-AL"/>
        </w:rPr>
        <w:t>BE-ja mbështet funksionimin e pa probleme të tregut të brendshëm për komunikimet elektronike,</w:t>
      </w:r>
      <w:r w:rsidR="000857D8">
        <w:rPr>
          <w:i/>
          <w:sz w:val="24"/>
          <w:lang w:val="sq-AL"/>
        </w:rPr>
        <w:t xml:space="preserve"> </w:t>
      </w:r>
      <w:r w:rsidRPr="004D53EC">
        <w:rPr>
          <w:i/>
          <w:sz w:val="24"/>
          <w:lang w:val="sq-AL"/>
        </w:rPr>
        <w:t>tregtinë elektronike dhe shërbimet audio-</w:t>
      </w:r>
      <w:proofErr w:type="spellStart"/>
      <w:r w:rsidRPr="004D53EC">
        <w:rPr>
          <w:i/>
          <w:sz w:val="24"/>
          <w:lang w:val="sq-AL"/>
        </w:rPr>
        <w:t>vizive</w:t>
      </w:r>
      <w:proofErr w:type="spellEnd"/>
      <w:r w:rsidRPr="004D53EC">
        <w:rPr>
          <w:i/>
          <w:sz w:val="24"/>
          <w:lang w:val="sq-AL"/>
        </w:rPr>
        <w:t xml:space="preserve">. Rregullat mbrojnë konsumatorin dhe mbështesin </w:t>
      </w:r>
      <w:proofErr w:type="spellStart"/>
      <w:r w:rsidRPr="004D53EC">
        <w:rPr>
          <w:i/>
          <w:sz w:val="24"/>
          <w:lang w:val="sq-AL"/>
        </w:rPr>
        <w:t>disponueshmërinë</w:t>
      </w:r>
      <w:proofErr w:type="spellEnd"/>
      <w:r w:rsidRPr="004D53EC">
        <w:rPr>
          <w:i/>
          <w:sz w:val="24"/>
          <w:lang w:val="sq-AL"/>
        </w:rPr>
        <w:t xml:space="preserve"> e përgjithshme të shërbimeve moderne. </w:t>
      </w:r>
    </w:p>
    <w:p w14:paraId="7C86F4C3" w14:textId="77777777" w:rsidR="006C790B" w:rsidRPr="004D53EC" w:rsidRDefault="006C790B" w:rsidP="006C790B">
      <w:pPr>
        <w:spacing w:before="120"/>
        <w:ind w:left="980" w:right="976"/>
        <w:jc w:val="both"/>
        <w:rPr>
          <w:lang w:val="sq-AL"/>
        </w:rPr>
      </w:pPr>
    </w:p>
    <w:p w14:paraId="6068D386" w14:textId="77777777" w:rsidR="006C790B" w:rsidRPr="004D53EC" w:rsidRDefault="006C790B" w:rsidP="006C790B">
      <w:pPr>
        <w:spacing w:before="6"/>
        <w:rPr>
          <w:i/>
          <w:sz w:val="10"/>
          <w:szCs w:val="24"/>
          <w:lang w:val="sq-AL"/>
        </w:rPr>
      </w:pPr>
    </w:p>
    <w:tbl>
      <w:tblPr>
        <w:tblW w:w="9254" w:type="dxa"/>
        <w:tblInd w:w="871" w:type="dxa"/>
        <w:tblCellMar>
          <w:left w:w="5" w:type="dxa"/>
          <w:right w:w="5" w:type="dxa"/>
        </w:tblCellMar>
        <w:tblLook w:val="01E0" w:firstRow="1" w:lastRow="1" w:firstColumn="1" w:lastColumn="1" w:noHBand="0" w:noVBand="0"/>
      </w:tblPr>
      <w:tblGrid>
        <w:gridCol w:w="9254"/>
      </w:tblGrid>
      <w:tr w:rsidR="006C790B" w:rsidRPr="004D53EC" w14:paraId="60A1B165" w14:textId="77777777" w:rsidTr="005760FF">
        <w:trPr>
          <w:trHeight w:val="305"/>
        </w:trPr>
        <w:tc>
          <w:tcPr>
            <w:tcW w:w="9254" w:type="dxa"/>
            <w:tcBorders>
              <w:top w:val="single" w:sz="4" w:space="0" w:color="000000"/>
              <w:left w:val="single" w:sz="4" w:space="0" w:color="000000"/>
              <w:right w:val="single" w:sz="4" w:space="0" w:color="000000"/>
            </w:tcBorders>
            <w:shd w:val="clear" w:color="auto" w:fill="D9D9D9"/>
          </w:tcPr>
          <w:p w14:paraId="3087B118" w14:textId="77777777" w:rsidR="006C790B" w:rsidRPr="004D53EC" w:rsidRDefault="006C790B" w:rsidP="006C790B">
            <w:pPr>
              <w:spacing w:before="120"/>
              <w:ind w:left="113"/>
              <w:jc w:val="both"/>
              <w:rPr>
                <w:sz w:val="24"/>
                <w:lang w:val="sq-AL"/>
              </w:rPr>
            </w:pPr>
            <w:r w:rsidRPr="004D53EC">
              <w:rPr>
                <w:sz w:val="24"/>
                <w:lang w:val="sq-AL"/>
              </w:rPr>
              <w:t xml:space="preserve">Shqipëria ka përgatitje mesatare në fushën e transformimit digjital dhe të medias. Është bërë përparim i mirë në ndjekjen e rekomandimeve të raportit të vitit të kaluar, me zbatimin e agjendës digjitale 2022-2026 dhe shërbimet e qeverisjes elektronike që ofrojnë 95% të shërbimeve publike </w:t>
            </w:r>
            <w:proofErr w:type="spellStart"/>
            <w:r w:rsidRPr="004D53EC">
              <w:rPr>
                <w:sz w:val="24"/>
                <w:lang w:val="sq-AL"/>
              </w:rPr>
              <w:t>online</w:t>
            </w:r>
            <w:proofErr w:type="spellEnd"/>
            <w:r w:rsidRPr="004D53EC">
              <w:rPr>
                <w:sz w:val="24"/>
                <w:lang w:val="sq-AL"/>
              </w:rPr>
              <w:t xml:space="preserve">. Nuk është miratuar ende një ligj për komunikimin elektronik për t'u përshtatur me Kodin e ri Evropian të Komunikimeve Elektronike. Ligji për mediat </w:t>
            </w:r>
            <w:proofErr w:type="spellStart"/>
            <w:r w:rsidRPr="004D53EC">
              <w:rPr>
                <w:sz w:val="24"/>
                <w:lang w:val="sq-AL"/>
              </w:rPr>
              <w:t>audiovizive</w:t>
            </w:r>
            <w:proofErr w:type="spellEnd"/>
            <w:r w:rsidRPr="004D53EC">
              <w:rPr>
                <w:sz w:val="24"/>
                <w:lang w:val="sq-AL"/>
              </w:rPr>
              <w:t xml:space="preserve"> u ndryshua në maj 2023, për t'u harmonizuar me Direktivën e BE-së të vitit 2018 për shërbimet e mediave audio-vizuale, duke siguruar pjesëmarrjen e vazhdueshme të vendit në Programin e Evropës Krijuese. Ligji për identifikimin elektronik dhe shërbimet e besimit nuk është miratuar ende. Në vitin 2023, Shqipëria nënshkroi marrëveshjen e </w:t>
            </w:r>
            <w:proofErr w:type="spellStart"/>
            <w:r w:rsidRPr="004D53EC">
              <w:rPr>
                <w:sz w:val="24"/>
                <w:lang w:val="sq-AL"/>
              </w:rPr>
              <w:t>asociimit</w:t>
            </w:r>
            <w:proofErr w:type="spellEnd"/>
            <w:r w:rsidRPr="004D53EC">
              <w:rPr>
                <w:sz w:val="24"/>
                <w:lang w:val="sq-AL"/>
              </w:rPr>
              <w:t xml:space="preserve"> duke iu bashkuar programit të Evropës Digjitale dhe prezantoi kodimin si lëndë për nxënësit e klasës së parë.</w:t>
            </w:r>
          </w:p>
        </w:tc>
      </w:tr>
      <w:tr w:rsidR="006C790B" w:rsidRPr="004D53EC" w14:paraId="2A7CCAF2" w14:textId="77777777" w:rsidTr="005760FF">
        <w:trPr>
          <w:trHeight w:val="3586"/>
        </w:trPr>
        <w:tc>
          <w:tcPr>
            <w:tcW w:w="9254" w:type="dxa"/>
            <w:tcBorders>
              <w:left w:val="single" w:sz="4" w:space="0" w:color="000000"/>
              <w:bottom w:val="single" w:sz="4" w:space="0" w:color="000000"/>
              <w:right w:val="single" w:sz="4" w:space="0" w:color="000000"/>
            </w:tcBorders>
            <w:shd w:val="clear" w:color="auto" w:fill="D9D9D9"/>
          </w:tcPr>
          <w:p w14:paraId="361F5B11" w14:textId="77777777" w:rsidR="006C790B" w:rsidRPr="004D53EC" w:rsidRDefault="006C790B" w:rsidP="006C790B">
            <w:pPr>
              <w:spacing w:before="120"/>
              <w:ind w:left="113"/>
              <w:jc w:val="both"/>
              <w:rPr>
                <w:lang w:val="sq-AL"/>
              </w:rPr>
            </w:pPr>
            <w:r w:rsidRPr="004D53EC">
              <w:rPr>
                <w:sz w:val="24"/>
                <w:lang w:val="sq-AL"/>
              </w:rPr>
              <w:t>Në vitin e ardhshëm, Shqipëria duhet veçanërisht</w:t>
            </w:r>
            <w:r w:rsidRPr="004D53EC">
              <w:rPr>
                <w:spacing w:val="-2"/>
                <w:sz w:val="24"/>
                <w:lang w:val="sq-AL"/>
              </w:rPr>
              <w:t>:</w:t>
            </w:r>
          </w:p>
          <w:p w14:paraId="6BF559D0" w14:textId="77777777" w:rsidR="006C790B" w:rsidRPr="004D53EC" w:rsidRDefault="006C790B" w:rsidP="006C790B">
            <w:pPr>
              <w:spacing w:before="120"/>
              <w:ind w:left="113"/>
              <w:jc w:val="both"/>
              <w:rPr>
                <w:lang w:val="sq-AL"/>
              </w:rPr>
            </w:pPr>
            <w:r w:rsidRPr="004D53EC">
              <w:rPr>
                <w:rFonts w:ascii="Symbol" w:hAnsi="Symbol"/>
                <w:sz w:val="24"/>
                <w:lang w:val="sq-AL"/>
              </w:rPr>
              <w:t></w:t>
            </w:r>
            <w:r w:rsidRPr="004D53EC">
              <w:rPr>
                <w:color w:val="000000" w:themeColor="text1"/>
                <w:spacing w:val="-2"/>
                <w:sz w:val="24"/>
                <w:szCs w:val="24"/>
                <w:lang w:val="sq-AL"/>
              </w:rPr>
              <w:t xml:space="preserve"> </w:t>
            </w:r>
            <w:r w:rsidRPr="004D53EC">
              <w:rPr>
                <w:sz w:val="24"/>
                <w:lang w:val="sq-AL"/>
              </w:rPr>
              <w:t xml:space="preserve">të plotësojë zgjatimin e numrit të urgjencës 112 në </w:t>
            </w:r>
            <w:proofErr w:type="spellStart"/>
            <w:r w:rsidRPr="004D53EC">
              <w:rPr>
                <w:sz w:val="24"/>
                <w:lang w:val="sq-AL"/>
              </w:rPr>
              <w:t>në</w:t>
            </w:r>
            <w:proofErr w:type="spellEnd"/>
            <w:r w:rsidRPr="004D53EC">
              <w:rPr>
                <w:sz w:val="24"/>
                <w:lang w:val="sq-AL"/>
              </w:rPr>
              <w:t xml:space="preserve"> të gjithë vendin</w:t>
            </w:r>
            <w:r w:rsidRPr="004D53EC">
              <w:rPr>
                <w:spacing w:val="-2"/>
                <w:sz w:val="24"/>
                <w:lang w:val="sq-AL"/>
              </w:rPr>
              <w:t>;</w:t>
            </w:r>
          </w:p>
          <w:p w14:paraId="0AC2A163" w14:textId="77777777" w:rsidR="000857D8" w:rsidRDefault="006C790B" w:rsidP="000857D8">
            <w:pPr>
              <w:spacing w:before="119"/>
              <w:ind w:left="473" w:right="101" w:hanging="360"/>
              <w:jc w:val="both"/>
              <w:rPr>
                <w:sz w:val="24"/>
                <w:lang w:val="sq-AL"/>
              </w:rPr>
            </w:pPr>
            <w:r w:rsidRPr="004D53EC">
              <w:rPr>
                <w:rFonts w:ascii="Symbol" w:hAnsi="Symbol"/>
                <w:sz w:val="24"/>
                <w:lang w:val="sq-AL"/>
              </w:rPr>
              <w:t></w:t>
            </w:r>
            <w:r w:rsidRPr="004D53EC">
              <w:rPr>
                <w:color w:val="000000" w:themeColor="text1"/>
                <w:spacing w:val="-2"/>
                <w:sz w:val="24"/>
                <w:szCs w:val="24"/>
                <w:lang w:val="sq-AL"/>
              </w:rPr>
              <w:t xml:space="preserve"> </w:t>
            </w:r>
            <w:r w:rsidRPr="004D53EC">
              <w:rPr>
                <w:sz w:val="24"/>
                <w:lang w:val="sq-AL"/>
              </w:rPr>
              <w:t xml:space="preserve">të miratojë legjislacionin përkatës për të zbatuar Kodin e ri Evropian të Komunikimeve Elektronike dhe të miratojë ligjin për sigurinë kibernetike për të siguruar harmonizim më të afërt me Direktivën e BE-së mbi masat për një nivel të lartë të përbashkët të sigurisë kibernetike në të gjithë Bashkimin (NIS II); </w:t>
            </w:r>
          </w:p>
          <w:p w14:paraId="55153AC7" w14:textId="594D6FB0" w:rsidR="006C790B" w:rsidRPr="004D53EC" w:rsidRDefault="006C790B" w:rsidP="000857D8">
            <w:pPr>
              <w:spacing w:before="119"/>
              <w:ind w:left="473" w:right="101" w:hanging="360"/>
              <w:jc w:val="both"/>
              <w:rPr>
                <w:lang w:val="sq-AL"/>
              </w:rPr>
            </w:pPr>
            <w:r w:rsidRPr="004D53EC">
              <w:rPr>
                <w:rFonts w:ascii="Symbol" w:hAnsi="Symbol"/>
                <w:sz w:val="24"/>
                <w:lang w:val="sq-AL"/>
              </w:rPr>
              <w:t></w:t>
            </w:r>
            <w:r w:rsidRPr="004D53EC">
              <w:rPr>
                <w:rFonts w:eastAsia="Calibri"/>
                <w:color w:val="000000" w:themeColor="text1"/>
                <w:sz w:val="24"/>
                <w:szCs w:val="24"/>
                <w:lang w:val="sq-AL"/>
              </w:rPr>
              <w:t xml:space="preserve"> </w:t>
            </w:r>
            <w:r w:rsidRPr="004D53EC">
              <w:rPr>
                <w:spacing w:val="-2"/>
                <w:sz w:val="24"/>
                <w:lang w:val="sq-AL"/>
              </w:rPr>
              <w:t xml:space="preserve">të përmirësojë mbledhjen e të dhënave statistikore për </w:t>
            </w:r>
            <w:proofErr w:type="spellStart"/>
            <w:r w:rsidRPr="004D53EC">
              <w:rPr>
                <w:spacing w:val="-2"/>
                <w:sz w:val="24"/>
                <w:lang w:val="sq-AL"/>
              </w:rPr>
              <w:t>performancën</w:t>
            </w:r>
            <w:proofErr w:type="spellEnd"/>
            <w:r w:rsidRPr="004D53EC">
              <w:rPr>
                <w:spacing w:val="-2"/>
                <w:sz w:val="24"/>
                <w:lang w:val="sq-AL"/>
              </w:rPr>
              <w:t xml:space="preserve"> digjitale dhe </w:t>
            </w:r>
            <w:proofErr w:type="spellStart"/>
            <w:r w:rsidRPr="004D53EC">
              <w:rPr>
                <w:spacing w:val="-2"/>
                <w:sz w:val="24"/>
                <w:lang w:val="sq-AL"/>
              </w:rPr>
              <w:t>konkurrueshmërinë</w:t>
            </w:r>
            <w:proofErr w:type="spellEnd"/>
            <w:r w:rsidRPr="004D53EC">
              <w:rPr>
                <w:spacing w:val="-2"/>
                <w:sz w:val="24"/>
                <w:lang w:val="sq-AL"/>
              </w:rPr>
              <w:t xml:space="preserve"> digjitale.</w:t>
            </w:r>
          </w:p>
        </w:tc>
      </w:tr>
    </w:tbl>
    <w:p w14:paraId="108279E9" w14:textId="77777777" w:rsidR="006C790B" w:rsidRPr="004D53EC" w:rsidRDefault="006C790B" w:rsidP="006C790B">
      <w:pPr>
        <w:spacing w:before="143"/>
        <w:ind w:left="980" w:right="977"/>
        <w:jc w:val="both"/>
        <w:rPr>
          <w:sz w:val="24"/>
          <w:lang w:val="sq-AL"/>
        </w:rPr>
      </w:pPr>
      <w:r w:rsidRPr="004D53EC">
        <w:rPr>
          <w:sz w:val="24"/>
          <w:lang w:val="sq-AL"/>
        </w:rPr>
        <w:t xml:space="preserve">Në lidhje me </w:t>
      </w:r>
      <w:r w:rsidRPr="004D53EC">
        <w:rPr>
          <w:b/>
          <w:sz w:val="24"/>
          <w:lang w:val="sq-AL"/>
        </w:rPr>
        <w:t>komunikimet elektronike dhe teknologjitë e informacionit dhe komunikimit (TIK),</w:t>
      </w:r>
      <w:r w:rsidRPr="004D53EC">
        <w:rPr>
          <w:sz w:val="24"/>
          <w:lang w:val="sq-AL"/>
        </w:rPr>
        <w:t xml:space="preserve"> u arrit përparim i kufizuar në zbatimin e numrit të vetëm evropian të urgjencës 112. U ngrit një grup pune ndërinstitucional për përgatitjen e një projektvendimi për Këshillin e Ministrave për shtrirjen e numrit të urgjencës 112 në të gjithë vendin.</w:t>
      </w:r>
    </w:p>
    <w:p w14:paraId="788BAADF" w14:textId="77777777" w:rsidR="006C790B" w:rsidRPr="004D53EC" w:rsidRDefault="006C790B" w:rsidP="006C790B">
      <w:pPr>
        <w:spacing w:before="120"/>
        <w:ind w:left="979" w:right="976"/>
        <w:jc w:val="both"/>
        <w:rPr>
          <w:sz w:val="24"/>
          <w:szCs w:val="24"/>
          <w:lang w:val="sq-AL"/>
        </w:rPr>
      </w:pPr>
      <w:r w:rsidRPr="004D53EC">
        <w:rPr>
          <w:sz w:val="24"/>
          <w:szCs w:val="24"/>
          <w:lang w:val="sq-AL"/>
        </w:rPr>
        <w:t xml:space="preserve">Në vitin 2022, shpërndarja e internetit fiks </w:t>
      </w:r>
      <w:proofErr w:type="spellStart"/>
      <w:r w:rsidRPr="004D53EC">
        <w:rPr>
          <w:sz w:val="24"/>
          <w:szCs w:val="24"/>
          <w:lang w:val="sq-AL"/>
        </w:rPr>
        <w:t>broadband</w:t>
      </w:r>
      <w:proofErr w:type="spellEnd"/>
      <w:r w:rsidRPr="004D53EC">
        <w:rPr>
          <w:sz w:val="24"/>
          <w:szCs w:val="24"/>
          <w:lang w:val="sq-AL"/>
        </w:rPr>
        <w:t xml:space="preserve"> arriti në 585285 subjekte (535,049 abonentë familjarë dhe 50,236 biznese), 5% më shumë nga viti 2021. Shkalla e depërtimit ishte rreth 21% e popullsisë, ku 80% e familjeve u mbuluan me lidhje fikse </w:t>
      </w:r>
      <w:proofErr w:type="spellStart"/>
      <w:r w:rsidRPr="004D53EC">
        <w:rPr>
          <w:sz w:val="24"/>
          <w:szCs w:val="24"/>
          <w:lang w:val="sq-AL"/>
        </w:rPr>
        <w:t>broadband</w:t>
      </w:r>
      <w:proofErr w:type="spellEnd"/>
      <w:r w:rsidRPr="004D53EC">
        <w:rPr>
          <w:sz w:val="24"/>
          <w:szCs w:val="24"/>
          <w:lang w:val="sq-AL"/>
        </w:rPr>
        <w:t xml:space="preserve">. Ka ende mangësi në depërtimin e internetit fiks </w:t>
      </w:r>
      <w:proofErr w:type="spellStart"/>
      <w:r w:rsidRPr="004D53EC">
        <w:rPr>
          <w:sz w:val="24"/>
          <w:szCs w:val="24"/>
          <w:lang w:val="sq-AL"/>
        </w:rPr>
        <w:t>broadband</w:t>
      </w:r>
      <w:proofErr w:type="spellEnd"/>
      <w:r w:rsidRPr="004D53EC">
        <w:rPr>
          <w:sz w:val="24"/>
          <w:szCs w:val="24"/>
          <w:lang w:val="sq-AL"/>
        </w:rPr>
        <w:t xml:space="preserve"> midis zonave urbane dhe rurale. 20% e numrit total të lidhjeve </w:t>
      </w:r>
      <w:proofErr w:type="spellStart"/>
      <w:r w:rsidRPr="004D53EC">
        <w:rPr>
          <w:sz w:val="24"/>
          <w:szCs w:val="24"/>
          <w:lang w:val="sq-AL"/>
        </w:rPr>
        <w:t>broadband</w:t>
      </w:r>
      <w:proofErr w:type="spellEnd"/>
      <w:r w:rsidRPr="004D53EC">
        <w:rPr>
          <w:sz w:val="24"/>
          <w:szCs w:val="24"/>
          <w:lang w:val="sq-AL"/>
        </w:rPr>
        <w:t xml:space="preserve"> fikse janë bërë në zonën rurale, ndërsa popullsia e zonës rurale është rreth 40%. Shkalla e penetrimit të celularëve në fund të vitit 2022 ishte 77% krahasuar me 73% në fund të vitit 2021. Deri në fund të vitit 2022, kishte 2.14 milionë përdorues aktivë të celularit, me një rritje të lehtë nga viti 2021 (2 milionë).</w:t>
      </w:r>
    </w:p>
    <w:p w14:paraId="212714F1" w14:textId="77777777" w:rsidR="006C790B" w:rsidRPr="004D53EC" w:rsidRDefault="006C790B" w:rsidP="006C790B">
      <w:pPr>
        <w:spacing w:before="121"/>
        <w:ind w:left="980" w:right="976"/>
        <w:jc w:val="both"/>
        <w:rPr>
          <w:sz w:val="24"/>
          <w:szCs w:val="24"/>
          <w:lang w:val="sq-AL"/>
        </w:rPr>
      </w:pPr>
      <w:r w:rsidRPr="004D53EC">
        <w:rPr>
          <w:sz w:val="24"/>
          <w:szCs w:val="24"/>
          <w:lang w:val="sq-AL"/>
        </w:rPr>
        <w:t xml:space="preserve">Në fushën e </w:t>
      </w:r>
      <w:r w:rsidRPr="004D53EC">
        <w:rPr>
          <w:b/>
          <w:sz w:val="24"/>
          <w:szCs w:val="24"/>
          <w:lang w:val="sq-AL"/>
        </w:rPr>
        <w:t>shërbimeve të shoqërisë së informacionit</w:t>
      </w:r>
      <w:r w:rsidRPr="004D53EC">
        <w:rPr>
          <w:sz w:val="24"/>
          <w:szCs w:val="24"/>
          <w:lang w:val="sq-AL"/>
        </w:rPr>
        <w:t>, dokumentet strategjike të agjendës digjitale të Shqipërisë 2022-2026 janë në përputhje me programin e Dekadës Digjitale të BE-së. Autoritetet duhet të miratojnë Ligjin e ri për Komunikimet Elektronike për të qenë në harmoni me Direktivën e Kodit Evropian të Komunikimeve Elektronike të vitit 2018.</w:t>
      </w:r>
    </w:p>
    <w:p w14:paraId="735B12A0" w14:textId="77777777" w:rsidR="006C790B" w:rsidRPr="004D53EC" w:rsidRDefault="006C790B" w:rsidP="006C790B">
      <w:pPr>
        <w:spacing w:before="120"/>
        <w:ind w:left="980" w:right="977"/>
        <w:jc w:val="both"/>
        <w:rPr>
          <w:sz w:val="24"/>
          <w:szCs w:val="24"/>
          <w:lang w:val="sq-AL"/>
        </w:rPr>
      </w:pPr>
      <w:r w:rsidRPr="004D53EC">
        <w:rPr>
          <w:sz w:val="24"/>
          <w:szCs w:val="24"/>
          <w:lang w:val="sq-AL"/>
        </w:rPr>
        <w:t>Në qershor 2023, Shqipëria lidhi një marrëveshje për bashkimin e saj me Programin e Evropës Digjitale. Për aftësitë digjitale, kodimi është futur në 100 shkolla që nga klasa e parë për vitin akademik 2022-2023, duke ngritur 100 laboratorë inteligjentë në shkollat në të gjithë vendin. .</w:t>
      </w:r>
    </w:p>
    <w:p w14:paraId="07E6835B" w14:textId="77777777" w:rsidR="006C790B" w:rsidRPr="004D53EC" w:rsidRDefault="006C790B" w:rsidP="006C790B">
      <w:pPr>
        <w:spacing w:before="118"/>
        <w:ind w:left="979" w:right="977"/>
        <w:jc w:val="both"/>
        <w:rPr>
          <w:sz w:val="24"/>
          <w:szCs w:val="24"/>
          <w:lang w:val="sq-AL"/>
        </w:rPr>
      </w:pPr>
      <w:r w:rsidRPr="004D53EC">
        <w:rPr>
          <w:sz w:val="24"/>
          <w:szCs w:val="24"/>
          <w:lang w:val="sq-AL"/>
        </w:rPr>
        <w:t xml:space="preserve">Në lidhje me </w:t>
      </w:r>
      <w:r w:rsidRPr="004D53EC">
        <w:rPr>
          <w:b/>
          <w:sz w:val="24"/>
          <w:szCs w:val="24"/>
          <w:lang w:val="sq-AL"/>
        </w:rPr>
        <w:t xml:space="preserve">shërbimet publike </w:t>
      </w:r>
      <w:proofErr w:type="spellStart"/>
      <w:r w:rsidRPr="004D53EC">
        <w:rPr>
          <w:b/>
          <w:sz w:val="24"/>
          <w:szCs w:val="24"/>
          <w:lang w:val="sq-AL"/>
        </w:rPr>
        <w:t>on-line</w:t>
      </w:r>
      <w:proofErr w:type="spellEnd"/>
      <w:r w:rsidRPr="004D53EC">
        <w:rPr>
          <w:sz w:val="24"/>
          <w:szCs w:val="24"/>
          <w:lang w:val="sq-AL"/>
        </w:rPr>
        <w:t xml:space="preserve">, gjatë periudhës së raportimit, 95 % e aplikimeve për 1217 shërbime publike u kryen </w:t>
      </w:r>
      <w:proofErr w:type="spellStart"/>
      <w:r w:rsidRPr="004D53EC">
        <w:rPr>
          <w:sz w:val="24"/>
          <w:szCs w:val="24"/>
          <w:lang w:val="sq-AL"/>
        </w:rPr>
        <w:t>online</w:t>
      </w:r>
      <w:proofErr w:type="spellEnd"/>
      <w:r w:rsidRPr="004D53EC">
        <w:rPr>
          <w:sz w:val="24"/>
          <w:szCs w:val="24"/>
          <w:lang w:val="sq-AL"/>
        </w:rPr>
        <w:t xml:space="preserve">, ku 7833332 dokumente të vulosura </w:t>
      </w:r>
      <w:proofErr w:type="spellStart"/>
      <w:r w:rsidRPr="004D53EC">
        <w:rPr>
          <w:sz w:val="24"/>
          <w:szCs w:val="24"/>
          <w:lang w:val="sq-AL"/>
        </w:rPr>
        <w:t>elektronikisht</w:t>
      </w:r>
      <w:proofErr w:type="spellEnd"/>
      <w:r w:rsidRPr="004D53EC">
        <w:rPr>
          <w:sz w:val="24"/>
          <w:szCs w:val="24"/>
          <w:lang w:val="sq-AL"/>
        </w:rPr>
        <w:t xml:space="preserve"> u shkarkuan në vitin 2022 nga më shumë se 2.8 përdorues të regjistruar në portalin e-Albania. Nga këta, vetëm rreth 1.5 milionë janë përdorues aktivë. Kësisoj, përdorimet individuale të </w:t>
      </w:r>
      <w:r w:rsidRPr="004D53EC">
        <w:rPr>
          <w:sz w:val="24"/>
          <w:szCs w:val="24"/>
          <w:lang w:val="sq-AL"/>
        </w:rPr>
        <w:lastRenderedPageBreak/>
        <w:t xml:space="preserve">shërbimeve elektronike në vitin 2022 shkuan deri në 14276256. Autoritetet duhet të sigurojnë dhe të lehtësojnë </w:t>
      </w:r>
      <w:proofErr w:type="spellStart"/>
      <w:r w:rsidRPr="004D53EC">
        <w:rPr>
          <w:sz w:val="24"/>
          <w:szCs w:val="24"/>
          <w:lang w:val="sq-AL"/>
        </w:rPr>
        <w:t>aksesin</w:t>
      </w:r>
      <w:proofErr w:type="spellEnd"/>
      <w:r w:rsidRPr="004D53EC">
        <w:rPr>
          <w:sz w:val="24"/>
          <w:szCs w:val="24"/>
          <w:lang w:val="sq-AL"/>
        </w:rPr>
        <w:t xml:space="preserve"> e barabartë në shërbimet </w:t>
      </w:r>
      <w:proofErr w:type="spellStart"/>
      <w:r w:rsidRPr="004D53EC">
        <w:rPr>
          <w:sz w:val="24"/>
          <w:szCs w:val="24"/>
          <w:lang w:val="sq-AL"/>
        </w:rPr>
        <w:t>online</w:t>
      </w:r>
      <w:proofErr w:type="spellEnd"/>
      <w:r w:rsidRPr="004D53EC">
        <w:rPr>
          <w:sz w:val="24"/>
          <w:szCs w:val="24"/>
          <w:lang w:val="sq-AL"/>
        </w:rPr>
        <w:t xml:space="preserve"> për të gjithë qytetarët dhe të rrisin përpjekjet për të qenë në harmoni me Aktin e Shërbimeve Digjitale dhe Aktin e Tregjeve Digjitale.</w:t>
      </w:r>
    </w:p>
    <w:p w14:paraId="3149FE05" w14:textId="77777777" w:rsidR="006C790B" w:rsidRPr="004D53EC" w:rsidRDefault="006C790B" w:rsidP="006C790B">
      <w:pPr>
        <w:spacing w:before="121"/>
        <w:ind w:left="979" w:right="976"/>
        <w:jc w:val="both"/>
        <w:rPr>
          <w:sz w:val="24"/>
          <w:szCs w:val="24"/>
          <w:lang w:val="sq-AL"/>
        </w:rPr>
      </w:pPr>
      <w:r w:rsidRPr="004D53EC">
        <w:rPr>
          <w:sz w:val="24"/>
          <w:szCs w:val="24"/>
          <w:lang w:val="sq-AL"/>
        </w:rPr>
        <w:t xml:space="preserve">Shqipëria përfundoi në shtator 2022 diskutimet për ndarjen e </w:t>
      </w:r>
      <w:proofErr w:type="spellStart"/>
      <w:r w:rsidRPr="004D53EC">
        <w:rPr>
          <w:sz w:val="24"/>
          <w:szCs w:val="24"/>
          <w:lang w:val="sq-AL"/>
        </w:rPr>
        <w:t>bandwidth</w:t>
      </w:r>
      <w:proofErr w:type="spellEnd"/>
      <w:r w:rsidRPr="004D53EC">
        <w:rPr>
          <w:sz w:val="24"/>
          <w:szCs w:val="24"/>
          <w:lang w:val="sq-AL"/>
        </w:rPr>
        <w:t>-it me vendet fqinje. Në vitin 2022 u krijua edhe strategjia e migracionit. Ministria e Infrastrukturës dhe Energjisë (MIE), së bashku me Autoritetin e Komunikimeve Elektronike dhe Postare, bënë një vlerësim të lejes së ndërtimit për rrjetet e komunikimit elektronik.</w:t>
      </w:r>
    </w:p>
    <w:p w14:paraId="7EA2D5FC" w14:textId="77777777" w:rsidR="006C790B" w:rsidRPr="004D53EC" w:rsidRDefault="006C790B" w:rsidP="006C790B">
      <w:pPr>
        <w:spacing w:before="121"/>
        <w:ind w:left="979" w:right="976"/>
        <w:jc w:val="both"/>
        <w:rPr>
          <w:sz w:val="24"/>
          <w:szCs w:val="24"/>
          <w:lang w:val="sq-AL"/>
        </w:rPr>
      </w:pPr>
      <w:r w:rsidRPr="004D53EC">
        <w:rPr>
          <w:sz w:val="24"/>
          <w:szCs w:val="24"/>
          <w:lang w:val="sq-AL"/>
        </w:rPr>
        <w:t xml:space="preserve">U miratuan ndryshimet në Vendimin e Këshillit të Ministrave për lejet e ndërtimit për rrjetet e komunikimeve elektronike, me synim thjeshtimin e procesit të dhënies së lejeve për vendosjen e rrjetit 5G. Në korrik 2022 u ngrit një grup pune ndërinstitucional për lirimin e Dividendit Digjital 2, i cili është përgjegjës për koordinimin e aktiviteteve dhe për t'u propozuar organeve kompetente të gjitha pjesët e legjislacionit zbatues që do të jenë të nevojshme për të realizuar këtë iniciativë, duke përfshirë lirimin e bandës 700 </w:t>
      </w:r>
      <w:proofErr w:type="spellStart"/>
      <w:r w:rsidRPr="004D53EC">
        <w:rPr>
          <w:sz w:val="24"/>
          <w:szCs w:val="24"/>
          <w:lang w:val="sq-AL"/>
        </w:rPr>
        <w:t>MHz</w:t>
      </w:r>
      <w:proofErr w:type="spellEnd"/>
      <w:r w:rsidRPr="004D53EC">
        <w:rPr>
          <w:sz w:val="24"/>
          <w:szCs w:val="24"/>
          <w:lang w:val="sq-AL"/>
        </w:rPr>
        <w:t xml:space="preserve">. Në dhjetor 2022, operatorët shqiptarë nënshkruan marrëveshjen e bashkëpunimit për të ulur tarifat e </w:t>
      </w:r>
      <w:proofErr w:type="spellStart"/>
      <w:r w:rsidRPr="004D53EC">
        <w:rPr>
          <w:sz w:val="24"/>
          <w:szCs w:val="24"/>
          <w:lang w:val="sq-AL"/>
        </w:rPr>
        <w:t>roamingut</w:t>
      </w:r>
      <w:proofErr w:type="spellEnd"/>
      <w:r w:rsidRPr="004D53EC">
        <w:rPr>
          <w:sz w:val="24"/>
          <w:szCs w:val="24"/>
          <w:lang w:val="sq-AL"/>
        </w:rPr>
        <w:t xml:space="preserve"> midis Ballkanit Perëndimor dhe BE-së. Duhet të miratohet ligji për identifikimin elektronik dhe shërbimet e besimit.</w:t>
      </w:r>
    </w:p>
    <w:p w14:paraId="47F83263" w14:textId="77777777" w:rsidR="006C790B" w:rsidRPr="004D53EC" w:rsidRDefault="006C790B" w:rsidP="006C790B">
      <w:pPr>
        <w:spacing w:before="120"/>
        <w:ind w:left="980" w:right="976"/>
        <w:jc w:val="both"/>
        <w:rPr>
          <w:sz w:val="24"/>
          <w:szCs w:val="24"/>
          <w:lang w:val="sq-AL"/>
        </w:rPr>
      </w:pPr>
      <w:r w:rsidRPr="004D53EC">
        <w:rPr>
          <w:sz w:val="24"/>
          <w:szCs w:val="24"/>
          <w:lang w:val="sq-AL"/>
        </w:rPr>
        <w:t>Në përgjigje të sulmeve kibernetike në shkallë të gjerë që u zbuluan në korrik dhe shtator 2022, qeveria ka filluar të forcojë ndjeshëm arkitekturën e saj të sigurisë kibernetike, duke përfshirë emërimin e një Koordinatori Kombëtar për Sigurinë Kibernetike, ngritjen e një Qendre qeveritare të Operacioneve të Sigurisë Kibernetike, hartimin e një Ligji të ri për sigurinë kibernetike, i cili është ende për t'u miratuar, që synon përafrimin e mëtejshëm me direktivën NIS2. Lista e infrastrukturave kritike të informacionit dhe infrastrukturave të rëndësishme të informacionit, e miratuar me Vendim të Këshillit të Ministrave, është rritur nga 140 në 289 dhe tashmë mbulon sektorë si qeveria, energjia, shëndetësia, financat, transporti, furnizimi digjital dhe me ujë. Strategjia kombëtare 2020-2025 për sigurinë kibernetike dhe plani i saj i veprimit janë në batim. Autoriteti Kombëtar për Certifikimin Elektronik dhe Sigurinë Kibernetike po përgatitet të krijojë një qendër kombëtare operacionesh për mbrojtjen kibernetike, duke përfshirë emërimin e një Koordinatori Kombëtar për Sigurinë Kibernetike dhe shpërndarjen e burimeve shtesë.</w:t>
      </w:r>
    </w:p>
    <w:p w14:paraId="17B1D3F6" w14:textId="77777777" w:rsidR="006C790B" w:rsidRPr="004D53EC" w:rsidRDefault="006C790B" w:rsidP="006C790B">
      <w:pPr>
        <w:spacing w:before="120"/>
        <w:ind w:left="980" w:right="976"/>
        <w:jc w:val="both"/>
        <w:rPr>
          <w:sz w:val="24"/>
          <w:szCs w:val="24"/>
          <w:lang w:val="sq-AL"/>
        </w:rPr>
      </w:pPr>
      <w:r w:rsidRPr="004D53EC">
        <w:rPr>
          <w:sz w:val="24"/>
          <w:szCs w:val="24"/>
          <w:lang w:val="sq-AL"/>
        </w:rPr>
        <w:t>Brenda Agjencisë Kombëtare për Shoqërinë e Informacionit u krijua një qendër qeveritare e operacioneve të sigurisë kibernetike, e cila është përgjegjëse për incidentet dhe krizat e sigurisë kibernetike brenda sistemeve qeveritare. Shqipëria ka lidhur marrëveshje për sigurinë kibernetike me Izraelin, Arabinë Saudite dhe Emiratet e Bashkuara Arabe. Autoritetet duhet të forcojnë më tej kapacitetet e sigurisë kibernetike, duke përfshirë aktivitete dhe trajnime për rritjen e ndërgjegjësimit. Nevojitet një bashkëpunim më i fortë me sektorin privat dhe shoqërinë civile.</w:t>
      </w:r>
    </w:p>
    <w:p w14:paraId="1C1D4F99" w14:textId="77777777" w:rsidR="006C790B" w:rsidRPr="004D53EC" w:rsidRDefault="006C790B" w:rsidP="006C790B">
      <w:pPr>
        <w:spacing w:before="120"/>
        <w:ind w:left="980" w:right="978"/>
        <w:jc w:val="both"/>
        <w:rPr>
          <w:sz w:val="24"/>
          <w:szCs w:val="24"/>
          <w:lang w:val="sq-AL"/>
        </w:rPr>
      </w:pPr>
      <w:r w:rsidRPr="004D53EC">
        <w:rPr>
          <w:sz w:val="24"/>
          <w:szCs w:val="24"/>
          <w:lang w:val="sq-AL"/>
        </w:rPr>
        <w:t xml:space="preserve">Shqipëria ka ende nevojë të përmirësojë mbledhjen e të dhënave statistikore për </w:t>
      </w:r>
      <w:proofErr w:type="spellStart"/>
      <w:r w:rsidRPr="004D53EC">
        <w:rPr>
          <w:sz w:val="24"/>
          <w:szCs w:val="24"/>
          <w:lang w:val="sq-AL"/>
        </w:rPr>
        <w:t>performancën</w:t>
      </w:r>
      <w:proofErr w:type="spellEnd"/>
      <w:r w:rsidRPr="004D53EC">
        <w:rPr>
          <w:sz w:val="24"/>
          <w:szCs w:val="24"/>
          <w:lang w:val="sq-AL"/>
        </w:rPr>
        <w:t xml:space="preserve"> digjitale dhe </w:t>
      </w:r>
      <w:proofErr w:type="spellStart"/>
      <w:r w:rsidRPr="004D53EC">
        <w:rPr>
          <w:sz w:val="24"/>
          <w:szCs w:val="24"/>
          <w:lang w:val="sq-AL"/>
        </w:rPr>
        <w:t>konkurrueshmërinë</w:t>
      </w:r>
      <w:proofErr w:type="spellEnd"/>
      <w:r w:rsidRPr="004D53EC">
        <w:rPr>
          <w:sz w:val="24"/>
          <w:szCs w:val="24"/>
          <w:lang w:val="sq-AL"/>
        </w:rPr>
        <w:t xml:space="preserve"> digjitale. </w:t>
      </w:r>
    </w:p>
    <w:p w14:paraId="2B836225" w14:textId="77777777" w:rsidR="006C790B" w:rsidRPr="004D53EC" w:rsidRDefault="006C790B" w:rsidP="006C790B">
      <w:pPr>
        <w:spacing w:before="120"/>
        <w:ind w:left="979" w:right="976"/>
        <w:jc w:val="both"/>
        <w:rPr>
          <w:sz w:val="24"/>
          <w:szCs w:val="24"/>
          <w:lang w:val="sq-AL"/>
        </w:rPr>
      </w:pPr>
      <w:r w:rsidRPr="004D53EC">
        <w:rPr>
          <w:sz w:val="24"/>
          <w:szCs w:val="24"/>
          <w:lang w:val="sq-AL"/>
        </w:rPr>
        <w:t xml:space="preserve">Për sa i përket </w:t>
      </w:r>
      <w:r w:rsidRPr="004D53EC">
        <w:rPr>
          <w:b/>
          <w:sz w:val="24"/>
          <w:szCs w:val="24"/>
          <w:lang w:val="sq-AL"/>
        </w:rPr>
        <w:t xml:space="preserve">politikës </w:t>
      </w:r>
      <w:proofErr w:type="spellStart"/>
      <w:r w:rsidRPr="004D53EC">
        <w:rPr>
          <w:b/>
          <w:sz w:val="24"/>
          <w:szCs w:val="24"/>
          <w:lang w:val="sq-AL"/>
        </w:rPr>
        <w:t>audiovizive</w:t>
      </w:r>
      <w:proofErr w:type="spellEnd"/>
      <w:r w:rsidRPr="004D53EC">
        <w:rPr>
          <w:sz w:val="24"/>
          <w:szCs w:val="24"/>
          <w:lang w:val="sq-AL"/>
        </w:rPr>
        <w:t xml:space="preserve">, në maj të vitit 2023 autoritetet miratuan ndryshimet në Ligjin për mediat </w:t>
      </w:r>
      <w:proofErr w:type="spellStart"/>
      <w:r w:rsidRPr="004D53EC">
        <w:rPr>
          <w:sz w:val="24"/>
          <w:szCs w:val="24"/>
          <w:lang w:val="sq-AL"/>
        </w:rPr>
        <w:t>audiovizive</w:t>
      </w:r>
      <w:proofErr w:type="spellEnd"/>
      <w:r w:rsidRPr="004D53EC">
        <w:rPr>
          <w:sz w:val="24"/>
          <w:szCs w:val="24"/>
          <w:lang w:val="sq-AL"/>
        </w:rPr>
        <w:t xml:space="preserve">, duke e përafruar atë me Direktivën e BE-së për Shërbimet e Mediave </w:t>
      </w:r>
      <w:proofErr w:type="spellStart"/>
      <w:r w:rsidRPr="004D53EC">
        <w:rPr>
          <w:sz w:val="24"/>
          <w:szCs w:val="24"/>
          <w:lang w:val="sq-AL"/>
        </w:rPr>
        <w:t>Audiovizive</w:t>
      </w:r>
      <w:proofErr w:type="spellEnd"/>
      <w:r w:rsidRPr="004D53EC">
        <w:rPr>
          <w:sz w:val="24"/>
          <w:szCs w:val="24"/>
          <w:lang w:val="sq-AL"/>
        </w:rPr>
        <w:t xml:space="preserve"> të vitit 2018, duke siguruar kështu pjesëmarrjen e vazhdueshme të vendit në Mediat dhe Fushat </w:t>
      </w:r>
      <w:proofErr w:type="spellStart"/>
      <w:r w:rsidRPr="004D53EC">
        <w:rPr>
          <w:sz w:val="24"/>
          <w:szCs w:val="24"/>
          <w:lang w:val="sq-AL"/>
        </w:rPr>
        <w:t>Ndërsektoriale</w:t>
      </w:r>
      <w:proofErr w:type="spellEnd"/>
      <w:r w:rsidRPr="004D53EC">
        <w:rPr>
          <w:sz w:val="24"/>
          <w:szCs w:val="24"/>
          <w:lang w:val="sq-AL"/>
        </w:rPr>
        <w:t xml:space="preserve"> të programit Evropa Krijuese. Në korrik 2023, Autoriteti i Mediave </w:t>
      </w:r>
      <w:proofErr w:type="spellStart"/>
      <w:r w:rsidRPr="004D53EC">
        <w:rPr>
          <w:sz w:val="24"/>
          <w:szCs w:val="24"/>
          <w:lang w:val="sq-AL"/>
        </w:rPr>
        <w:t>Audiovizive</w:t>
      </w:r>
      <w:proofErr w:type="spellEnd"/>
      <w:r w:rsidRPr="004D53EC">
        <w:rPr>
          <w:sz w:val="24"/>
          <w:szCs w:val="24"/>
          <w:lang w:val="sq-AL"/>
        </w:rPr>
        <w:t xml:space="preserve"> miratoi Kodin e ri të Transmetimit që përcakton parimet, rregullat, kërkesat dhe praktikat e transmetimeve audio dhe </w:t>
      </w:r>
      <w:proofErr w:type="spellStart"/>
      <w:r w:rsidRPr="004D53EC">
        <w:rPr>
          <w:sz w:val="24"/>
          <w:szCs w:val="24"/>
          <w:lang w:val="sq-AL"/>
        </w:rPr>
        <w:t>audiovizive</w:t>
      </w:r>
      <w:proofErr w:type="spellEnd"/>
      <w:r w:rsidRPr="004D53EC">
        <w:rPr>
          <w:sz w:val="24"/>
          <w:szCs w:val="24"/>
          <w:lang w:val="sq-AL"/>
        </w:rPr>
        <w:t xml:space="preserve"> në Shqipëri.</w:t>
      </w:r>
    </w:p>
    <w:p w14:paraId="6A58FCCE" w14:textId="77777777" w:rsidR="006C790B" w:rsidRPr="004D53EC" w:rsidRDefault="006C790B" w:rsidP="006C790B">
      <w:pPr>
        <w:spacing w:before="119"/>
        <w:ind w:left="979" w:right="977"/>
        <w:jc w:val="both"/>
        <w:rPr>
          <w:sz w:val="24"/>
          <w:szCs w:val="24"/>
          <w:lang w:val="sq-AL"/>
        </w:rPr>
      </w:pPr>
      <w:r w:rsidRPr="004D53EC">
        <w:rPr>
          <w:sz w:val="24"/>
          <w:szCs w:val="24"/>
          <w:lang w:val="sq-AL"/>
        </w:rPr>
        <w:t xml:space="preserve">Në mars, MIE miratoi planin e veprimit për menaxhimin e rrezikut të integritetit për 2022-2025, ndërkohë që Autoriteti Kombëtar për </w:t>
      </w:r>
      <w:proofErr w:type="spellStart"/>
      <w:r w:rsidRPr="004D53EC">
        <w:rPr>
          <w:sz w:val="24"/>
          <w:szCs w:val="24"/>
          <w:lang w:val="sq-AL"/>
        </w:rPr>
        <w:t>Çertifikimin</w:t>
      </w:r>
      <w:proofErr w:type="spellEnd"/>
      <w:r w:rsidRPr="004D53EC">
        <w:rPr>
          <w:sz w:val="24"/>
          <w:szCs w:val="24"/>
          <w:lang w:val="sq-AL"/>
        </w:rPr>
        <w:t xml:space="preserve"> Elektronik dhe Sigurinë Kibernetike, </w:t>
      </w:r>
      <w:r w:rsidRPr="004D53EC">
        <w:rPr>
          <w:sz w:val="24"/>
          <w:szCs w:val="24"/>
          <w:lang w:val="sq-AL"/>
        </w:rPr>
        <w:lastRenderedPageBreak/>
        <w:t>Autoriteti i Komunikimeve Elektronike dhe Postare dhe MIE kanë programet e tyre përkatëse të transparencës.</w:t>
      </w:r>
    </w:p>
    <w:p w14:paraId="72E76318" w14:textId="77777777" w:rsidR="006C790B" w:rsidRPr="004D53EC" w:rsidRDefault="006C790B" w:rsidP="006C790B">
      <w:pPr>
        <w:spacing w:before="120"/>
        <w:ind w:left="1039"/>
        <w:jc w:val="both"/>
        <w:outlineLvl w:val="0"/>
        <w:rPr>
          <w:b/>
          <w:bCs/>
          <w:sz w:val="24"/>
          <w:szCs w:val="24"/>
          <w:lang w:val="sq-AL"/>
        </w:rPr>
      </w:pPr>
      <w:bookmarkStart w:id="77" w:name="Chapter_16%253A_Taxation"/>
      <w:bookmarkStart w:id="78" w:name="_bookmark46"/>
      <w:bookmarkEnd w:id="77"/>
      <w:bookmarkEnd w:id="78"/>
      <w:r w:rsidRPr="004D53EC">
        <w:rPr>
          <w:b/>
          <w:bCs/>
          <w:sz w:val="24"/>
          <w:szCs w:val="24"/>
          <w:lang w:val="sq-AL"/>
        </w:rPr>
        <w:t>Kapitulli 16:</w:t>
      </w:r>
      <w:r w:rsidRPr="004D53EC">
        <w:rPr>
          <w:b/>
          <w:bCs/>
          <w:spacing w:val="-2"/>
          <w:sz w:val="24"/>
          <w:szCs w:val="24"/>
          <w:lang w:val="sq-AL"/>
        </w:rPr>
        <w:t xml:space="preserve"> Tatimi</w:t>
      </w:r>
    </w:p>
    <w:p w14:paraId="31D17E04" w14:textId="77777777" w:rsidR="006C790B" w:rsidRPr="004D53EC" w:rsidRDefault="006C790B" w:rsidP="006C790B">
      <w:pPr>
        <w:spacing w:before="120"/>
        <w:ind w:left="979" w:right="978"/>
        <w:jc w:val="both"/>
        <w:rPr>
          <w:i/>
          <w:sz w:val="24"/>
          <w:lang w:val="sq-AL"/>
        </w:rPr>
      </w:pPr>
      <w:r w:rsidRPr="004D53EC">
        <w:rPr>
          <w:i/>
          <w:sz w:val="24"/>
          <w:lang w:val="sq-AL"/>
        </w:rPr>
        <w:t>Rregullat e BE-së për tatimin trajtojnë tatimin mbi vlerën e shtuar dhe akcizën, si dhe aspekte të taksimit të korporatave. Gjithashtu, ato trajtojnë bashkëpunimin ndërmjet administratave tatimore, duke përfshirë shkëmbimin e informacionit për parandalimin e evazionit fiskal.</w:t>
      </w:r>
    </w:p>
    <w:p w14:paraId="4CDC2151" w14:textId="77777777" w:rsidR="006C790B" w:rsidRPr="004D53EC" w:rsidRDefault="006C790B" w:rsidP="006C790B">
      <w:pPr>
        <w:spacing w:before="6"/>
        <w:rPr>
          <w:i/>
          <w:sz w:val="10"/>
          <w:szCs w:val="24"/>
          <w:lang w:val="sq-AL"/>
        </w:rPr>
      </w:pPr>
    </w:p>
    <w:tbl>
      <w:tblPr>
        <w:tblW w:w="9096" w:type="dxa"/>
        <w:tblInd w:w="950" w:type="dxa"/>
        <w:tblCellMar>
          <w:left w:w="5" w:type="dxa"/>
          <w:right w:w="5" w:type="dxa"/>
        </w:tblCellMar>
        <w:tblLook w:val="01E0" w:firstRow="1" w:lastRow="1" w:firstColumn="1" w:lastColumn="1" w:noHBand="0" w:noVBand="0"/>
      </w:tblPr>
      <w:tblGrid>
        <w:gridCol w:w="9096"/>
      </w:tblGrid>
      <w:tr w:rsidR="006C790B" w:rsidRPr="004D53EC" w14:paraId="22FA8AC0" w14:textId="77777777" w:rsidTr="005760FF">
        <w:trPr>
          <w:trHeight w:val="305"/>
        </w:trPr>
        <w:tc>
          <w:tcPr>
            <w:tcW w:w="9096" w:type="dxa"/>
            <w:tcBorders>
              <w:top w:val="single" w:sz="4" w:space="0" w:color="000000"/>
              <w:left w:val="single" w:sz="4" w:space="0" w:color="000000"/>
              <w:right w:val="single" w:sz="4" w:space="0" w:color="000000"/>
            </w:tcBorders>
            <w:shd w:val="clear" w:color="auto" w:fill="auto"/>
          </w:tcPr>
          <w:p w14:paraId="33F6ED4E" w14:textId="77777777" w:rsidR="006C790B" w:rsidRPr="004D53EC" w:rsidRDefault="006C790B" w:rsidP="006C790B">
            <w:pPr>
              <w:ind w:right="22"/>
              <w:jc w:val="both"/>
              <w:rPr>
                <w:sz w:val="24"/>
                <w:lang w:val="sq-AL"/>
              </w:rPr>
            </w:pPr>
            <w:r w:rsidRPr="004D53EC">
              <w:rPr>
                <w:sz w:val="24"/>
                <w:lang w:val="sq-AL"/>
              </w:rPr>
              <w:t xml:space="preserve">Shqipëria ka një përgatitje mesatare në fushën e tatimit. Është bërë përparim i kufizuar, nëpërmjet racionalizimit të tarifave të akcizës, konsolidimit të qëllimit së procesit të </w:t>
            </w:r>
            <w:proofErr w:type="spellStart"/>
            <w:r w:rsidRPr="004D53EC">
              <w:rPr>
                <w:sz w:val="24"/>
                <w:lang w:val="sq-AL"/>
              </w:rPr>
              <w:t>fiskalizimit</w:t>
            </w:r>
            <w:proofErr w:type="spellEnd"/>
            <w:r w:rsidRPr="004D53EC">
              <w:rPr>
                <w:sz w:val="24"/>
                <w:lang w:val="sq-AL"/>
              </w:rPr>
              <w:t xml:space="preserve"> dhe zbatimit efektiv të formimit të kontabilitetit financiar me shtetet anëtare të BE-së në përputhje me Standardin Global të OECD-së. Miratimi i ligjit të ri për tatimin mbi të ardhurat synon harmonizimin e pjesshëm me direktivat kundër shmangies së taksave </w:t>
            </w:r>
            <w:proofErr w:type="spellStart"/>
            <w:r w:rsidRPr="004D53EC">
              <w:rPr>
                <w:sz w:val="24"/>
                <w:lang w:val="sq-AL"/>
              </w:rPr>
              <w:t>dhedirektivave</w:t>
            </w:r>
            <w:proofErr w:type="spellEnd"/>
            <w:r w:rsidRPr="004D53EC">
              <w:rPr>
                <w:sz w:val="24"/>
                <w:lang w:val="sq-AL"/>
              </w:rPr>
              <w:t xml:space="preserve"> për bashkimin e kompanive. Vendi mbeti në listën e juridiksioneve të FATF-së nën monitorim të shtuar si projektligji i tatimeve dhe amnistisë penale që Shqipëria dërgoi në parlament në fillim të 2022 nuk ishte në përputhje me parimet apo praktikat më të mira të FATF-së.</w:t>
            </w:r>
          </w:p>
        </w:tc>
      </w:tr>
      <w:tr w:rsidR="006C790B" w:rsidRPr="004D53EC" w14:paraId="08FF0BDA" w14:textId="77777777" w:rsidTr="005760FF">
        <w:trPr>
          <w:trHeight w:val="1921"/>
        </w:trPr>
        <w:tc>
          <w:tcPr>
            <w:tcW w:w="9096" w:type="dxa"/>
            <w:tcBorders>
              <w:left w:val="single" w:sz="4" w:space="0" w:color="000000"/>
              <w:right w:val="single" w:sz="4" w:space="0" w:color="000000"/>
            </w:tcBorders>
            <w:shd w:val="clear" w:color="auto" w:fill="auto"/>
          </w:tcPr>
          <w:p w14:paraId="00A9B12F" w14:textId="77777777" w:rsidR="006C790B" w:rsidRPr="004D53EC" w:rsidRDefault="006C790B" w:rsidP="006C790B">
            <w:pPr>
              <w:ind w:right="22"/>
              <w:jc w:val="both"/>
              <w:rPr>
                <w:sz w:val="24"/>
                <w:lang w:val="sq-AL"/>
              </w:rPr>
            </w:pPr>
            <w:r w:rsidRPr="004D53EC">
              <w:rPr>
                <w:sz w:val="24"/>
                <w:lang w:val="sq-AL"/>
              </w:rPr>
              <w:t xml:space="preserve">Në qershor 2023, FATF vendosi të propozojë një vizitë jo në vend, e cila u zhvillua në gusht dhe çoi në heqjen e Shqipërisë nga lista në tetor. Megjithatë, Shqipëria duhet të sigurojë që çdo ligj i ardhshëm i VTC (përfshirë amnistitë e mundshme kriminale) të jetë në përputhje me </w:t>
            </w:r>
            <w:proofErr w:type="spellStart"/>
            <w:r w:rsidRPr="004D53EC">
              <w:rPr>
                <w:sz w:val="24"/>
                <w:lang w:val="sq-AL"/>
              </w:rPr>
              <w:t>acquis</w:t>
            </w:r>
            <w:proofErr w:type="spellEnd"/>
            <w:r w:rsidRPr="004D53EC">
              <w:rPr>
                <w:sz w:val="24"/>
                <w:lang w:val="sq-AL"/>
              </w:rPr>
              <w:t xml:space="preserve"> të BE-së dhe standardet ndërkombëtare. Shqipëria u zotua të ndryshojë ose të shfuqizojë regjimin e stimulimit industrial deri më 31 dhjetor 2023, pasi ai është identifikuar si një regjim tatimor potencialisht i dëmshëm sipas objektit të Forumit për Praktikat e Dëmshme Tatimore.</w:t>
            </w:r>
          </w:p>
        </w:tc>
      </w:tr>
      <w:tr w:rsidR="006C790B" w:rsidRPr="004D53EC" w14:paraId="37C98A50" w14:textId="77777777" w:rsidTr="005760FF">
        <w:trPr>
          <w:trHeight w:val="2367"/>
        </w:trPr>
        <w:tc>
          <w:tcPr>
            <w:tcW w:w="9096" w:type="dxa"/>
            <w:tcBorders>
              <w:left w:val="single" w:sz="4" w:space="0" w:color="000000"/>
              <w:bottom w:val="single" w:sz="4" w:space="0" w:color="000000"/>
              <w:right w:val="single" w:sz="4" w:space="0" w:color="000000"/>
            </w:tcBorders>
            <w:shd w:val="clear" w:color="auto" w:fill="D9D9D9"/>
          </w:tcPr>
          <w:p w14:paraId="3B767161" w14:textId="77777777" w:rsidR="006C790B" w:rsidRPr="004D53EC" w:rsidRDefault="006C790B" w:rsidP="006C790B">
            <w:pPr>
              <w:spacing w:before="120"/>
              <w:ind w:left="34"/>
              <w:jc w:val="both"/>
              <w:rPr>
                <w:lang w:val="sq-AL"/>
              </w:rPr>
            </w:pPr>
            <w:r w:rsidRPr="004D53EC">
              <w:rPr>
                <w:sz w:val="24"/>
                <w:lang w:val="sq-AL"/>
              </w:rPr>
              <w:t>Në vitin e ardhshëm, Shqipëria duhet, veçanërisht</w:t>
            </w:r>
            <w:r w:rsidRPr="004D53EC">
              <w:rPr>
                <w:spacing w:val="-2"/>
                <w:sz w:val="24"/>
                <w:lang w:val="sq-AL"/>
              </w:rPr>
              <w:t>:</w:t>
            </w:r>
          </w:p>
          <w:p w14:paraId="49E86AA5" w14:textId="77777777" w:rsidR="006C790B" w:rsidRPr="004D53EC" w:rsidRDefault="006C790B" w:rsidP="006C790B">
            <w:pPr>
              <w:spacing w:before="120"/>
              <w:ind w:left="34"/>
              <w:jc w:val="both"/>
              <w:rPr>
                <w:lang w:val="sq-AL"/>
              </w:rPr>
            </w:pPr>
            <w:r w:rsidRPr="004D53EC">
              <w:rPr>
                <w:rFonts w:ascii="Symbol" w:hAnsi="Symbol"/>
                <w:sz w:val="24"/>
                <w:lang w:val="sq-AL"/>
              </w:rPr>
              <w:t></w:t>
            </w:r>
            <w:r w:rsidRPr="004D53EC">
              <w:rPr>
                <w:sz w:val="24"/>
                <w:lang w:val="sq-AL"/>
              </w:rPr>
              <w:t>të ulë shpenzimet tatimore, veçanërisht për shkak të përjashtimeve</w:t>
            </w:r>
            <w:r w:rsidRPr="004D53EC">
              <w:rPr>
                <w:spacing w:val="-2"/>
                <w:sz w:val="24"/>
                <w:lang w:val="sq-AL"/>
              </w:rPr>
              <w:t>;</w:t>
            </w:r>
          </w:p>
          <w:p w14:paraId="74501A59" w14:textId="77777777" w:rsidR="006C790B" w:rsidRPr="004D53EC" w:rsidRDefault="006C790B" w:rsidP="006C790B">
            <w:pPr>
              <w:spacing w:before="118"/>
              <w:ind w:left="34"/>
              <w:jc w:val="both"/>
              <w:rPr>
                <w:lang w:val="sq-AL"/>
              </w:rPr>
            </w:pPr>
            <w:r w:rsidRPr="004D53EC">
              <w:rPr>
                <w:rFonts w:ascii="Symbol" w:hAnsi="Symbol"/>
                <w:sz w:val="24"/>
                <w:lang w:val="sq-AL"/>
              </w:rPr>
              <w:t></w:t>
            </w:r>
            <w:r w:rsidRPr="004D53EC">
              <w:rPr>
                <w:sz w:val="24"/>
                <w:lang w:val="sq-AL"/>
              </w:rPr>
              <w:t>të thjeshtojë sistemin e taksave për të inkurajuar më shumë pajtueshmërinë tatimore</w:t>
            </w:r>
            <w:r w:rsidRPr="004D53EC">
              <w:rPr>
                <w:spacing w:val="-2"/>
                <w:sz w:val="24"/>
                <w:lang w:val="sq-AL"/>
              </w:rPr>
              <w:t>;</w:t>
            </w:r>
          </w:p>
          <w:p w14:paraId="400FC371" w14:textId="70F49B3F" w:rsidR="006C790B" w:rsidRPr="004D53EC" w:rsidRDefault="006C790B" w:rsidP="006C790B">
            <w:pPr>
              <w:spacing w:before="136" w:line="276" w:lineRule="exact"/>
              <w:ind w:left="394" w:right="24" w:hanging="360"/>
              <w:jc w:val="both"/>
              <w:rPr>
                <w:lang w:val="sq-AL"/>
              </w:rPr>
            </w:pPr>
            <w:r w:rsidRPr="004D53EC">
              <w:rPr>
                <w:rFonts w:ascii="Symbol" w:hAnsi="Symbol"/>
                <w:sz w:val="24"/>
                <w:lang w:val="sq-AL"/>
              </w:rPr>
              <w:t></w:t>
            </w:r>
            <w:r w:rsidRPr="004D53EC">
              <w:rPr>
                <w:lang w:val="sq-AL"/>
              </w:rPr>
              <w:t xml:space="preserve"> </w:t>
            </w:r>
            <w:r w:rsidRPr="004D53EC">
              <w:rPr>
                <w:sz w:val="24"/>
                <w:lang w:val="sq-AL"/>
              </w:rPr>
              <w:t xml:space="preserve">të ndryshojë ose të </w:t>
            </w:r>
            <w:r w:rsidR="000857D8" w:rsidRPr="004D53EC">
              <w:rPr>
                <w:sz w:val="24"/>
                <w:lang w:val="sq-AL"/>
              </w:rPr>
              <w:t>shfuqizojë</w:t>
            </w:r>
            <w:r w:rsidRPr="004D53EC">
              <w:rPr>
                <w:sz w:val="24"/>
                <w:lang w:val="sq-AL"/>
              </w:rPr>
              <w:t xml:space="preserve"> deri më 31 dhjetor 2023 regjimin e stimujve industrialë, i konsideruar si një regjim tatimor potencialisht i dëmshëm në kuadër të Forumit mbi Praktikat e Dëmshme Tatimore.</w:t>
            </w:r>
          </w:p>
        </w:tc>
      </w:tr>
    </w:tbl>
    <w:p w14:paraId="49CBE4BF" w14:textId="77777777" w:rsidR="006C790B" w:rsidRPr="004D53EC" w:rsidRDefault="006C790B" w:rsidP="006C790B">
      <w:pPr>
        <w:spacing w:before="143"/>
        <w:ind w:left="979" w:right="977"/>
        <w:jc w:val="both"/>
        <w:rPr>
          <w:sz w:val="24"/>
          <w:szCs w:val="24"/>
          <w:lang w:val="sq-AL"/>
        </w:rPr>
      </w:pPr>
      <w:r w:rsidRPr="004D53EC">
        <w:rPr>
          <w:sz w:val="24"/>
          <w:szCs w:val="24"/>
          <w:lang w:val="sq-AL"/>
        </w:rPr>
        <w:t xml:space="preserve">Për </w:t>
      </w:r>
      <w:r w:rsidRPr="004D53EC">
        <w:rPr>
          <w:b/>
          <w:sz w:val="24"/>
          <w:szCs w:val="24"/>
          <w:lang w:val="sq-AL"/>
        </w:rPr>
        <w:t>tatimet e tërthorta</w:t>
      </w:r>
      <w:r w:rsidRPr="004D53EC">
        <w:rPr>
          <w:sz w:val="24"/>
          <w:szCs w:val="24"/>
          <w:lang w:val="sq-AL"/>
        </w:rPr>
        <w:t xml:space="preserve">, norma standarde e TVSH-së është 20% dhe normat e reduktuara janë 6% dhe 10%. </w:t>
      </w:r>
      <w:proofErr w:type="spellStart"/>
      <w:r w:rsidRPr="004D53EC">
        <w:rPr>
          <w:i/>
          <w:sz w:val="24"/>
          <w:szCs w:val="24"/>
          <w:lang w:val="sq-AL"/>
        </w:rPr>
        <w:t>Acquis</w:t>
      </w:r>
      <w:proofErr w:type="spellEnd"/>
      <w:r w:rsidRPr="004D53EC">
        <w:rPr>
          <w:sz w:val="24"/>
          <w:szCs w:val="24"/>
          <w:lang w:val="sq-AL"/>
        </w:rPr>
        <w:t xml:space="preserve"> i BE-së nuk parashikon një numër të konsiderueshëm përjashtimesh. Në vitin 2022, në përgjigje të krizës së çmimeve të energjisë, Shqipëria përjashtoi nga TVSH-ja importin dhe shitjen e energjisë elektrike nëpërmjet bursës shqiptare të energjisë. Gjithashtu, importi dhe furnizimi me dru zjarri u përjashtuan nga TVSH-ja deri në fund të vitit 2023. Totali tremujor i </w:t>
      </w:r>
      <w:proofErr w:type="spellStart"/>
      <w:r w:rsidRPr="004D53EC">
        <w:rPr>
          <w:sz w:val="24"/>
          <w:szCs w:val="24"/>
          <w:lang w:val="sq-AL"/>
        </w:rPr>
        <w:t>rimbursimit</w:t>
      </w:r>
      <w:proofErr w:type="spellEnd"/>
      <w:r w:rsidRPr="004D53EC">
        <w:rPr>
          <w:sz w:val="24"/>
          <w:szCs w:val="24"/>
          <w:lang w:val="sq-AL"/>
        </w:rPr>
        <w:t xml:space="preserve"> me vonesë të TVSH-së publikohet rregullisht. Totali i detyrimeve të papaguara për </w:t>
      </w:r>
      <w:proofErr w:type="spellStart"/>
      <w:r w:rsidRPr="004D53EC">
        <w:rPr>
          <w:sz w:val="24"/>
          <w:szCs w:val="24"/>
          <w:lang w:val="sq-AL"/>
        </w:rPr>
        <w:t>rimbursimin</w:t>
      </w:r>
      <w:proofErr w:type="spellEnd"/>
      <w:r w:rsidRPr="004D53EC">
        <w:rPr>
          <w:sz w:val="24"/>
          <w:szCs w:val="24"/>
          <w:lang w:val="sq-AL"/>
        </w:rPr>
        <w:t xml:space="preserve"> e TVSH-së u shlye pothuajse tërësisht deri në fund të vitit 2021. E njëjta situatë ka vijuar edhe në vitin 2022, pjesërisht falë përdorimit të një procedure të automatizuar të bazuar në rrezik.</w:t>
      </w:r>
    </w:p>
    <w:p w14:paraId="2E134A61" w14:textId="77777777" w:rsidR="006C790B" w:rsidRPr="004D53EC" w:rsidRDefault="006C790B" w:rsidP="006C790B">
      <w:pPr>
        <w:spacing w:before="120"/>
        <w:ind w:left="980" w:right="978"/>
        <w:jc w:val="both"/>
        <w:rPr>
          <w:sz w:val="24"/>
          <w:szCs w:val="24"/>
          <w:lang w:val="sq-AL"/>
        </w:rPr>
      </w:pPr>
      <w:r w:rsidRPr="004D53EC">
        <w:rPr>
          <w:sz w:val="24"/>
          <w:szCs w:val="24"/>
          <w:lang w:val="sq-AL"/>
        </w:rPr>
        <w:t xml:space="preserve">Taksa e akcizës është pjesërisht në përputhje me </w:t>
      </w:r>
      <w:proofErr w:type="spellStart"/>
      <w:r w:rsidRPr="004D53EC">
        <w:rPr>
          <w:i/>
          <w:sz w:val="24"/>
          <w:szCs w:val="24"/>
          <w:lang w:val="sq-AL"/>
        </w:rPr>
        <w:t>acquis</w:t>
      </w:r>
      <w:proofErr w:type="spellEnd"/>
      <w:r w:rsidRPr="004D53EC">
        <w:rPr>
          <w:sz w:val="24"/>
          <w:szCs w:val="24"/>
          <w:lang w:val="sq-AL"/>
        </w:rPr>
        <w:t xml:space="preserve"> të BE-së. Që nga korriku 2022, niveli i akcizës për gazin e lëngshëm është i unifikuar, pavarësisht nga qëllimi i përdorimit. Në vitin 2023, u hoqën tarifat e reduktuara për prodhuesit e vegjël të birrës dhe pijeve alkoolike. Akciza për akumulatorët u hoq në vitin 2022.</w:t>
      </w:r>
    </w:p>
    <w:p w14:paraId="351940A8" w14:textId="77777777" w:rsidR="006C790B" w:rsidRPr="004D53EC" w:rsidRDefault="006C790B" w:rsidP="006C790B">
      <w:pPr>
        <w:spacing w:before="121"/>
        <w:ind w:left="980" w:right="978"/>
        <w:jc w:val="both"/>
        <w:rPr>
          <w:sz w:val="24"/>
          <w:szCs w:val="24"/>
          <w:lang w:val="sq-AL"/>
        </w:rPr>
      </w:pPr>
      <w:r w:rsidRPr="004D53EC">
        <w:rPr>
          <w:sz w:val="24"/>
          <w:szCs w:val="24"/>
          <w:lang w:val="sq-AL"/>
        </w:rPr>
        <w:t>Vazhdoi të zbatohej kalendari i ri për tarifat e akcizës së cigareve, i miratuar në nëntor 2021. Ai parashikon një rritje prej 15% gjatë 4 viteve në afërsisht 65 euro për 1000 cigare deri në vitin 2026, duke u përafruar gradualisht me minimumin e BE-së, që aktualisht është 90 euro për 1000.</w:t>
      </w:r>
    </w:p>
    <w:p w14:paraId="24D24992" w14:textId="2EF64CA8" w:rsidR="006C790B" w:rsidRPr="004D53EC" w:rsidRDefault="006C790B" w:rsidP="006C790B">
      <w:pPr>
        <w:spacing w:before="120"/>
        <w:ind w:left="980" w:right="976"/>
        <w:jc w:val="both"/>
        <w:rPr>
          <w:sz w:val="24"/>
          <w:szCs w:val="24"/>
          <w:lang w:val="sq-AL"/>
        </w:rPr>
      </w:pPr>
      <w:r w:rsidRPr="004D53EC">
        <w:rPr>
          <w:sz w:val="24"/>
          <w:szCs w:val="24"/>
          <w:lang w:val="sq-AL"/>
        </w:rPr>
        <w:lastRenderedPageBreak/>
        <w:t xml:space="preserve">Për sa i përket </w:t>
      </w:r>
      <w:r w:rsidRPr="004D53EC">
        <w:rPr>
          <w:b/>
          <w:sz w:val="24"/>
          <w:szCs w:val="24"/>
          <w:lang w:val="sq-AL"/>
        </w:rPr>
        <w:t>tatimeve të drejtpërdrejtë</w:t>
      </w:r>
      <w:r w:rsidRPr="004D53EC">
        <w:rPr>
          <w:sz w:val="24"/>
          <w:szCs w:val="24"/>
          <w:lang w:val="sq-AL"/>
        </w:rPr>
        <w:t xml:space="preserve">, institucionet financiare janë të detyruara ligjërisht të llogarisin, mbajnë në burim dhe deklarojnë tatimin mbi të ardhurat e krijuara nga kursimet. Për tatimin mbi të ardhurat e korporatave, disa dispozita u harmonizuan pjesërisht me Direktivën Kundër </w:t>
      </w:r>
      <w:r w:rsidR="000857D8" w:rsidRPr="004D53EC">
        <w:rPr>
          <w:sz w:val="24"/>
          <w:szCs w:val="24"/>
          <w:lang w:val="sq-AL"/>
        </w:rPr>
        <w:t>Shmangies</w:t>
      </w:r>
      <w:r w:rsidRPr="004D53EC">
        <w:rPr>
          <w:sz w:val="24"/>
          <w:szCs w:val="24"/>
          <w:lang w:val="sq-AL"/>
        </w:rPr>
        <w:t xml:space="preserve"> Tatimore. Në Mars 2023, Shqipëria miratoi Ligjin për Tatimin mbi të Ardhurat, i cili është përshtatur pjesërisht me dispozitat e Direktivave të BE-së për shmangien e taksave dhe bashkimet.</w:t>
      </w:r>
    </w:p>
    <w:p w14:paraId="325D2607" w14:textId="77777777" w:rsidR="006C790B" w:rsidRPr="004D53EC" w:rsidRDefault="006C790B" w:rsidP="006C790B">
      <w:pPr>
        <w:spacing w:before="119"/>
        <w:ind w:left="979" w:right="976"/>
        <w:jc w:val="both"/>
        <w:rPr>
          <w:sz w:val="24"/>
          <w:szCs w:val="24"/>
          <w:lang w:val="sq-AL"/>
        </w:rPr>
      </w:pPr>
      <w:r w:rsidRPr="004D53EC">
        <w:rPr>
          <w:sz w:val="24"/>
          <w:szCs w:val="24"/>
          <w:lang w:val="sq-AL"/>
        </w:rPr>
        <w:t>Shqipëria është angazhuar të ndryshojë ose të shfuqizojë regjimin e stimujve industrialë deri më 31 dhjetor 2023.</w:t>
      </w:r>
    </w:p>
    <w:p w14:paraId="3A88B907" w14:textId="77777777" w:rsidR="006C790B" w:rsidRPr="004D53EC" w:rsidRDefault="006C790B" w:rsidP="006C790B">
      <w:pPr>
        <w:spacing w:before="120"/>
        <w:ind w:left="979" w:right="976"/>
        <w:jc w:val="both"/>
        <w:rPr>
          <w:sz w:val="24"/>
          <w:szCs w:val="24"/>
          <w:lang w:val="sq-AL"/>
        </w:rPr>
      </w:pPr>
      <w:r w:rsidRPr="004D53EC">
        <w:rPr>
          <w:sz w:val="24"/>
          <w:szCs w:val="24"/>
          <w:lang w:val="sq-AL"/>
        </w:rPr>
        <w:t xml:space="preserve">Ndonëse </w:t>
      </w:r>
      <w:proofErr w:type="spellStart"/>
      <w:r w:rsidRPr="004D53EC">
        <w:rPr>
          <w:sz w:val="24"/>
          <w:szCs w:val="24"/>
          <w:lang w:val="sq-AL"/>
        </w:rPr>
        <w:t>Task</w:t>
      </w:r>
      <w:proofErr w:type="spellEnd"/>
      <w:r w:rsidRPr="004D53EC">
        <w:rPr>
          <w:sz w:val="24"/>
          <w:szCs w:val="24"/>
          <w:lang w:val="sq-AL"/>
        </w:rPr>
        <w:t xml:space="preserve"> Forca e Veprimit Financiar vlerësoi se Shqipëria ka përfunduar në mënyrë thelbësore planin e saj të veprimit 2020, vendi mbeti në listën e juridiksioneve të FATF-së nën monitorim të shtuar, për arsye se projektligji i tatimeve dhe amnistisë penale që Shqipëria u dërgoi atyre në fillim të 2022 nuk ishte në përputhje me parimet apo praktikat më të mira të FATF-së. Në qershor të vitit 2023, FATF vendosi të propozojë një vizitë në terren, e cila u zhvillua në muajin gusht çoi në heqjen e Shqipërisë nga lista në tetor.</w:t>
      </w:r>
    </w:p>
    <w:p w14:paraId="2A2F1D42" w14:textId="77777777" w:rsidR="006C790B" w:rsidRPr="004D53EC" w:rsidRDefault="006C790B" w:rsidP="006C790B">
      <w:pPr>
        <w:spacing w:before="120"/>
        <w:ind w:left="979" w:right="976"/>
        <w:jc w:val="both"/>
        <w:rPr>
          <w:sz w:val="24"/>
          <w:szCs w:val="24"/>
          <w:lang w:val="sq-AL"/>
        </w:rPr>
      </w:pPr>
      <w:r w:rsidRPr="004D53EC">
        <w:rPr>
          <w:sz w:val="24"/>
          <w:szCs w:val="24"/>
          <w:lang w:val="sq-AL"/>
        </w:rPr>
        <w:t xml:space="preserve">Megjithatë, Shqipëria duhet të sigurojë që çdo ligj i ardhshëm për Programet e Amnistisë Tatimore (VTC) (përfshirë amnistitë e mundshme penale) të jetë në përputhje me </w:t>
      </w:r>
      <w:proofErr w:type="spellStart"/>
      <w:r w:rsidRPr="004D53EC">
        <w:rPr>
          <w:i/>
          <w:sz w:val="24"/>
          <w:szCs w:val="24"/>
          <w:lang w:val="sq-AL"/>
        </w:rPr>
        <w:t>acquis</w:t>
      </w:r>
      <w:proofErr w:type="spellEnd"/>
      <w:r w:rsidRPr="004D53EC">
        <w:rPr>
          <w:sz w:val="24"/>
          <w:szCs w:val="24"/>
          <w:lang w:val="sq-AL"/>
        </w:rPr>
        <w:t xml:space="preserve"> të BE-së dhe standardet ndërkombëtare. Për sa i përket </w:t>
      </w:r>
      <w:r w:rsidRPr="004D53EC">
        <w:rPr>
          <w:b/>
          <w:sz w:val="24"/>
          <w:szCs w:val="24"/>
          <w:lang w:val="sq-AL"/>
        </w:rPr>
        <w:t>bashkëpunimit administrativ dhe ndihmës reciproke</w:t>
      </w:r>
      <w:r w:rsidRPr="004D53EC">
        <w:rPr>
          <w:sz w:val="24"/>
          <w:szCs w:val="24"/>
          <w:lang w:val="sq-AL"/>
        </w:rPr>
        <w:t>, Shqipëria ratifikoi në 2023 një Marrëveshje të Taksimit të Dyfishtë me Finlandën dhe nënshkroi një marrëveshje për taksimin e dyfishtë me Sllovakinë në maj 2023. Shqipëria nuk ka lidhur ende një marrëveshje për taksimin e dyfishtë me Danimarkën, Qipron, Lituaninë, Portugalinë.</w:t>
      </w:r>
    </w:p>
    <w:p w14:paraId="6C822D0A" w14:textId="77777777" w:rsidR="006C790B" w:rsidRPr="004D53EC" w:rsidRDefault="006C790B" w:rsidP="006C790B">
      <w:pPr>
        <w:spacing w:before="120"/>
        <w:ind w:left="979" w:right="976"/>
        <w:jc w:val="both"/>
        <w:rPr>
          <w:sz w:val="24"/>
          <w:szCs w:val="24"/>
          <w:lang w:val="sq-AL"/>
        </w:rPr>
      </w:pPr>
      <w:r w:rsidRPr="004D53EC">
        <w:rPr>
          <w:sz w:val="24"/>
          <w:szCs w:val="24"/>
          <w:lang w:val="sq-AL"/>
        </w:rPr>
        <w:t>Ligji për shkëmbimin automatik të informacionit për llogaritë financiare është harmonizuar pjesërisht me Direktivën përkatëse të BE-së të vitit 2014. Në vitin 2022, Shqipëria ka shkëmbyer automatikisht informacionin e llogarive financiare me 77 juridiksione (përfshirë 24 shtete anëtare të BE-së) dhe ka marrë informacion nga 68 juridiksione (nga të cilat 21 shtete anëtare të BE-së) brenda kuadrit të standardit të raportimit të përbashkët të OECD.</w:t>
      </w:r>
    </w:p>
    <w:p w14:paraId="5906BE16" w14:textId="77777777" w:rsidR="006C790B" w:rsidRPr="004D53EC" w:rsidRDefault="006C790B" w:rsidP="006C790B">
      <w:pPr>
        <w:spacing w:before="120"/>
        <w:ind w:left="980" w:right="976"/>
        <w:jc w:val="both"/>
        <w:rPr>
          <w:sz w:val="24"/>
          <w:szCs w:val="24"/>
          <w:lang w:val="sq-AL"/>
        </w:rPr>
      </w:pPr>
      <w:r w:rsidRPr="004D53EC">
        <w:rPr>
          <w:sz w:val="24"/>
          <w:szCs w:val="24"/>
          <w:lang w:val="sq-AL"/>
        </w:rPr>
        <w:t xml:space="preserve">Për sa i përket </w:t>
      </w:r>
      <w:r w:rsidRPr="004D53EC">
        <w:rPr>
          <w:b/>
          <w:sz w:val="24"/>
          <w:szCs w:val="24"/>
          <w:lang w:val="sq-AL"/>
        </w:rPr>
        <w:t xml:space="preserve">kapacitetit </w:t>
      </w:r>
      <w:proofErr w:type="spellStart"/>
      <w:r w:rsidRPr="004D53EC">
        <w:rPr>
          <w:b/>
          <w:sz w:val="24"/>
          <w:szCs w:val="24"/>
          <w:lang w:val="sq-AL"/>
        </w:rPr>
        <w:t>operacional</w:t>
      </w:r>
      <w:proofErr w:type="spellEnd"/>
      <w:r w:rsidRPr="004D53EC">
        <w:rPr>
          <w:sz w:val="24"/>
          <w:szCs w:val="24"/>
          <w:lang w:val="sq-AL"/>
        </w:rPr>
        <w:t>, numri i vendeve të lira në administratën tatimore mbetet i lartë, nga 155 vende të lira në 2022 në 181 në mars 2023. Programi vjetor i trajnimit bazohet në nevojat dhe në vitin 2022, janë trajnuar 1040 punonjës të Drejtorisë së Përgjithshme të Tatimeve (DPT).</w:t>
      </w:r>
    </w:p>
    <w:p w14:paraId="72B729BB" w14:textId="77777777" w:rsidR="006C790B" w:rsidRPr="004D53EC" w:rsidRDefault="006C790B" w:rsidP="006C790B">
      <w:pPr>
        <w:spacing w:before="120"/>
        <w:ind w:left="980" w:right="976"/>
        <w:jc w:val="both"/>
        <w:rPr>
          <w:sz w:val="24"/>
          <w:szCs w:val="24"/>
          <w:lang w:val="sq-AL"/>
        </w:rPr>
      </w:pPr>
      <w:r w:rsidRPr="004D53EC">
        <w:rPr>
          <w:b/>
          <w:sz w:val="24"/>
          <w:szCs w:val="24"/>
          <w:lang w:val="sq-AL"/>
        </w:rPr>
        <w:t>Kompjuterizimi</w:t>
      </w:r>
      <w:r w:rsidRPr="004D53EC">
        <w:rPr>
          <w:sz w:val="24"/>
          <w:szCs w:val="24"/>
          <w:lang w:val="sq-AL"/>
        </w:rPr>
        <w:t xml:space="preserve"> i procesit të </w:t>
      </w:r>
      <w:proofErr w:type="spellStart"/>
      <w:r w:rsidRPr="004D53EC">
        <w:rPr>
          <w:sz w:val="24"/>
          <w:szCs w:val="24"/>
          <w:lang w:val="sq-AL"/>
        </w:rPr>
        <w:t>fiskalizimit</w:t>
      </w:r>
      <w:proofErr w:type="spellEnd"/>
      <w:r w:rsidRPr="004D53EC">
        <w:rPr>
          <w:sz w:val="24"/>
          <w:szCs w:val="24"/>
          <w:lang w:val="sq-AL"/>
        </w:rPr>
        <w:t xml:space="preserve"> konsiderohet i përfunduar. Të gjitha transaksionet B2G, B2B dhe B2C kryhen vetëm nëpërmjet sistemit të </w:t>
      </w:r>
      <w:proofErr w:type="spellStart"/>
      <w:r w:rsidRPr="004D53EC">
        <w:rPr>
          <w:sz w:val="24"/>
          <w:szCs w:val="24"/>
          <w:lang w:val="sq-AL"/>
        </w:rPr>
        <w:t>fiskalizimit</w:t>
      </w:r>
      <w:proofErr w:type="spellEnd"/>
      <w:r w:rsidRPr="004D53EC">
        <w:rPr>
          <w:sz w:val="24"/>
          <w:szCs w:val="24"/>
          <w:lang w:val="sq-AL"/>
        </w:rPr>
        <w:t xml:space="preserve"> dhe informacioni raportohet në kohë reale në administratën tatimore. Përpjekjet duhet të jenë sa më të mëdha për të siguruar dhe rritur përputhshmërinë dhe për të përdorur gjithnjë e më shumë të dhënat e </w:t>
      </w:r>
      <w:proofErr w:type="spellStart"/>
      <w:r w:rsidRPr="004D53EC">
        <w:rPr>
          <w:sz w:val="24"/>
          <w:szCs w:val="24"/>
          <w:lang w:val="sq-AL"/>
        </w:rPr>
        <w:t>disponueshme</w:t>
      </w:r>
      <w:proofErr w:type="spellEnd"/>
      <w:r w:rsidRPr="004D53EC">
        <w:rPr>
          <w:sz w:val="24"/>
          <w:szCs w:val="24"/>
          <w:lang w:val="sq-AL"/>
        </w:rPr>
        <w:t xml:space="preserve"> në monitorimin e taksave dhe vlerësimet e rrezikut.</w:t>
      </w:r>
    </w:p>
    <w:p w14:paraId="77C8DFAB" w14:textId="77777777" w:rsidR="006C790B" w:rsidRPr="004D53EC" w:rsidRDefault="006C790B" w:rsidP="006C790B">
      <w:pPr>
        <w:spacing w:before="120"/>
        <w:ind w:left="1040"/>
        <w:jc w:val="both"/>
        <w:outlineLvl w:val="0"/>
        <w:rPr>
          <w:b/>
          <w:bCs/>
          <w:sz w:val="24"/>
          <w:szCs w:val="24"/>
          <w:lang w:val="sq-AL"/>
        </w:rPr>
      </w:pPr>
      <w:bookmarkStart w:id="79" w:name="Chapter_17%253A_Economic_and_monetary_po"/>
      <w:bookmarkStart w:id="80" w:name="_bookmark47"/>
      <w:bookmarkEnd w:id="79"/>
      <w:bookmarkEnd w:id="80"/>
      <w:r w:rsidRPr="004D53EC">
        <w:rPr>
          <w:b/>
          <w:bCs/>
          <w:sz w:val="24"/>
          <w:szCs w:val="24"/>
          <w:lang w:val="sq-AL"/>
        </w:rPr>
        <w:t xml:space="preserve">Kapitulli 17: Politika ekonomike dhe monetare </w:t>
      </w:r>
    </w:p>
    <w:p w14:paraId="7039A352" w14:textId="77777777" w:rsidR="006C790B" w:rsidRPr="004D53EC" w:rsidRDefault="006C790B" w:rsidP="006C790B">
      <w:pPr>
        <w:spacing w:before="120"/>
        <w:ind w:left="980" w:right="977"/>
        <w:jc w:val="both"/>
        <w:rPr>
          <w:i/>
          <w:sz w:val="24"/>
          <w:lang w:val="sq-AL"/>
        </w:rPr>
      </w:pPr>
      <w:r w:rsidRPr="004D53EC">
        <w:rPr>
          <w:i/>
          <w:sz w:val="24"/>
          <w:lang w:val="sq-AL"/>
        </w:rPr>
        <w:t>Rregullat e BE-së kërkojnë pavarësinë e bankave qendrore dhe i ndalojnë ato të financojnë drejtpërdrejt sektorin publik. Shtetet anëtare të BE-së koordinojnë politikat e tyre ekonomike dhe janë subjekt i mbikëqyrjes fiskale, ekonomike dhe financiare.</w:t>
      </w:r>
    </w:p>
    <w:p w14:paraId="6E3B78E6" w14:textId="77777777" w:rsidR="006C790B" w:rsidRPr="004D53EC" w:rsidRDefault="006C790B" w:rsidP="006C790B">
      <w:pPr>
        <w:spacing w:before="120"/>
        <w:ind w:left="980" w:right="977"/>
        <w:jc w:val="both"/>
        <w:rPr>
          <w:lang w:val="sq-AL"/>
        </w:rPr>
      </w:pPr>
    </w:p>
    <w:p w14:paraId="7A99EFFC" w14:textId="77777777" w:rsidR="006C790B" w:rsidRPr="004D53EC" w:rsidRDefault="006C790B" w:rsidP="006C790B">
      <w:pPr>
        <w:spacing w:before="6"/>
        <w:rPr>
          <w:i/>
          <w:sz w:val="10"/>
          <w:szCs w:val="24"/>
          <w:lang w:val="sq-AL"/>
        </w:rPr>
      </w:pPr>
    </w:p>
    <w:tbl>
      <w:tblPr>
        <w:tblW w:w="9254" w:type="dxa"/>
        <w:tblInd w:w="871" w:type="dxa"/>
        <w:tblCellMar>
          <w:left w:w="5" w:type="dxa"/>
          <w:right w:w="5" w:type="dxa"/>
        </w:tblCellMar>
        <w:tblLook w:val="01E0" w:firstRow="1" w:lastRow="1" w:firstColumn="1" w:lastColumn="1" w:noHBand="0" w:noVBand="0"/>
      </w:tblPr>
      <w:tblGrid>
        <w:gridCol w:w="9254"/>
      </w:tblGrid>
      <w:tr w:rsidR="006C790B" w:rsidRPr="004D53EC" w14:paraId="116B5B2F" w14:textId="77777777" w:rsidTr="005760FF">
        <w:trPr>
          <w:trHeight w:val="5536"/>
        </w:trPr>
        <w:tc>
          <w:tcPr>
            <w:tcW w:w="9254" w:type="dxa"/>
            <w:tcBorders>
              <w:top w:val="single" w:sz="4" w:space="0" w:color="000000"/>
              <w:left w:val="single" w:sz="4" w:space="0" w:color="000000"/>
              <w:bottom w:val="single" w:sz="4" w:space="0" w:color="000000"/>
              <w:right w:val="single" w:sz="4" w:space="0" w:color="000000"/>
            </w:tcBorders>
            <w:shd w:val="clear" w:color="auto" w:fill="D9D9D9"/>
          </w:tcPr>
          <w:p w14:paraId="7E988E0E" w14:textId="77777777" w:rsidR="006C790B" w:rsidRPr="004D53EC" w:rsidRDefault="006C790B" w:rsidP="006C790B">
            <w:pPr>
              <w:spacing w:before="19"/>
              <w:ind w:left="113" w:right="100"/>
              <w:jc w:val="both"/>
              <w:rPr>
                <w:sz w:val="24"/>
                <w:lang w:val="sq-AL"/>
              </w:rPr>
            </w:pPr>
            <w:r w:rsidRPr="004D53EC">
              <w:rPr>
                <w:sz w:val="24"/>
                <w:lang w:val="sq-AL"/>
              </w:rPr>
              <w:lastRenderedPageBreak/>
              <w:t xml:space="preserve">Shqipëria ka një </w:t>
            </w:r>
            <w:r w:rsidRPr="004D53EC">
              <w:rPr>
                <w:b/>
                <w:sz w:val="24"/>
                <w:lang w:val="sq-AL"/>
              </w:rPr>
              <w:t>përgatitje mesatare dhe të mirë</w:t>
            </w:r>
            <w:r w:rsidRPr="004D53EC">
              <w:rPr>
                <w:sz w:val="24"/>
                <w:lang w:val="sq-AL"/>
              </w:rPr>
              <w:t xml:space="preserve"> në fushën e politikës ekonomike dhe monetare. </w:t>
            </w:r>
            <w:r w:rsidRPr="004D53EC">
              <w:rPr>
                <w:b/>
                <w:sz w:val="24"/>
                <w:lang w:val="sq-AL"/>
              </w:rPr>
              <w:t>Progresi i saj ishte i mirë</w:t>
            </w:r>
            <w:r w:rsidRPr="004D53EC">
              <w:rPr>
                <w:sz w:val="24"/>
                <w:lang w:val="sq-AL"/>
              </w:rPr>
              <w:t xml:space="preserve">, sepse qeverisja dhe politika monetare e Bankës së Shqipërisë ishin të përshtatshme dhe efektive për të përballuar krizën e shkaktuar nga lufta mes Rusisë dhe Ukrainës. Ajo bëri përparim në rekomandimet e vitit të kaluar për të përmirësuar mekanizmin e koordinimit të politikave dhe konsultimit të qeverisë me palët e interesuara joqeveritare, megjithëse ajo duhet të përmirësojë ende efektivitetin e konsultimeve me palët e interesuara. Numri më i vogël i </w:t>
            </w:r>
            <w:proofErr w:type="spellStart"/>
            <w:r w:rsidRPr="004D53EC">
              <w:rPr>
                <w:sz w:val="24"/>
                <w:lang w:val="sq-AL"/>
              </w:rPr>
              <w:t>amendimeve</w:t>
            </w:r>
            <w:proofErr w:type="spellEnd"/>
            <w:r w:rsidRPr="004D53EC">
              <w:rPr>
                <w:sz w:val="24"/>
                <w:lang w:val="sq-AL"/>
              </w:rPr>
              <w:t xml:space="preserve"> buxhetore përmirësoi besueshmërinë e procesit buxhetor. Gjithsesi, përafrimi i ligjit të Bankës së Shqipërisë me </w:t>
            </w:r>
            <w:proofErr w:type="spellStart"/>
            <w:r w:rsidRPr="004D53EC">
              <w:rPr>
                <w:sz w:val="24"/>
                <w:lang w:val="sq-AL"/>
              </w:rPr>
              <w:t>acquis</w:t>
            </w:r>
            <w:proofErr w:type="spellEnd"/>
            <w:r w:rsidRPr="004D53EC">
              <w:rPr>
                <w:sz w:val="24"/>
                <w:lang w:val="sq-AL"/>
              </w:rPr>
              <w:t xml:space="preserve"> të BE-së u shty. Përafrimi i llogarive qeveritare dhe kombëtare me ESA2010 u rrit dhe njoftimet për Procedurat e Deficitit të Tepërt u përmirësuan (Shqipëria e paraqet rregullisht këtë në bazë të përpjekjeve më të mira). Gjithsesi, ka ende nevojë për përmirësime të rëndësishme për të qenë në përputhje e plotë me ESA 2010.</w:t>
            </w:r>
          </w:p>
          <w:p w14:paraId="3D8EA480" w14:textId="77777777" w:rsidR="006C790B" w:rsidRPr="004D53EC" w:rsidRDefault="006C790B" w:rsidP="006C790B">
            <w:pPr>
              <w:spacing w:before="119"/>
              <w:ind w:left="113"/>
              <w:jc w:val="both"/>
              <w:rPr>
                <w:lang w:val="sq-AL"/>
              </w:rPr>
            </w:pPr>
            <w:r w:rsidRPr="004D53EC">
              <w:rPr>
                <w:sz w:val="24"/>
                <w:lang w:val="sq-AL"/>
              </w:rPr>
              <w:t>Në vitin e ardhshëm Shqipëria duhet, në veçanti</w:t>
            </w:r>
            <w:r w:rsidRPr="004D53EC">
              <w:rPr>
                <w:spacing w:val="-2"/>
                <w:sz w:val="24"/>
                <w:lang w:val="sq-AL"/>
              </w:rPr>
              <w:t>:</w:t>
            </w:r>
          </w:p>
          <w:p w14:paraId="24498E41" w14:textId="77777777" w:rsidR="006C790B" w:rsidRPr="004D53EC" w:rsidRDefault="006C790B" w:rsidP="006C790B">
            <w:pPr>
              <w:spacing w:before="120"/>
              <w:ind w:left="473" w:right="127" w:hanging="360"/>
              <w:jc w:val="both"/>
              <w:rPr>
                <w:lang w:val="sq-AL"/>
              </w:rPr>
            </w:pPr>
            <w:r w:rsidRPr="004D53EC">
              <w:rPr>
                <w:rFonts w:ascii="Symbol" w:hAnsi="Symbol"/>
                <w:sz w:val="24"/>
                <w:lang w:val="sq-AL"/>
              </w:rPr>
              <w:t></w:t>
            </w:r>
            <w:r w:rsidRPr="004D53EC">
              <w:rPr>
                <w:sz w:val="24"/>
                <w:szCs w:val="24"/>
                <w:lang w:val="sq-AL"/>
              </w:rPr>
              <w:t xml:space="preserve"> </w:t>
            </w:r>
            <w:r w:rsidRPr="004D53EC">
              <w:rPr>
                <w:sz w:val="24"/>
                <w:lang w:val="sq-AL"/>
              </w:rPr>
              <w:t xml:space="preserve">të </w:t>
            </w:r>
            <w:proofErr w:type="spellStart"/>
            <w:r w:rsidRPr="004D53EC">
              <w:rPr>
                <w:sz w:val="24"/>
                <w:lang w:val="sq-AL"/>
              </w:rPr>
              <w:t>përshtasë</w:t>
            </w:r>
            <w:proofErr w:type="spellEnd"/>
            <w:r w:rsidRPr="004D53EC">
              <w:rPr>
                <w:sz w:val="24"/>
                <w:lang w:val="sq-AL"/>
              </w:rPr>
              <w:t xml:space="preserve"> legjislacionin për pavarësinë personale të guvernatorit të Bankës së Shqipërisë, si dhe për financimin e mundshëm monetar të sektorit publik me </w:t>
            </w:r>
            <w:proofErr w:type="spellStart"/>
            <w:r w:rsidRPr="004D53EC">
              <w:rPr>
                <w:i/>
                <w:sz w:val="24"/>
                <w:lang w:val="sq-AL"/>
              </w:rPr>
              <w:t>acquis</w:t>
            </w:r>
            <w:proofErr w:type="spellEnd"/>
            <w:r w:rsidRPr="004D53EC">
              <w:rPr>
                <w:sz w:val="24"/>
                <w:lang w:val="sq-AL"/>
              </w:rPr>
              <w:t xml:space="preserve"> të BE-së;</w:t>
            </w:r>
          </w:p>
          <w:p w14:paraId="34E31F97" w14:textId="77777777" w:rsidR="006C790B" w:rsidRPr="004D53EC" w:rsidRDefault="006C790B" w:rsidP="006C790B">
            <w:pPr>
              <w:spacing w:before="120"/>
              <w:ind w:left="473" w:right="103" w:hanging="360"/>
              <w:jc w:val="both"/>
              <w:rPr>
                <w:lang w:val="sq-AL"/>
              </w:rPr>
            </w:pPr>
            <w:r w:rsidRPr="004D53EC">
              <w:rPr>
                <w:rFonts w:ascii="Symbol" w:hAnsi="Symbol"/>
                <w:sz w:val="24"/>
                <w:lang w:val="sq-AL"/>
              </w:rPr>
              <w:t></w:t>
            </w:r>
            <w:r w:rsidRPr="004D53EC">
              <w:rPr>
                <w:sz w:val="24"/>
                <w:szCs w:val="24"/>
                <w:lang w:val="sq-AL"/>
              </w:rPr>
              <w:t xml:space="preserve"> </w:t>
            </w:r>
            <w:r w:rsidRPr="004D53EC">
              <w:rPr>
                <w:sz w:val="24"/>
                <w:lang w:val="sq-AL"/>
              </w:rPr>
              <w:t>të përmirësojë mekanizmin e saj të koordinimit ndërqeveritar dhe efektivitetin për t’u konsultuar me palët e interesuara joqeveritare;</w:t>
            </w:r>
          </w:p>
          <w:p w14:paraId="083FC4BE" w14:textId="77777777" w:rsidR="006C790B" w:rsidRPr="004D53EC" w:rsidRDefault="006C790B" w:rsidP="006C790B">
            <w:pPr>
              <w:spacing w:before="119" w:line="292" w:lineRule="exact"/>
              <w:ind w:left="113"/>
              <w:rPr>
                <w:lang w:val="sq-AL"/>
              </w:rPr>
            </w:pPr>
            <w:r w:rsidRPr="004D53EC">
              <w:rPr>
                <w:rFonts w:ascii="Symbol" w:hAnsi="Symbol"/>
                <w:sz w:val="24"/>
                <w:lang w:val="sq-AL"/>
              </w:rPr>
              <w:t></w:t>
            </w:r>
            <w:r w:rsidRPr="004D53EC">
              <w:rPr>
                <w:sz w:val="24"/>
                <w:lang w:val="sq-AL"/>
              </w:rPr>
              <w:t xml:space="preserve"> të fillojë raportimin mbi qëndrueshmërinë afatgjatë fiskale të sistemit të saj të sigurimeve shoqërore</w:t>
            </w:r>
            <w:r w:rsidRPr="004D53EC">
              <w:rPr>
                <w:spacing w:val="-2"/>
                <w:sz w:val="24"/>
                <w:lang w:val="sq-AL"/>
              </w:rPr>
              <w:t>.</w:t>
            </w:r>
          </w:p>
        </w:tc>
      </w:tr>
    </w:tbl>
    <w:p w14:paraId="5E95C95A" w14:textId="77777777" w:rsidR="006C790B" w:rsidRPr="004D53EC" w:rsidRDefault="006C790B" w:rsidP="006C790B">
      <w:pPr>
        <w:spacing w:before="121"/>
        <w:ind w:left="980" w:right="976"/>
        <w:jc w:val="both"/>
        <w:rPr>
          <w:sz w:val="24"/>
          <w:szCs w:val="24"/>
          <w:lang w:val="sq-AL"/>
        </w:rPr>
      </w:pPr>
      <w:r w:rsidRPr="004D53EC">
        <w:rPr>
          <w:sz w:val="24"/>
          <w:szCs w:val="24"/>
          <w:lang w:val="sq-AL"/>
        </w:rPr>
        <w:t xml:space="preserve">Në fushën e </w:t>
      </w:r>
      <w:r w:rsidRPr="004D53EC">
        <w:rPr>
          <w:b/>
          <w:sz w:val="24"/>
          <w:szCs w:val="24"/>
          <w:lang w:val="sq-AL"/>
        </w:rPr>
        <w:t>politikës monetare</w:t>
      </w:r>
      <w:r w:rsidRPr="004D53EC">
        <w:rPr>
          <w:sz w:val="24"/>
          <w:szCs w:val="24"/>
          <w:lang w:val="sq-AL"/>
        </w:rPr>
        <w:t xml:space="preserve">, objektivi kryesor i bankës qendrore, i përcaktuar në Ligjin për Bankën e Shqipërisë (BSH), mbetet arritja dhe ruajtja e stabilitetit të çmimeve. Objektivi i inflacionit është 3%. BSH është e pavarur financiarisht, me instrumente, kompetencë dhe kapacitete të </w:t>
      </w:r>
      <w:proofErr w:type="spellStart"/>
      <w:r w:rsidRPr="004D53EC">
        <w:rPr>
          <w:sz w:val="24"/>
          <w:szCs w:val="24"/>
          <w:lang w:val="sq-AL"/>
        </w:rPr>
        <w:t>mjaftueshëme</w:t>
      </w:r>
      <w:proofErr w:type="spellEnd"/>
      <w:r w:rsidRPr="004D53EC">
        <w:rPr>
          <w:sz w:val="24"/>
          <w:szCs w:val="24"/>
          <w:lang w:val="sq-AL"/>
        </w:rPr>
        <w:t xml:space="preserve"> administrative për të zhvilluar një politikë monetare efektive. BSH ka një këshill mbikëqyrës plotësisht funksional, të emëruar nga parlamenti. Ky këshill përgjigjet para këtij të fundit dhe vepron në mënyrë të pavarur. Megjithatë, pavarësia personale e guvernatorit të bankës qendrore është e harmonizuar pjesërisht me </w:t>
      </w:r>
      <w:proofErr w:type="spellStart"/>
      <w:r w:rsidRPr="004D53EC">
        <w:rPr>
          <w:i/>
          <w:sz w:val="24"/>
          <w:szCs w:val="24"/>
          <w:lang w:val="sq-AL"/>
        </w:rPr>
        <w:t>acquis</w:t>
      </w:r>
      <w:proofErr w:type="spellEnd"/>
      <w:r w:rsidRPr="004D53EC">
        <w:rPr>
          <w:sz w:val="24"/>
          <w:szCs w:val="24"/>
          <w:lang w:val="sq-AL"/>
        </w:rPr>
        <w:t xml:space="preserve"> të BE-së. Politika monetare zbatohet brenda një regjimi pa kurs këmbimi të luhatshëm duke përdorur një grup standard instrumentesh: i) operacionet e tregut të hapur; </w:t>
      </w:r>
      <w:proofErr w:type="spellStart"/>
      <w:r w:rsidRPr="004D53EC">
        <w:rPr>
          <w:sz w:val="24"/>
          <w:szCs w:val="24"/>
          <w:lang w:val="sq-AL"/>
        </w:rPr>
        <w:t>ii</w:t>
      </w:r>
      <w:proofErr w:type="spellEnd"/>
      <w:r w:rsidRPr="004D53EC">
        <w:rPr>
          <w:sz w:val="24"/>
          <w:szCs w:val="24"/>
          <w:lang w:val="sq-AL"/>
        </w:rPr>
        <w:t xml:space="preserve">) lehtësirat e përhershme; dhe </w:t>
      </w:r>
      <w:proofErr w:type="spellStart"/>
      <w:r w:rsidRPr="004D53EC">
        <w:rPr>
          <w:sz w:val="24"/>
          <w:szCs w:val="24"/>
          <w:lang w:val="sq-AL"/>
        </w:rPr>
        <w:t>iii</w:t>
      </w:r>
      <w:proofErr w:type="spellEnd"/>
      <w:r w:rsidRPr="004D53EC">
        <w:rPr>
          <w:sz w:val="24"/>
          <w:szCs w:val="24"/>
          <w:lang w:val="sq-AL"/>
        </w:rPr>
        <w:t xml:space="preserve">) rezervat minimale të detyrueshme. </w:t>
      </w:r>
    </w:p>
    <w:p w14:paraId="335A7323" w14:textId="77777777" w:rsidR="006C790B" w:rsidRPr="004D53EC" w:rsidRDefault="006C790B" w:rsidP="006C790B">
      <w:pPr>
        <w:spacing w:before="121"/>
        <w:ind w:left="980" w:right="976"/>
        <w:jc w:val="both"/>
        <w:rPr>
          <w:sz w:val="24"/>
          <w:szCs w:val="24"/>
          <w:lang w:val="sq-AL"/>
        </w:rPr>
      </w:pPr>
      <w:r w:rsidRPr="004D53EC">
        <w:rPr>
          <w:sz w:val="24"/>
          <w:szCs w:val="24"/>
          <w:lang w:val="sq-AL"/>
        </w:rPr>
        <w:t xml:space="preserve">Në përputhje me legjislacionin shqiptar, BSH-ja mund t’i ofrojë qeverisë financime të kufizuara në kushte të caktuara, gjë e cila nuk është në përputhje me </w:t>
      </w:r>
      <w:proofErr w:type="spellStart"/>
      <w:r w:rsidRPr="004D53EC">
        <w:rPr>
          <w:i/>
          <w:sz w:val="24"/>
          <w:szCs w:val="24"/>
          <w:lang w:val="sq-AL"/>
        </w:rPr>
        <w:t>acquis</w:t>
      </w:r>
      <w:proofErr w:type="spellEnd"/>
      <w:r w:rsidRPr="004D53EC">
        <w:rPr>
          <w:sz w:val="24"/>
          <w:szCs w:val="24"/>
          <w:lang w:val="sq-AL"/>
        </w:rPr>
        <w:t xml:space="preserve"> të BE-së, megjithëse ky opsion nuk është përdorur që nga viti 2010. Përafrimi i planifikuar me </w:t>
      </w:r>
      <w:proofErr w:type="spellStart"/>
      <w:r w:rsidRPr="004D53EC">
        <w:rPr>
          <w:sz w:val="24"/>
          <w:szCs w:val="24"/>
          <w:lang w:val="sq-AL"/>
        </w:rPr>
        <w:t>acquis</w:t>
      </w:r>
      <w:proofErr w:type="spellEnd"/>
      <w:r w:rsidRPr="004D53EC">
        <w:rPr>
          <w:sz w:val="24"/>
          <w:szCs w:val="24"/>
          <w:lang w:val="sq-AL"/>
        </w:rPr>
        <w:t xml:space="preserve"> të BE-së u shty, për shkak të luhatjeve të fundit të jashtme, tregut të pasigurt sekondar për letrat me vlerë të qeverisë dhe nevojave të vazhdueshme për rikthimin e borxhit afatshkurtër qeveritar. BSH vijoi me normalizimin e politikës së saj monetare në përgjigje të inflacionit që ka tejkaluar objektivin e tij që nga muaji mars 2022, duke rritur gradualisht normën bazë të politikës deri në 3% në mars 2023, dhe duke rritur normat për depozitat njëditore dhe kreditë përkatësisht me 1.9 pikë përqindjeje dhe 3.1 pikë përqindjeje.</w:t>
      </w:r>
    </w:p>
    <w:p w14:paraId="2FFFDFB4" w14:textId="77777777" w:rsidR="006C790B" w:rsidRPr="004D53EC" w:rsidRDefault="006C790B" w:rsidP="006C790B">
      <w:pPr>
        <w:spacing w:before="121"/>
        <w:ind w:left="980" w:right="976"/>
        <w:jc w:val="both"/>
        <w:rPr>
          <w:sz w:val="24"/>
          <w:szCs w:val="24"/>
          <w:lang w:val="sq-AL"/>
        </w:rPr>
      </w:pPr>
      <w:r w:rsidRPr="004D53EC">
        <w:rPr>
          <w:sz w:val="24"/>
          <w:szCs w:val="24"/>
          <w:lang w:val="sq-AL"/>
        </w:rPr>
        <w:t>BSH vazhdoi të ofrojë likuiditet për ekonominë (sigurimi i pakufizuar i likuiditetit për ekonominë u ndërpre në fillim të vitit 2022) dhe vazhdoi të publikojë çdo tremujor kalendarin dhe pasqyrat për ndërhyrjet e saj në tregjet valutore dhe të parasë. Rritja e normave të interesit për kreditë dhe depozitat e bankave tregtare tregojnë për përdorim efektiv të normalizimit të politikës monetare.</w:t>
      </w:r>
    </w:p>
    <w:p w14:paraId="0635DC01" w14:textId="77777777" w:rsidR="006C790B" w:rsidRPr="004D53EC" w:rsidRDefault="006C790B" w:rsidP="006C790B">
      <w:pPr>
        <w:spacing w:before="120"/>
        <w:ind w:left="979" w:right="976"/>
        <w:jc w:val="both"/>
        <w:rPr>
          <w:sz w:val="24"/>
          <w:szCs w:val="24"/>
          <w:lang w:val="sq-AL"/>
        </w:rPr>
      </w:pPr>
      <w:r w:rsidRPr="004D53EC">
        <w:rPr>
          <w:sz w:val="24"/>
          <w:szCs w:val="24"/>
          <w:lang w:val="sq-AL"/>
        </w:rPr>
        <w:t xml:space="preserve">Në nëntor 2022, Këshilli Mbikëqyrës i BSH-së miratoi Strategjinë e përditësuar të bankës për Zhvillimin Afatmesëm 2023-2025, si dhe buxhetin e saj 2023-2025. Objektivi i saj është të forcojë pavarësinë, qeverisjen, transparencën dhe përgjegjshmërinë e BSH-së në përputhje me </w:t>
      </w:r>
      <w:r w:rsidRPr="004D53EC">
        <w:rPr>
          <w:sz w:val="24"/>
          <w:szCs w:val="24"/>
          <w:lang w:val="sq-AL"/>
        </w:rPr>
        <w:lastRenderedPageBreak/>
        <w:t xml:space="preserve">harmonizimin gradual me </w:t>
      </w:r>
      <w:proofErr w:type="spellStart"/>
      <w:r w:rsidRPr="004D53EC">
        <w:rPr>
          <w:i/>
          <w:sz w:val="24"/>
          <w:szCs w:val="24"/>
          <w:lang w:val="sq-AL"/>
        </w:rPr>
        <w:t>acquis</w:t>
      </w:r>
      <w:proofErr w:type="spellEnd"/>
      <w:r w:rsidRPr="004D53EC">
        <w:rPr>
          <w:sz w:val="24"/>
          <w:szCs w:val="24"/>
          <w:lang w:val="sq-AL"/>
        </w:rPr>
        <w:t xml:space="preserve"> të BE-së. Në veçanti, synimi i saj është t’i përafrojë sa më shumë standardet e saj të qeverisjes për </w:t>
      </w:r>
      <w:proofErr w:type="spellStart"/>
      <w:r w:rsidRPr="004D53EC">
        <w:rPr>
          <w:sz w:val="24"/>
          <w:szCs w:val="24"/>
          <w:lang w:val="sq-AL"/>
        </w:rPr>
        <w:t>auditimin</w:t>
      </w:r>
      <w:proofErr w:type="spellEnd"/>
      <w:r w:rsidRPr="004D53EC">
        <w:rPr>
          <w:sz w:val="24"/>
          <w:szCs w:val="24"/>
          <w:lang w:val="sq-AL"/>
        </w:rPr>
        <w:t xml:space="preserve"> e brendshëm duke përdorur Standardet e përditësuara Ndërkombëtare të Raportimit Financiar (IFRS), menaxhimin e rrezikut </w:t>
      </w:r>
      <w:proofErr w:type="spellStart"/>
      <w:r w:rsidRPr="004D53EC">
        <w:rPr>
          <w:sz w:val="24"/>
          <w:szCs w:val="24"/>
          <w:lang w:val="sq-AL"/>
        </w:rPr>
        <w:t>operacional</w:t>
      </w:r>
      <w:proofErr w:type="spellEnd"/>
      <w:r w:rsidRPr="004D53EC">
        <w:rPr>
          <w:sz w:val="24"/>
          <w:szCs w:val="24"/>
          <w:lang w:val="sq-AL"/>
        </w:rPr>
        <w:t xml:space="preserve">, menaxhimin e vijimësisë së biznesit. Ajo parashikon gjithashtu nxitjen e zhvillimit të mëtejshëm të tregut dytësor të letrave me vlerë të qeverisë, me qëllim për të përmirësuar kushtet e përgjithshme për financimin e qeverisë vendase. Nisur nga ndryshimi i situatës së jashtme dhe financiare, BSH deklaroi se do të vazhdojë aktivitetin e saj ndërmjetësues për blerjen dhe administrimin e llogarive të letrave me vlerë qeveritare nga individët, duke rishikuar planin e strategjisë së vitit 2022 për ta hequr këtë aktivitet. Më 1 mars 2023, BSH miratoi raportin vjetor të vitit 2022, në të cilin janë përfshirë pasqyrat financiare të </w:t>
      </w:r>
      <w:proofErr w:type="spellStart"/>
      <w:r w:rsidRPr="004D53EC">
        <w:rPr>
          <w:sz w:val="24"/>
          <w:szCs w:val="24"/>
          <w:lang w:val="sq-AL"/>
        </w:rPr>
        <w:t>audituara</w:t>
      </w:r>
      <w:proofErr w:type="spellEnd"/>
      <w:r w:rsidRPr="004D53EC">
        <w:rPr>
          <w:sz w:val="24"/>
          <w:szCs w:val="24"/>
          <w:lang w:val="sq-AL"/>
        </w:rPr>
        <w:t xml:space="preserve"> nga auditorë të jashtëm, të cilat u prezantuan më pas në komisionin ekonomik dhe financiar të parlamentit kombëtar.</w:t>
      </w:r>
    </w:p>
    <w:p w14:paraId="5B45BD25" w14:textId="77777777" w:rsidR="006C790B" w:rsidRPr="004D53EC" w:rsidRDefault="006C790B" w:rsidP="006C790B">
      <w:pPr>
        <w:spacing w:before="120"/>
        <w:ind w:left="979" w:right="977"/>
        <w:jc w:val="both"/>
        <w:rPr>
          <w:sz w:val="24"/>
          <w:szCs w:val="24"/>
          <w:lang w:val="sq-AL"/>
        </w:rPr>
      </w:pPr>
      <w:r w:rsidRPr="004D53EC">
        <w:rPr>
          <w:sz w:val="24"/>
          <w:szCs w:val="24"/>
          <w:lang w:val="sq-AL"/>
        </w:rPr>
        <w:t xml:space="preserve">Në fushën e </w:t>
      </w:r>
      <w:r w:rsidRPr="004D53EC">
        <w:rPr>
          <w:b/>
          <w:sz w:val="24"/>
          <w:szCs w:val="24"/>
          <w:lang w:val="sq-AL"/>
        </w:rPr>
        <w:t>politikës ekonomike</w:t>
      </w:r>
      <w:r w:rsidRPr="004D53EC">
        <w:rPr>
          <w:sz w:val="24"/>
          <w:szCs w:val="24"/>
          <w:lang w:val="sq-AL"/>
        </w:rPr>
        <w:t xml:space="preserve">, Shqipëria ka vepruar në përputhje me rregulloret fiskale që nga viti 2016. Ajo shtoi një rregull të ri numerik për të pasur një bilanc primar neutral ose pozitiv nga viti 2024, i cili do të forcojë ndjeshëm kuadrin e rregullave fiskale. Në kuadrin fiskal afatmesëm 2023-2025 parashikohet respektimi i të gjitha rregullave fiskale. Shqipëria nuk ka asnjë institucion të pavarur fiskal për të monitoruar respektimin e rregulloreve të saj fiskale dhe cilësinë e parashikimeve të saj, përkundrazi është e detyruar me ligj të përdorë parashikimin e FMN-së për PBB-në nominale, e cila shërben si bazë për llogaritjen e raportit të borxhit publik ndaj PBB-së dhe treguesve të tjerë fiskalë. Kjo nuk është në përputhje me </w:t>
      </w:r>
      <w:proofErr w:type="spellStart"/>
      <w:r w:rsidRPr="004D53EC">
        <w:rPr>
          <w:i/>
          <w:sz w:val="24"/>
          <w:szCs w:val="24"/>
          <w:lang w:val="sq-AL"/>
        </w:rPr>
        <w:t>acquis</w:t>
      </w:r>
      <w:proofErr w:type="spellEnd"/>
      <w:r w:rsidRPr="004D53EC">
        <w:rPr>
          <w:sz w:val="24"/>
          <w:szCs w:val="24"/>
          <w:lang w:val="sq-AL"/>
        </w:rPr>
        <w:t xml:space="preserve"> të BE-së. Zbatimi i buxhetit </w:t>
      </w:r>
      <w:proofErr w:type="spellStart"/>
      <w:r w:rsidRPr="004D53EC">
        <w:rPr>
          <w:sz w:val="24"/>
          <w:szCs w:val="24"/>
          <w:lang w:val="sq-AL"/>
        </w:rPr>
        <w:t>auditohet</w:t>
      </w:r>
      <w:proofErr w:type="spellEnd"/>
      <w:r w:rsidRPr="004D53EC">
        <w:rPr>
          <w:sz w:val="24"/>
          <w:szCs w:val="24"/>
          <w:lang w:val="sq-AL"/>
        </w:rPr>
        <w:t xml:space="preserve"> rregullisht nga Kontrolli i Lartë i Shtetit. Në vitin 2022, Shqipëria përdori katër herë legjislacionin sekondar, në vend të procesit të rregullt legjislativ, për të ndryshuar buxhetin e saj, por ajo nuk bëri asnjë ndryshim buxhetor në gjysmën e parë të 2023.</w:t>
      </w:r>
    </w:p>
    <w:p w14:paraId="1D7629C8" w14:textId="77777777" w:rsidR="006C790B" w:rsidRPr="004D53EC" w:rsidRDefault="006C790B" w:rsidP="006C790B">
      <w:pPr>
        <w:spacing w:before="119"/>
        <w:ind w:left="979" w:right="976"/>
        <w:jc w:val="both"/>
        <w:rPr>
          <w:sz w:val="24"/>
          <w:szCs w:val="24"/>
          <w:lang w:val="sq-AL"/>
        </w:rPr>
      </w:pPr>
      <w:r w:rsidRPr="004D53EC">
        <w:rPr>
          <w:sz w:val="24"/>
          <w:szCs w:val="24"/>
          <w:lang w:val="sq-AL"/>
        </w:rPr>
        <w:t xml:space="preserve">Prezantimi dhe publikimi i buxhetit vjetor përfshin programin fiskal afatmesëm me një interval më të gjatë se 3 vjet që përsëritet çdo vit, parashikimin e borxhit qeveritar, zhvillimin makroekonomik, si dhe pasqyrat e rrezikut fiskal. “Buxheti i qytetarëve” përfshin një listë me projektet për investimet publike dhe PPP. Analiza makro-fiskale e kuadrit buxhetor mund të përmirësohet dhe në të mund të shtohen treguesit afatgjatë të qëndrueshmërisë fiskale. Për përgatitjen e buxhetit angazhohen të gjitha njësitë qeveritare, por detajet e pasqyrave të shpenzimeve të pushtetit vendor nuk janë të përfshira në këtë kuadër. Planifikimi i buxhetit pati një përmirësim në vitin 2023, duke u bazuar në rezultatin aktual fiskal të vitit të </w:t>
      </w:r>
      <w:proofErr w:type="spellStart"/>
      <w:r w:rsidRPr="004D53EC">
        <w:rPr>
          <w:sz w:val="24"/>
          <w:szCs w:val="24"/>
          <w:lang w:val="sq-AL"/>
        </w:rPr>
        <w:t>mëparshmë</w:t>
      </w:r>
      <w:proofErr w:type="spellEnd"/>
      <w:r w:rsidRPr="004D53EC">
        <w:rPr>
          <w:sz w:val="24"/>
          <w:szCs w:val="24"/>
          <w:lang w:val="sq-AL"/>
        </w:rPr>
        <w:t>, dhe nuk u përdor plan buxheti i vitit të shkuar.</w:t>
      </w:r>
    </w:p>
    <w:p w14:paraId="592DA25D" w14:textId="77777777" w:rsidR="006C790B" w:rsidRPr="004D53EC" w:rsidRDefault="006C790B" w:rsidP="006C790B">
      <w:pPr>
        <w:spacing w:before="120"/>
        <w:ind w:left="979" w:right="976"/>
        <w:jc w:val="both"/>
        <w:rPr>
          <w:sz w:val="24"/>
          <w:szCs w:val="24"/>
          <w:lang w:val="sq-AL"/>
        </w:rPr>
      </w:pPr>
      <w:r w:rsidRPr="004D53EC">
        <w:rPr>
          <w:sz w:val="24"/>
          <w:szCs w:val="24"/>
          <w:lang w:val="sq-AL"/>
        </w:rPr>
        <w:t xml:space="preserve">Shqipëria e paraqiti në kohë Programin e saj të Reformës Ekonomike (ERP) 2023-2025, i cili u miratua më 1 mars 2023. Drafti i ERP-së për konsultim u publikua dy javë me vonesë dhe mungesa e komenteve për raportin nxjerr në pah nevojën për një kontakt më të madh me shoqërinë civile dhe rritjen e ndërgjegjësimit të palëve të interesuara për procesin e ERP-së. Publikimi i detyrueshëm i draft dokumenteve të qeverisë, përfshirë njoftimet, raportet e vlerësimit të ndikimit rregullator, shënimet shpjeguese dhe raportet e konsultimit publik në platformën </w:t>
      </w:r>
      <w:proofErr w:type="spellStart"/>
      <w:r w:rsidRPr="004D53EC">
        <w:rPr>
          <w:sz w:val="24"/>
          <w:szCs w:val="24"/>
          <w:lang w:val="sq-AL"/>
        </w:rPr>
        <w:t>online</w:t>
      </w:r>
      <w:proofErr w:type="spellEnd"/>
      <w:r w:rsidRPr="004D53EC">
        <w:rPr>
          <w:sz w:val="24"/>
          <w:szCs w:val="24"/>
          <w:lang w:val="sq-AL"/>
        </w:rPr>
        <w:t>, e ka rritur ndjeshëm transparencën qeveritare. Sidoqoftë, mungesa e komenteve publike në platformë tregon se qeveria duhet gjithashtu të organizojë shkëmbime të drejtpërdrejta me palët e interesuara dhe të tregojë se ato janë marrë parasysh. Në këtë kontekst, Shqipëria ka bërë progres duke identifikuar palët e interesuara të ministrive të linjës deri në fund të vitit 2022, me qëllim njoftimin e tyre për konsultimet publike në fushën e tyre të interesit. Përveç kësaj, në radhët e qeverisë po riorganizohet mbikëqyrja dhe kontrolli i cilësisë së procesit të konsultimit publik. Shqipëria duhet të përmirësojë efektivitetin e përgjithshëm të konsultimit me palët e interesuara dhe mekanizmin e saj të koordinimit ndër-institucional.</w:t>
      </w:r>
    </w:p>
    <w:p w14:paraId="46BAB947" w14:textId="77777777" w:rsidR="006C790B" w:rsidRPr="004D53EC" w:rsidRDefault="006C790B" w:rsidP="006C790B">
      <w:pPr>
        <w:spacing w:before="120"/>
        <w:ind w:left="979" w:right="976"/>
        <w:jc w:val="both"/>
        <w:rPr>
          <w:sz w:val="24"/>
          <w:szCs w:val="24"/>
          <w:lang w:val="sq-AL"/>
        </w:rPr>
      </w:pPr>
      <w:r w:rsidRPr="004D53EC">
        <w:rPr>
          <w:sz w:val="24"/>
          <w:szCs w:val="24"/>
          <w:lang w:val="sq-AL"/>
        </w:rPr>
        <w:t xml:space="preserve">Statistikat e llogarive kombëtare janë pjesërisht në përputhje me Sistemin Evropian të </w:t>
      </w:r>
      <w:r w:rsidRPr="004D53EC">
        <w:rPr>
          <w:sz w:val="24"/>
          <w:szCs w:val="24"/>
          <w:lang w:val="sq-AL"/>
        </w:rPr>
        <w:lastRenderedPageBreak/>
        <w:t xml:space="preserve">Llogarive Kombëtare dhe Rajonale (ESA 2010), por është e nevojshme të bëhet një punë akoma më e madhe për të përmirësuar përafrimin dhe përputhshmërinë si të llogarive vjetore të sektorit ashtu edhe të llogarive financiare. Në Shqipëri, niveli i përputhshmërisë së 12 nga 14 treguesit për procedurën e </w:t>
      </w:r>
      <w:proofErr w:type="spellStart"/>
      <w:r w:rsidRPr="004D53EC">
        <w:rPr>
          <w:sz w:val="24"/>
          <w:szCs w:val="24"/>
          <w:lang w:val="sq-AL"/>
        </w:rPr>
        <w:t>disbalancave</w:t>
      </w:r>
      <w:proofErr w:type="spellEnd"/>
      <w:r w:rsidRPr="004D53EC">
        <w:rPr>
          <w:sz w:val="24"/>
          <w:szCs w:val="24"/>
          <w:lang w:val="sq-AL"/>
        </w:rPr>
        <w:t xml:space="preserve"> makroekonomike (MIP </w:t>
      </w:r>
      <w:proofErr w:type="spellStart"/>
      <w:r w:rsidRPr="004D53EC">
        <w:rPr>
          <w:sz w:val="24"/>
          <w:szCs w:val="24"/>
          <w:lang w:val="sq-AL"/>
        </w:rPr>
        <w:t>Scoreboard</w:t>
      </w:r>
      <w:proofErr w:type="spellEnd"/>
      <w:r w:rsidRPr="004D53EC">
        <w:rPr>
          <w:sz w:val="24"/>
          <w:szCs w:val="24"/>
          <w:lang w:val="sq-AL"/>
        </w:rPr>
        <w:t xml:space="preserve">) është mesatar. Në bashkëpunim me Ministrinë e Financave dhe Bankën e Shqipërisë, Instituti Shqiptar i Statistikave INSTAT po harton statistikat e procedurës së </w:t>
      </w:r>
      <w:proofErr w:type="spellStart"/>
      <w:r w:rsidRPr="004D53EC">
        <w:rPr>
          <w:sz w:val="24"/>
          <w:szCs w:val="24"/>
          <w:lang w:val="sq-AL"/>
        </w:rPr>
        <w:t>defiçitit</w:t>
      </w:r>
      <w:proofErr w:type="spellEnd"/>
      <w:r w:rsidRPr="004D53EC">
        <w:rPr>
          <w:sz w:val="24"/>
          <w:szCs w:val="24"/>
          <w:lang w:val="sq-AL"/>
        </w:rPr>
        <w:t xml:space="preserve"> të tepërt (PDT) dhe statistikat e financave të qeverisë (SFQ). Puna për përgatitjen e të dyja llojeve të statistikave është në proces e sipër, por kërkohet akoma dhe më shumë punë me qëllim për të qenë në përputhje të plotë me kërkesat e ESA2010. Shqipëria përpiqet t’i dorëzojë në mënyrë të rregullt </w:t>
      </w:r>
      <w:proofErr w:type="spellStart"/>
      <w:r w:rsidRPr="004D53EC">
        <w:rPr>
          <w:sz w:val="24"/>
          <w:szCs w:val="24"/>
          <w:lang w:val="sq-AL"/>
        </w:rPr>
        <w:t>Eurostat</w:t>
      </w:r>
      <w:proofErr w:type="spellEnd"/>
      <w:r w:rsidRPr="004D53EC">
        <w:rPr>
          <w:sz w:val="24"/>
          <w:szCs w:val="24"/>
          <w:lang w:val="sq-AL"/>
        </w:rPr>
        <w:t xml:space="preserve">-it tabelat e njoftimit për procedurën e deficitit të tepërt. Këto tabela nuk dorëzohen për publikim dhe pyetësorët nuk </w:t>
      </w:r>
      <w:proofErr w:type="spellStart"/>
      <w:r w:rsidRPr="004D53EC">
        <w:rPr>
          <w:sz w:val="24"/>
          <w:szCs w:val="24"/>
          <w:lang w:val="sq-AL"/>
        </w:rPr>
        <w:t>dorëzihen</w:t>
      </w:r>
      <w:proofErr w:type="spellEnd"/>
      <w:r w:rsidRPr="004D53EC">
        <w:rPr>
          <w:sz w:val="24"/>
          <w:szCs w:val="24"/>
          <w:lang w:val="sq-AL"/>
        </w:rPr>
        <w:t xml:space="preserve"> të plotësuar. Autoritetet statistikore shqiptare duhet të heqin embargon për publikimin e të dhënave të SFQ-së që i dorëzohen </w:t>
      </w:r>
      <w:proofErr w:type="spellStart"/>
      <w:r w:rsidRPr="004D53EC">
        <w:rPr>
          <w:sz w:val="24"/>
          <w:szCs w:val="24"/>
          <w:lang w:val="sq-AL"/>
        </w:rPr>
        <w:t>Eurostat</w:t>
      </w:r>
      <w:proofErr w:type="spellEnd"/>
      <w:r w:rsidRPr="004D53EC">
        <w:rPr>
          <w:sz w:val="24"/>
          <w:szCs w:val="24"/>
          <w:lang w:val="sq-AL"/>
        </w:rPr>
        <w:t xml:space="preserve">-it. Nga tetori i vitit 2022, Shqipëria ka përcjellë tabelat e PDT-së përmes “Sistemit të ri të Përpilimit të Integruar të SFQ Shqiptare” (AIGCS), i cili ka për qëllim të përmirësojë konsolidimin e të dhënave në njësitë qeveritare, si dhe lidhjen logjike të </w:t>
      </w:r>
      <w:proofErr w:type="spellStart"/>
      <w:r w:rsidRPr="004D53EC">
        <w:rPr>
          <w:sz w:val="24"/>
          <w:szCs w:val="24"/>
          <w:lang w:val="sq-AL"/>
        </w:rPr>
        <w:t>të</w:t>
      </w:r>
      <w:proofErr w:type="spellEnd"/>
      <w:r w:rsidRPr="004D53EC">
        <w:rPr>
          <w:sz w:val="24"/>
          <w:szCs w:val="24"/>
          <w:lang w:val="sq-AL"/>
        </w:rPr>
        <w:t xml:space="preserve"> dhënave.</w:t>
      </w:r>
    </w:p>
    <w:p w14:paraId="0462BD6D" w14:textId="77777777" w:rsidR="006C790B" w:rsidRPr="004D53EC" w:rsidRDefault="006C790B" w:rsidP="006C790B">
      <w:pPr>
        <w:spacing w:before="120"/>
        <w:ind w:left="1040"/>
        <w:jc w:val="both"/>
        <w:outlineLvl w:val="0"/>
        <w:rPr>
          <w:b/>
          <w:bCs/>
          <w:sz w:val="24"/>
          <w:szCs w:val="24"/>
          <w:lang w:val="sq-AL"/>
        </w:rPr>
      </w:pPr>
      <w:bookmarkStart w:id="81" w:name="Chapter_19:_Social_policy_and_employment"/>
      <w:bookmarkStart w:id="82" w:name="_bookmark48"/>
      <w:bookmarkEnd w:id="81"/>
      <w:bookmarkEnd w:id="82"/>
      <w:r w:rsidRPr="004D53EC">
        <w:rPr>
          <w:b/>
          <w:bCs/>
          <w:sz w:val="24"/>
          <w:szCs w:val="24"/>
          <w:lang w:val="sq-AL"/>
        </w:rPr>
        <w:t>Kapitulli 19: Politika sociale dhe punësimi</w:t>
      </w:r>
    </w:p>
    <w:p w14:paraId="5B09AFE6" w14:textId="77777777" w:rsidR="006C790B" w:rsidRPr="004D53EC" w:rsidRDefault="006C790B" w:rsidP="006C790B">
      <w:pPr>
        <w:spacing w:before="120"/>
        <w:ind w:left="980" w:right="976"/>
        <w:jc w:val="both"/>
        <w:rPr>
          <w:i/>
          <w:sz w:val="24"/>
          <w:lang w:val="sq-AL"/>
        </w:rPr>
      </w:pPr>
      <w:r w:rsidRPr="004D53EC">
        <w:rPr>
          <w:i/>
          <w:sz w:val="24"/>
          <w:lang w:val="sq-AL"/>
        </w:rPr>
        <w:t xml:space="preserve">Rregullat e BE-së në fushën sociale përfshijnë standardet minimale për ligjin e punës, barazinë, shëndetin dhe sigurinë në punë dhe </w:t>
      </w:r>
      <w:proofErr w:type="spellStart"/>
      <w:r w:rsidRPr="004D53EC">
        <w:rPr>
          <w:i/>
          <w:sz w:val="24"/>
          <w:lang w:val="sq-AL"/>
        </w:rPr>
        <w:t>mosdiskriminimin</w:t>
      </w:r>
      <w:proofErr w:type="spellEnd"/>
      <w:r w:rsidRPr="004D53EC">
        <w:rPr>
          <w:i/>
          <w:sz w:val="24"/>
          <w:lang w:val="sq-AL"/>
        </w:rPr>
        <w:t>. Këto rregulla, gjithashtu, promovojnë përfshirjen dhe mbrojtjen sociale, si dhe dialogun social në nivel të BE-së.</w:t>
      </w:r>
    </w:p>
    <w:p w14:paraId="1DADF854" w14:textId="77777777" w:rsidR="006C790B" w:rsidRPr="004D53EC" w:rsidRDefault="006C790B" w:rsidP="006C790B">
      <w:pPr>
        <w:spacing w:before="120"/>
        <w:ind w:left="980" w:right="976"/>
        <w:jc w:val="both"/>
        <w:rPr>
          <w:i/>
          <w:sz w:val="24"/>
          <w:lang w:val="sq-AL"/>
        </w:rPr>
      </w:pPr>
    </w:p>
    <w:p w14:paraId="361C65F7" w14:textId="77777777" w:rsidR="006C790B" w:rsidRPr="004D53EC" w:rsidRDefault="006C790B" w:rsidP="006C790B">
      <w:pPr>
        <w:spacing w:before="5"/>
        <w:rPr>
          <w:i/>
          <w:sz w:val="10"/>
          <w:szCs w:val="24"/>
          <w:lang w:val="sq-AL"/>
        </w:rPr>
      </w:pPr>
    </w:p>
    <w:tbl>
      <w:tblPr>
        <w:tblW w:w="0" w:type="auto"/>
        <w:tblInd w:w="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35"/>
      </w:tblGrid>
      <w:tr w:rsidR="006C790B" w:rsidRPr="004D53EC" w14:paraId="57172262" w14:textId="77777777" w:rsidTr="005760FF">
        <w:trPr>
          <w:trHeight w:val="5858"/>
        </w:trPr>
        <w:tc>
          <w:tcPr>
            <w:tcW w:w="9235" w:type="dxa"/>
            <w:shd w:val="clear" w:color="auto" w:fill="D9D9D9"/>
          </w:tcPr>
          <w:p w14:paraId="7A807816" w14:textId="77777777" w:rsidR="006C790B" w:rsidRPr="004D53EC" w:rsidRDefault="006C790B" w:rsidP="006C790B">
            <w:pPr>
              <w:spacing w:before="139"/>
              <w:ind w:left="94" w:right="100"/>
              <w:jc w:val="both"/>
              <w:rPr>
                <w:sz w:val="24"/>
                <w:lang w:val="sq-AL"/>
              </w:rPr>
            </w:pPr>
            <w:r w:rsidRPr="004D53EC">
              <w:rPr>
                <w:sz w:val="24"/>
                <w:lang w:val="sq-AL"/>
              </w:rPr>
              <w:t xml:space="preserve">Shqipëria </w:t>
            </w:r>
            <w:r w:rsidRPr="004D53EC">
              <w:rPr>
                <w:b/>
                <w:sz w:val="24"/>
                <w:lang w:val="sq-AL"/>
              </w:rPr>
              <w:t xml:space="preserve">ka përgatitje mesatare </w:t>
            </w:r>
            <w:r w:rsidRPr="004D53EC">
              <w:rPr>
                <w:sz w:val="24"/>
                <w:lang w:val="sq-AL"/>
              </w:rPr>
              <w:t xml:space="preserve">për politikat sociale dhe punësimin dhe ka bërë </w:t>
            </w:r>
            <w:r w:rsidRPr="004D53EC">
              <w:rPr>
                <w:b/>
                <w:sz w:val="24"/>
                <w:lang w:val="sq-AL"/>
              </w:rPr>
              <w:t>progres të mirë</w:t>
            </w:r>
            <w:r w:rsidRPr="004D53EC">
              <w:rPr>
                <w:sz w:val="24"/>
                <w:lang w:val="sq-AL"/>
              </w:rPr>
              <w:t xml:space="preserve"> gjatë periudhës së raportimit, duke rritur cilësinë dhe efektivitetin e institucioneve të tregut të punës dhe duke përmirësuar mundësinë për të pasur </w:t>
            </w:r>
            <w:proofErr w:type="spellStart"/>
            <w:r w:rsidRPr="004D53EC">
              <w:rPr>
                <w:sz w:val="24"/>
                <w:lang w:val="sq-AL"/>
              </w:rPr>
              <w:t>akses</w:t>
            </w:r>
            <w:proofErr w:type="spellEnd"/>
            <w:r w:rsidRPr="004D53EC">
              <w:rPr>
                <w:sz w:val="24"/>
                <w:lang w:val="sq-AL"/>
              </w:rPr>
              <w:t xml:space="preserve"> në vende të ndryshme pune. Strategjia e re kombëtare e punësimit dhe aftësive 2023-2030 u miratua në përputhje me rekomandimet e raportit të fundit. Ajo fokusohet në cilësinë e vendeve të punës, zhvillimin e aftësive dhe përshtatjen më të mirë të kërkesës me ofertën në tregun e punës. Plani kombëtar i zbatimit të skemës së Garancisë Rinore u miratua si aneks i strategjisë kombëtare 2023-2030. Përpjekjet për forcimin e sistemit të mbrojtjes sociale, krahas masave të tregut të punës, duhet të vazhdojnë.</w:t>
            </w:r>
          </w:p>
          <w:p w14:paraId="2D8BEF83" w14:textId="77777777" w:rsidR="006C790B" w:rsidRPr="004D53EC" w:rsidRDefault="006C790B" w:rsidP="006C790B">
            <w:pPr>
              <w:spacing w:before="120"/>
              <w:ind w:left="94"/>
              <w:jc w:val="both"/>
              <w:rPr>
                <w:sz w:val="24"/>
                <w:lang w:val="sq-AL"/>
              </w:rPr>
            </w:pPr>
            <w:r w:rsidRPr="004D53EC">
              <w:rPr>
                <w:sz w:val="24"/>
                <w:lang w:val="sq-AL"/>
              </w:rPr>
              <w:t>Në vitin e ardhshëm Shqipëria duhet</w:t>
            </w:r>
            <w:r w:rsidRPr="004D53EC">
              <w:rPr>
                <w:spacing w:val="-2"/>
                <w:sz w:val="24"/>
                <w:lang w:val="sq-AL"/>
              </w:rPr>
              <w:t>:</w:t>
            </w:r>
          </w:p>
          <w:p w14:paraId="6C703075" w14:textId="77777777" w:rsidR="006C790B" w:rsidRPr="004D53EC" w:rsidRDefault="006C790B" w:rsidP="006C790B">
            <w:pPr>
              <w:spacing w:before="120"/>
              <w:ind w:left="454" w:right="101" w:hanging="360"/>
              <w:jc w:val="both"/>
              <w:rPr>
                <w:sz w:val="24"/>
                <w:lang w:val="sq-AL"/>
              </w:rPr>
            </w:pPr>
            <w:r w:rsidRPr="004D53EC">
              <w:rPr>
                <w:rFonts w:ascii="Symbol" w:hAnsi="Symbol"/>
                <w:sz w:val="24"/>
                <w:lang w:val="sq-AL"/>
              </w:rPr>
              <w:t></w:t>
            </w:r>
            <w:r w:rsidRPr="004D53EC">
              <w:rPr>
                <w:sz w:val="24"/>
                <w:lang w:val="sq-AL"/>
              </w:rPr>
              <w:t xml:space="preserve"> të miratojë strategjinë e re 2023-2030 për shëndetin dhe sigurinë në punë, duke u fokusuar në forcimin e kapaciteteve institucionale për të zbatuar në mënyrë efektive përputhjen me legjislacionin, dhe të miratojë strategjinë kombëtare të mbrojtjes sociale 2024-2030;</w:t>
            </w:r>
          </w:p>
          <w:p w14:paraId="26FFD75D" w14:textId="77777777" w:rsidR="006C790B" w:rsidRPr="004D53EC" w:rsidRDefault="006C790B" w:rsidP="006C790B">
            <w:pPr>
              <w:spacing w:before="120"/>
              <w:ind w:left="454" w:right="100" w:hanging="360"/>
              <w:jc w:val="both"/>
              <w:rPr>
                <w:sz w:val="24"/>
                <w:lang w:val="sq-AL"/>
              </w:rPr>
            </w:pPr>
            <w:r w:rsidRPr="004D53EC">
              <w:rPr>
                <w:rFonts w:ascii="Symbol" w:hAnsi="Symbol"/>
                <w:sz w:val="24"/>
                <w:lang w:val="sq-AL"/>
              </w:rPr>
              <w:t></w:t>
            </w:r>
            <w:r w:rsidRPr="004D53EC">
              <w:rPr>
                <w:sz w:val="24"/>
                <w:lang w:val="sq-AL"/>
              </w:rPr>
              <w:t xml:space="preserve"> të fillojë testimin e Garancisë Rinore që synon papunësinë e të rinjve, veçanërisht të rinjtë që nuk janë as në arsim, as në punësim apo në trajnim (NEET) dhe të fillojë ta vërë këtë garanci në zbatim të plotë;</w:t>
            </w:r>
          </w:p>
          <w:p w14:paraId="3FF5E320" w14:textId="77777777" w:rsidR="006C790B" w:rsidRPr="004D53EC" w:rsidRDefault="006C790B" w:rsidP="006C790B">
            <w:pPr>
              <w:spacing w:before="119"/>
              <w:ind w:left="454" w:right="101" w:hanging="360"/>
              <w:jc w:val="both"/>
              <w:rPr>
                <w:sz w:val="24"/>
                <w:lang w:val="sq-AL"/>
              </w:rPr>
            </w:pPr>
            <w:r w:rsidRPr="004D53EC">
              <w:rPr>
                <w:rFonts w:ascii="Symbol" w:hAnsi="Symbol"/>
                <w:sz w:val="24"/>
                <w:lang w:val="sq-AL"/>
              </w:rPr>
              <w:t></w:t>
            </w:r>
            <w:r w:rsidRPr="004D53EC">
              <w:rPr>
                <w:sz w:val="24"/>
                <w:lang w:val="sq-AL"/>
              </w:rPr>
              <w:t xml:space="preserve"> të rrisë shpërndarjen e buxhetit, të ndjekë zbatimin dhe monitorimin e fondit social, të forcojë kapacitetet e pushtetit vendore dhe të rishikojë procedurat e prokurimit për shërbimet e kujdesit social.</w:t>
            </w:r>
          </w:p>
        </w:tc>
      </w:tr>
    </w:tbl>
    <w:p w14:paraId="2D8EE8B0" w14:textId="77777777" w:rsidR="006C790B" w:rsidRPr="004D53EC" w:rsidRDefault="006C790B" w:rsidP="006C790B">
      <w:pPr>
        <w:jc w:val="both"/>
        <w:rPr>
          <w:sz w:val="24"/>
          <w:lang w:val="sq-AL"/>
        </w:rPr>
        <w:sectPr w:rsidR="006C790B" w:rsidRPr="004D53EC" w:rsidSect="006C790B">
          <w:footerReference w:type="default" r:id="rId19"/>
          <w:type w:val="continuous"/>
          <w:pgSz w:w="11910" w:h="16840"/>
          <w:pgMar w:top="1360" w:right="460" w:bottom="1480" w:left="460" w:header="0" w:footer="1248" w:gutter="0"/>
          <w:cols w:space="720"/>
        </w:sectPr>
      </w:pPr>
    </w:p>
    <w:p w14:paraId="5E816EAB" w14:textId="427BDF6E" w:rsidR="006C790B" w:rsidRPr="004D53EC" w:rsidRDefault="006C790B" w:rsidP="006C790B">
      <w:pPr>
        <w:spacing w:before="62"/>
        <w:ind w:left="979" w:right="976"/>
        <w:jc w:val="both"/>
        <w:rPr>
          <w:sz w:val="24"/>
          <w:szCs w:val="24"/>
          <w:lang w:val="sq-AL"/>
        </w:rPr>
      </w:pPr>
      <w:r w:rsidRPr="004D53EC">
        <w:rPr>
          <w:b/>
          <w:sz w:val="24"/>
          <w:szCs w:val="24"/>
          <w:lang w:val="sq-AL"/>
        </w:rPr>
        <w:lastRenderedPageBreak/>
        <w:t>Ligji i punës</w:t>
      </w:r>
      <w:r w:rsidRPr="004D53EC">
        <w:rPr>
          <w:sz w:val="24"/>
          <w:szCs w:val="24"/>
          <w:lang w:val="sq-AL"/>
        </w:rPr>
        <w:t xml:space="preserve"> është në proces zbatimi sipas ndryshimeve të bëra sipas Kodit të Punës 2015.</w:t>
      </w:r>
      <w:r w:rsidR="004D53EC">
        <w:rPr>
          <w:sz w:val="24"/>
          <w:szCs w:val="24"/>
          <w:lang w:val="sq-AL"/>
        </w:rPr>
        <w:t xml:space="preserve"> </w:t>
      </w:r>
      <w:r w:rsidRPr="004D53EC">
        <w:rPr>
          <w:sz w:val="24"/>
          <w:szCs w:val="24"/>
          <w:lang w:val="sq-AL"/>
        </w:rPr>
        <w:t xml:space="preserve">Për sa i përket aktiviteteve të inspektimit të punës, 22% e inspektimeve të planifikuara gjatë vitit të kaluar ishin inspektime për herë të parë, ndërsa numri i përgjithshëm u rrit ndjeshëm në 2022 në 10 154 (nga 7 039 në vitin 2021). Gjatë këtyre inspektimeve u identifikuan 1 799 punëtorë të padeklaruar (1 092 në 2021). Është bërë progres në promovimin e platformës elektronike të inspektimit, e cila rriti cilësinë e inspektimeve në punë. Sidoqoftë, është e nevojshme të bëhen më shumë përpjekje për të ulur </w:t>
      </w:r>
      <w:proofErr w:type="spellStart"/>
      <w:r w:rsidRPr="004D53EC">
        <w:rPr>
          <w:sz w:val="24"/>
          <w:szCs w:val="24"/>
          <w:lang w:val="sq-AL"/>
        </w:rPr>
        <w:t>informalitetin</w:t>
      </w:r>
      <w:proofErr w:type="spellEnd"/>
      <w:r w:rsidRPr="004D53EC">
        <w:rPr>
          <w:sz w:val="24"/>
          <w:szCs w:val="24"/>
          <w:lang w:val="sq-AL"/>
        </w:rPr>
        <w:t>. Në vitin 2022, në 13.4% të rasteve të inspektimit nuk u konstatuan shkelje. Edhe pse Inspektorati Shtetëror i Punës dhe Shërbimeve Sociale u përpoq shumë të rriste kapacitet e burimeve njerëzore nëpërmjet trajnimit dhe monitorimit, kapaciteti i inspektoratit të shërbimeve sociale mbetet ende shumë i kufizuar. Në vitin 2022 u kryen 135 inspektime të shërbimeve të kujdesit social.</w:t>
      </w:r>
    </w:p>
    <w:p w14:paraId="267F81F2" w14:textId="77777777" w:rsidR="006C790B" w:rsidRPr="004D53EC" w:rsidRDefault="006C790B" w:rsidP="006C790B">
      <w:pPr>
        <w:spacing w:before="120"/>
        <w:ind w:left="980" w:right="976"/>
        <w:jc w:val="both"/>
        <w:rPr>
          <w:sz w:val="24"/>
          <w:szCs w:val="24"/>
          <w:lang w:val="sq-AL"/>
        </w:rPr>
      </w:pPr>
      <w:r w:rsidRPr="004D53EC">
        <w:rPr>
          <w:sz w:val="24"/>
          <w:szCs w:val="24"/>
          <w:lang w:val="sq-AL"/>
        </w:rPr>
        <w:t xml:space="preserve">Për sa i përket </w:t>
      </w:r>
      <w:r w:rsidRPr="004D53EC">
        <w:rPr>
          <w:b/>
          <w:sz w:val="24"/>
          <w:szCs w:val="24"/>
          <w:lang w:val="sq-AL"/>
        </w:rPr>
        <w:t>punës së fëmijëve</w:t>
      </w:r>
      <w:r w:rsidRPr="004D53EC">
        <w:rPr>
          <w:sz w:val="24"/>
          <w:szCs w:val="24"/>
          <w:lang w:val="sq-AL"/>
        </w:rPr>
        <w:t>, sistemi për monitorimin e punës së fëmijëve dhe formave të tjera të shfrytëzimit, si dhe koordinimi i zbatimit të ligjit ndërmjet Agjencisë për Mbrojtjen e të Drejtave të Fëmijëve dhe Inspektoratit të Punës, është i dobët.</w:t>
      </w:r>
    </w:p>
    <w:p w14:paraId="04A8E301" w14:textId="77777777" w:rsidR="006C790B" w:rsidRPr="004D53EC" w:rsidRDefault="006C790B" w:rsidP="006C790B">
      <w:pPr>
        <w:spacing w:before="120"/>
        <w:ind w:left="980" w:right="976"/>
        <w:jc w:val="both"/>
        <w:rPr>
          <w:sz w:val="24"/>
          <w:szCs w:val="24"/>
          <w:lang w:val="sq-AL"/>
        </w:rPr>
      </w:pPr>
      <w:r w:rsidRPr="004D53EC">
        <w:rPr>
          <w:sz w:val="24"/>
          <w:szCs w:val="24"/>
          <w:lang w:val="sq-AL"/>
        </w:rPr>
        <w:t xml:space="preserve">Për </w:t>
      </w:r>
      <w:r w:rsidRPr="004D53EC">
        <w:rPr>
          <w:b/>
          <w:sz w:val="24"/>
          <w:szCs w:val="24"/>
          <w:lang w:val="sq-AL"/>
        </w:rPr>
        <w:t>shëndetin dhe sigurinë në punë</w:t>
      </w:r>
      <w:r w:rsidRPr="004D53EC">
        <w:rPr>
          <w:sz w:val="24"/>
          <w:szCs w:val="24"/>
          <w:lang w:val="sq-AL"/>
        </w:rPr>
        <w:t xml:space="preserve">, duhet të bëhen më tepër përpjekje për një harmonizim sa më të mirë të legjislacionit kombëtar me </w:t>
      </w:r>
      <w:proofErr w:type="spellStart"/>
      <w:r w:rsidRPr="004D53EC">
        <w:rPr>
          <w:sz w:val="24"/>
          <w:szCs w:val="24"/>
          <w:lang w:val="sq-AL"/>
        </w:rPr>
        <w:t>acquis</w:t>
      </w:r>
      <w:proofErr w:type="spellEnd"/>
      <w:r w:rsidRPr="004D53EC">
        <w:rPr>
          <w:sz w:val="24"/>
          <w:szCs w:val="24"/>
          <w:lang w:val="sq-AL"/>
        </w:rPr>
        <w:t xml:space="preserve"> të BE-së. Autoritetet duhet të forcojnë kapacitetet e tyre institucionale dhe proceset e inspektimit. Shqipëria duhet të hartojë një strategji të re për shëndetin dhe sigurinë në punë 2023-2030, në përputhje me kuadrin strategjik të BE-së për shëndetin dhe sigurinë në punë 2021-2027 dhe prioritetet e saj.</w:t>
      </w:r>
    </w:p>
    <w:p w14:paraId="5E1958C8" w14:textId="77777777" w:rsidR="006C790B" w:rsidRPr="004D53EC" w:rsidRDefault="006C790B" w:rsidP="006C790B">
      <w:pPr>
        <w:spacing w:before="120"/>
        <w:ind w:left="979" w:right="976"/>
        <w:jc w:val="both"/>
        <w:rPr>
          <w:sz w:val="24"/>
          <w:szCs w:val="24"/>
          <w:lang w:val="sq-AL"/>
        </w:rPr>
      </w:pPr>
      <w:r w:rsidRPr="004D53EC">
        <w:rPr>
          <w:sz w:val="24"/>
          <w:szCs w:val="24"/>
          <w:lang w:val="sq-AL"/>
        </w:rPr>
        <w:t>Për sa i përket dialogut social, në maj 2022 Këshilli i Ministrave miratoi vendimin “Për përcaktimin e organizatave të punëdhënësve dhe organizatave sindikaliste në Këshillin Kombëtar të Punës”, dhe në korrik 2022 Ministria e Financave dhe Ekonomisë nxori një urdhër “Për emërimin e anëtarëve dhe kandidatëve të Këshillit Kombëtar të Punës dhe përfaqësuesve të organizatave të punëdhënësve dhe punëmarrësve”. Është bërë përparim në forcimin e kapaciteteve të stafit të sapoemëruar në sekretariatin e Këshillit Kombëtar të Punës. Megjithatë, komisionet e specializuara të Këshillit Kombëtar të Punës nuk janë bërë ende funksionale. Janë bërë përpjekje për të rritur bashkëpunimin trepalësh midis Inspektoratit Shtetëror të Punës dhe Shërbimeve Sociale, sindikatave dhe organizatave të biznesit.</w:t>
      </w:r>
    </w:p>
    <w:p w14:paraId="0D6FCC12" w14:textId="77777777" w:rsidR="006C790B" w:rsidRPr="004D53EC" w:rsidRDefault="006C790B" w:rsidP="006C790B">
      <w:pPr>
        <w:spacing w:before="119"/>
        <w:ind w:left="979" w:right="979"/>
        <w:jc w:val="both"/>
        <w:rPr>
          <w:sz w:val="24"/>
          <w:szCs w:val="24"/>
          <w:lang w:val="sq-AL"/>
        </w:rPr>
      </w:pPr>
      <w:r w:rsidRPr="004D53EC">
        <w:rPr>
          <w:sz w:val="24"/>
          <w:szCs w:val="24"/>
          <w:lang w:val="sq-AL"/>
        </w:rPr>
        <w:t xml:space="preserve">Në </w:t>
      </w:r>
      <w:r w:rsidRPr="004D53EC">
        <w:rPr>
          <w:b/>
          <w:sz w:val="24"/>
          <w:szCs w:val="24"/>
          <w:lang w:val="sq-AL"/>
        </w:rPr>
        <w:t>politikën e punësimit</w:t>
      </w:r>
      <w:r w:rsidRPr="004D53EC">
        <w:rPr>
          <w:sz w:val="24"/>
          <w:szCs w:val="24"/>
          <w:lang w:val="sq-AL"/>
        </w:rPr>
        <w:t>, Shqipëria po zbaton strategjinë e re kombëtare të punësimit dhe aftësive 2023-2030, të miratuar në mars 2023.</w:t>
      </w:r>
    </w:p>
    <w:p w14:paraId="14F49918" w14:textId="77777777" w:rsidR="006C790B" w:rsidRPr="004D53EC" w:rsidRDefault="006C790B" w:rsidP="006C790B">
      <w:pPr>
        <w:spacing w:before="120"/>
        <w:ind w:left="979" w:right="976"/>
        <w:jc w:val="both"/>
        <w:rPr>
          <w:sz w:val="24"/>
          <w:szCs w:val="24"/>
          <w:lang w:val="sq-AL"/>
        </w:rPr>
      </w:pPr>
      <w:r w:rsidRPr="004D53EC">
        <w:rPr>
          <w:b/>
          <w:sz w:val="24"/>
          <w:szCs w:val="24"/>
          <w:lang w:val="sq-AL"/>
        </w:rPr>
        <w:t>Treguesit e tregut të punës</w:t>
      </w:r>
      <w:r w:rsidRPr="004D53EC">
        <w:rPr>
          <w:sz w:val="24"/>
          <w:szCs w:val="24"/>
          <w:lang w:val="sq-AL"/>
        </w:rPr>
        <w:t xml:space="preserve"> u përmirësuan në vitin 2022. Punësimi u rrit mesatarisht me 3,9% në vitin 2022, krahasuar me rritjen prej 0,5% që ishte në vitin 2021. Të gjithë sektorët janë karakterizuar nga norma më të larta punësimi. Gjatë tremujorit të katërt të vitit 2022, shkalla e punësimit të personave të moshës 15-64 vjeç ishte 65.5%, nga 62.1% që ishte në tremujorin e katërt të 2021. Pavarësisht përmirësimit të shkallës së punësimit në vitet e fundit, Shqipëria mbetet prapa mesatares së BE-së. Shkalla e punësimit është përmirësuar veçanërisht tek gratë (61.4% në TM4-2022), por shkalla e papunësisë së grave dhe të rinjve mbetet e lartë. Pabarazia gjinore në punësim vazhdon të jetë problematike, ku shkalla e punësimit për meshkujt tejkalon me 10,4 shkallën e punësimit të grave. Në tremujorin e katërt të vitit 2022, shkalla e punësimit për të rinjtë e moshës 15-29 vjeç ishte 44,6% (47,5% për meshkujt dhe 41,8% për femrat). Pavarësisht rritjes prej 1.8% krahasuar me një vit më parë, punësimi i të rinjve mbetet prapa në pjesën tjetër të popullsisë së moshës madhore.</w:t>
      </w:r>
    </w:p>
    <w:p w14:paraId="06A1FD4C" w14:textId="77777777" w:rsidR="006C790B" w:rsidRPr="004D53EC" w:rsidRDefault="006C790B" w:rsidP="006C790B">
      <w:pPr>
        <w:spacing w:before="120"/>
        <w:ind w:left="979" w:right="977"/>
        <w:jc w:val="both"/>
        <w:rPr>
          <w:sz w:val="24"/>
          <w:szCs w:val="24"/>
          <w:lang w:val="sq-AL"/>
        </w:rPr>
      </w:pPr>
      <w:r w:rsidRPr="004D53EC">
        <w:rPr>
          <w:b/>
          <w:sz w:val="24"/>
          <w:szCs w:val="24"/>
          <w:lang w:val="sq-AL"/>
        </w:rPr>
        <w:t>Shkalla e papunësisë</w:t>
      </w:r>
      <w:r w:rsidRPr="004D53EC">
        <w:rPr>
          <w:sz w:val="24"/>
          <w:szCs w:val="24"/>
          <w:lang w:val="sq-AL"/>
        </w:rPr>
        <w:t xml:space="preserve"> në tremujorin e katërt të vitit 2022 ishte 11.0% (11.0% për meshkujt dhe 11.1% për femrat) u ul me 0.4% krahasuar me tremujorin e katërt të vitit 2021. Struktura e Ministrisë së Financave dhe Ekonomisë (MFE) u rishikua në 2023 për të shtuar burime në Drejtorinë e Përgjithshme të Punësimit dhe Aftësive. MFE-ja duhet të plotësojë ende të gjitha vendet e lira të punës.</w:t>
      </w:r>
    </w:p>
    <w:p w14:paraId="0F7EFC58" w14:textId="77777777" w:rsidR="006C790B" w:rsidRPr="004D53EC" w:rsidRDefault="006C790B" w:rsidP="006C790B">
      <w:pPr>
        <w:spacing w:before="120"/>
        <w:ind w:left="980" w:right="976"/>
        <w:jc w:val="both"/>
        <w:rPr>
          <w:sz w:val="24"/>
          <w:szCs w:val="24"/>
          <w:lang w:val="sq-AL"/>
        </w:rPr>
      </w:pPr>
      <w:r w:rsidRPr="004D53EC">
        <w:rPr>
          <w:sz w:val="24"/>
          <w:szCs w:val="24"/>
          <w:lang w:val="sq-AL"/>
        </w:rPr>
        <w:lastRenderedPageBreak/>
        <w:t xml:space="preserve">Agjencia Kombëtare e Punësimit dhe Aftësive (AKSHP) plotësoi 70% të vendeve të lira të punës deri në fund të vitit 2022. Në vitin 2022, 15 658 pjesëmarrës të rritur ndoqën trajnimin profesional, nga të cilët 7 191 ishin femra. Në vitin 2022, 26 808 punëkërkues të papunë të regjistruar gjetën punë përmes zyrave të punës krahasuar me 24 158 në vitin 2021. Nga maji 2023, 17 935 të rinj të papunë, që nuk ndjekin shkollën ose ndonjë trajnim (NEET) u regjistruan në bazën e të dhënave të AKPA. Në vitin 2022, Shqipëria vazhdoi të aplikojë paketat e reformuara të programeve të nxitjes së punësimit në të gjitha qarqet, duke u fokusuar te personat më </w:t>
      </w:r>
      <w:proofErr w:type="spellStart"/>
      <w:r w:rsidRPr="004D53EC">
        <w:rPr>
          <w:sz w:val="24"/>
          <w:szCs w:val="24"/>
          <w:lang w:val="sq-AL"/>
        </w:rPr>
        <w:t>vulnerabël</w:t>
      </w:r>
      <w:proofErr w:type="spellEnd"/>
      <w:r w:rsidRPr="004D53EC">
        <w:rPr>
          <w:sz w:val="24"/>
          <w:szCs w:val="24"/>
          <w:lang w:val="sq-AL"/>
        </w:rPr>
        <w:t>. U miratua një program i ri për të subvencionuar zhvillimin e aftësive digjitale, i cili nisi të vihej në zbatim. Progresi ka vazhduar me Fondin Social të Punësimit, qëllimi i të cilit është të ndihmojë personat me aftësi të kufizuara të gjejnë punë.</w:t>
      </w:r>
    </w:p>
    <w:p w14:paraId="15A36422" w14:textId="77777777" w:rsidR="006C790B" w:rsidRPr="004D53EC" w:rsidRDefault="006C790B" w:rsidP="006C790B">
      <w:pPr>
        <w:spacing w:before="120"/>
        <w:ind w:left="979" w:right="976"/>
        <w:jc w:val="both"/>
        <w:rPr>
          <w:sz w:val="24"/>
          <w:szCs w:val="24"/>
          <w:lang w:val="sq-AL"/>
        </w:rPr>
      </w:pPr>
      <w:r w:rsidRPr="004D53EC">
        <w:rPr>
          <w:sz w:val="24"/>
          <w:szCs w:val="24"/>
          <w:lang w:val="sq-AL"/>
        </w:rPr>
        <w:t xml:space="preserve">Sipas Institutit Kombëtar Shqiptar të Statistikave (INSTAT), në vitin 2022 23.4% </w:t>
      </w:r>
      <w:r w:rsidRPr="004D53EC">
        <w:rPr>
          <w:b/>
          <w:sz w:val="24"/>
          <w:szCs w:val="24"/>
          <w:lang w:val="sq-AL"/>
        </w:rPr>
        <w:t xml:space="preserve">e të rinjve të regjistruar si as në punësim, as në arsim apo në trajnim (NEET) </w:t>
      </w:r>
      <w:r w:rsidRPr="004D53EC">
        <w:rPr>
          <w:sz w:val="24"/>
          <w:szCs w:val="24"/>
          <w:lang w:val="sq-AL"/>
        </w:rPr>
        <w:t>ishin në kërkim të një pune, krahasuar me 22.9% që ishte në 2021. Autoritetet përkatëse miratuan planin e veprimit për të zbatuar Garancinë Rinore, e cila fokusohet në NEET. Shkalla zyrtare e papunësisë në vitin 2022 për të rinjtë e moshës 15-29 vjeç ishte 20,7%, krahasuar me 20,9% në 2021. Ajo u rrit me 0,9% në tremujorin e katërt të 2022 krahasuar me 2021.</w:t>
      </w:r>
    </w:p>
    <w:p w14:paraId="38452D9D" w14:textId="77777777" w:rsidR="006C790B" w:rsidRPr="004D53EC" w:rsidRDefault="006C790B" w:rsidP="006C790B">
      <w:pPr>
        <w:spacing w:before="120"/>
        <w:ind w:left="980" w:right="976"/>
        <w:jc w:val="both"/>
        <w:rPr>
          <w:sz w:val="24"/>
          <w:szCs w:val="24"/>
          <w:lang w:val="sq-AL"/>
        </w:rPr>
      </w:pPr>
      <w:r w:rsidRPr="004D53EC">
        <w:rPr>
          <w:sz w:val="24"/>
          <w:szCs w:val="24"/>
          <w:lang w:val="sq-AL"/>
        </w:rPr>
        <w:t xml:space="preserve">Për </w:t>
      </w:r>
      <w:r w:rsidRPr="004D53EC">
        <w:rPr>
          <w:b/>
          <w:sz w:val="24"/>
          <w:szCs w:val="24"/>
          <w:lang w:val="sq-AL"/>
        </w:rPr>
        <w:t>punësimin e personave me aftësi të kufizuara</w:t>
      </w:r>
      <w:r w:rsidRPr="004D53EC">
        <w:rPr>
          <w:sz w:val="24"/>
          <w:szCs w:val="24"/>
          <w:lang w:val="sq-AL"/>
        </w:rPr>
        <w:t>, në strategjinë kombëtare të punësimit dhe aftësive 2023-2030 përcaktohet se taksa për punëdhënësit që nuk plotësojnë kuotën e punonjësve me aftësi të kufizuara do të mblidhet nëpërmjet sistemit tatimor.</w:t>
      </w:r>
    </w:p>
    <w:p w14:paraId="50F3C1E4" w14:textId="77777777" w:rsidR="006C790B" w:rsidRPr="004D53EC" w:rsidRDefault="006C790B" w:rsidP="006C790B">
      <w:pPr>
        <w:spacing w:before="120"/>
        <w:ind w:left="980" w:right="977"/>
        <w:jc w:val="both"/>
        <w:rPr>
          <w:sz w:val="24"/>
          <w:szCs w:val="24"/>
          <w:lang w:val="sq-AL"/>
        </w:rPr>
      </w:pPr>
      <w:r w:rsidRPr="004D53EC">
        <w:rPr>
          <w:sz w:val="24"/>
          <w:szCs w:val="24"/>
          <w:lang w:val="sq-AL"/>
        </w:rPr>
        <w:t xml:space="preserve">Për </w:t>
      </w:r>
      <w:r w:rsidRPr="004D53EC">
        <w:rPr>
          <w:b/>
          <w:sz w:val="24"/>
          <w:szCs w:val="24"/>
          <w:lang w:val="sq-AL"/>
        </w:rPr>
        <w:t>mbrojtjen dhe përfshirjen sociale</w:t>
      </w:r>
      <w:r w:rsidRPr="004D53EC">
        <w:rPr>
          <w:sz w:val="24"/>
          <w:szCs w:val="24"/>
          <w:lang w:val="sq-AL"/>
        </w:rPr>
        <w:t xml:space="preserve">, MSHMS vijoi përpjekjet e saj për konsolidimin e skemës së ndihmës ekonomike (një skemë për pagesat e ndihmës sociale për familjet e varfra), zbatimin e një sistemi të ri vlerësimi </w:t>
      </w:r>
      <w:proofErr w:type="spellStart"/>
      <w:r w:rsidRPr="004D53EC">
        <w:rPr>
          <w:sz w:val="24"/>
          <w:szCs w:val="24"/>
          <w:lang w:val="sq-AL"/>
        </w:rPr>
        <w:t>biopsikosocial</w:t>
      </w:r>
      <w:proofErr w:type="spellEnd"/>
      <w:r w:rsidRPr="004D53EC">
        <w:rPr>
          <w:sz w:val="24"/>
          <w:szCs w:val="24"/>
          <w:lang w:val="sq-AL"/>
        </w:rPr>
        <w:t xml:space="preserve"> për personat me aftësi të kufizuara dhe reformimin e sistemit të shërbimit të kujdesit social. MSHMS duhet të finalizojë, në konsultim me palët e interesuara, vlerësimin e strategjisë aktuale të mbrojtjes sociale dhe progresin e bërë lidhur me hartimin e strategjisë së re kombëtare për mbrojtjen sociale 2024-2030. Është bërë progres në zbatimin e strategjisë së daljes për përfituesit e ndihmës ekonomike. Ekziston një protokoll për kryerjen e referimeve dhe aktorët rajonalë po profilizojnë përfituesit në moshë pune.</w:t>
      </w:r>
    </w:p>
    <w:p w14:paraId="32622A36" w14:textId="77777777" w:rsidR="006C790B" w:rsidRPr="004D53EC" w:rsidRDefault="006C790B" w:rsidP="006C790B">
      <w:pPr>
        <w:spacing w:before="120"/>
        <w:ind w:left="980" w:right="976"/>
        <w:jc w:val="both"/>
        <w:rPr>
          <w:sz w:val="24"/>
          <w:szCs w:val="24"/>
          <w:lang w:val="sq-AL"/>
        </w:rPr>
      </w:pPr>
      <w:r w:rsidRPr="004D53EC">
        <w:rPr>
          <w:sz w:val="24"/>
          <w:szCs w:val="24"/>
          <w:lang w:val="sq-AL"/>
        </w:rPr>
        <w:t xml:space="preserve">Janë bërë disa përparime në zbatimin e strategjisë për </w:t>
      </w:r>
      <w:r w:rsidRPr="004D53EC">
        <w:rPr>
          <w:b/>
          <w:sz w:val="24"/>
          <w:szCs w:val="24"/>
          <w:lang w:val="sq-AL"/>
        </w:rPr>
        <w:t>mbrojtjen sociale</w:t>
      </w:r>
      <w:r w:rsidRPr="004D53EC">
        <w:rPr>
          <w:sz w:val="24"/>
          <w:szCs w:val="24"/>
          <w:lang w:val="sq-AL"/>
        </w:rPr>
        <w:t xml:space="preserve">, lidhur me shtrirjen e reformës për vlerësimin </w:t>
      </w:r>
      <w:proofErr w:type="spellStart"/>
      <w:r w:rsidRPr="004D53EC">
        <w:rPr>
          <w:sz w:val="24"/>
          <w:szCs w:val="24"/>
          <w:lang w:val="sq-AL"/>
        </w:rPr>
        <w:t>biopsikosocial</w:t>
      </w:r>
      <w:proofErr w:type="spellEnd"/>
      <w:r w:rsidRPr="004D53EC">
        <w:rPr>
          <w:sz w:val="24"/>
          <w:szCs w:val="24"/>
          <w:lang w:val="sq-AL"/>
        </w:rPr>
        <w:t xml:space="preserve"> të personave me aftësi të kufizuara dhe rritjes së numrit të përfituesve përmes shërbimeve të kujdesit social. Buxheti total në vitin 2023 i programit të mbrojtjes sociale është rritur me 5% krahasuar me vitin 2022.</w:t>
      </w:r>
    </w:p>
    <w:p w14:paraId="7AFA200C" w14:textId="77777777" w:rsidR="006C790B" w:rsidRPr="004D53EC" w:rsidRDefault="006C790B" w:rsidP="006C790B">
      <w:pPr>
        <w:spacing w:before="120"/>
        <w:ind w:left="980" w:right="976"/>
        <w:jc w:val="both"/>
        <w:rPr>
          <w:sz w:val="24"/>
          <w:szCs w:val="24"/>
          <w:lang w:val="sq-AL"/>
        </w:rPr>
      </w:pPr>
    </w:p>
    <w:p w14:paraId="68AC62AB" w14:textId="77777777" w:rsidR="006C790B" w:rsidRPr="004D53EC" w:rsidRDefault="006C790B" w:rsidP="006C790B">
      <w:pPr>
        <w:spacing w:before="120"/>
        <w:ind w:left="980" w:right="976"/>
        <w:jc w:val="both"/>
        <w:rPr>
          <w:sz w:val="24"/>
          <w:szCs w:val="24"/>
          <w:lang w:val="sq-AL"/>
        </w:rPr>
      </w:pPr>
      <w:r w:rsidRPr="004D53EC">
        <w:rPr>
          <w:sz w:val="24"/>
          <w:szCs w:val="24"/>
          <w:lang w:val="sq-AL"/>
        </w:rPr>
        <w:t xml:space="preserve">Efektiviteti për vlerësimin e skemës së ndihmës ekonomike nëpërmjet studimeve në terren dhe duke përdorur </w:t>
      </w:r>
      <w:proofErr w:type="spellStart"/>
      <w:r w:rsidRPr="004D53EC">
        <w:rPr>
          <w:sz w:val="24"/>
          <w:szCs w:val="24"/>
          <w:lang w:val="sq-AL"/>
        </w:rPr>
        <w:t>mikro</w:t>
      </w:r>
      <w:proofErr w:type="spellEnd"/>
      <w:r w:rsidRPr="004D53EC">
        <w:rPr>
          <w:sz w:val="24"/>
          <w:szCs w:val="24"/>
          <w:lang w:val="sq-AL"/>
        </w:rPr>
        <w:t xml:space="preserve"> –të-dhënat nga </w:t>
      </w:r>
      <w:proofErr w:type="spellStart"/>
      <w:r w:rsidRPr="004D53EC">
        <w:rPr>
          <w:sz w:val="24"/>
          <w:szCs w:val="24"/>
          <w:lang w:val="sq-AL"/>
        </w:rPr>
        <w:t>Eurostat</w:t>
      </w:r>
      <w:proofErr w:type="spellEnd"/>
      <w:r w:rsidRPr="004D53EC">
        <w:rPr>
          <w:sz w:val="24"/>
          <w:szCs w:val="24"/>
          <w:lang w:val="sq-AL"/>
        </w:rPr>
        <w:t xml:space="preserve"> mbi të ardhurat dhe kushtet e jetesës dhe nga anketat e buxhetit të familjeve, për të identifikuar grupet në nevojë që nuk përfitojnë ende nga skema. Autoritetet duhet të vlerësojnë ndikimin që ka përshtatshmëria e përfitimeve të strategjisë dalëse, të rrisin shumat e tyre, të krijojnë një mekanizëm për indeksimin e tyre vjetor dhe të zbatojnë udhërrëfyesin që t’i rishikojnë përfitimet bazuar në këtë vlerësim. Pas ndryshimeve në Ligjin për ndihmën sociale, të miratuar në vitin 2022, u përfshinë masa shtesë të mbrojtjes sociale për të zbutur efektet e luftës midis Rusisë dhe Ukrainës. Paketa e rezistencës sociale e miratuar në mars 2022 parashikonte një fond shtesë emergjence për grupet </w:t>
      </w:r>
      <w:proofErr w:type="spellStart"/>
      <w:r w:rsidRPr="004D53EC">
        <w:rPr>
          <w:sz w:val="24"/>
          <w:szCs w:val="24"/>
          <w:lang w:val="sq-AL"/>
        </w:rPr>
        <w:t>vulnerabël</w:t>
      </w:r>
      <w:proofErr w:type="spellEnd"/>
      <w:r w:rsidRPr="004D53EC">
        <w:rPr>
          <w:sz w:val="24"/>
          <w:szCs w:val="24"/>
          <w:lang w:val="sq-AL"/>
        </w:rPr>
        <w:t>, në shumën 48 milionë euro. Përqindja e popullsisë që përfiton paketën bazë të shërbimeve të kujdesit social është rritur nga 0.2% në 2019 në 1.5% në 2023.</w:t>
      </w:r>
    </w:p>
    <w:p w14:paraId="38523322" w14:textId="77777777" w:rsidR="006C790B" w:rsidRPr="004D53EC" w:rsidRDefault="006C790B" w:rsidP="006C790B">
      <w:pPr>
        <w:spacing w:before="119"/>
        <w:ind w:left="980" w:right="1019"/>
        <w:jc w:val="both"/>
        <w:rPr>
          <w:sz w:val="24"/>
          <w:szCs w:val="24"/>
          <w:lang w:val="sq-AL"/>
        </w:rPr>
      </w:pPr>
      <w:r w:rsidRPr="004D53EC">
        <w:rPr>
          <w:sz w:val="24"/>
          <w:szCs w:val="24"/>
          <w:lang w:val="sq-AL"/>
        </w:rPr>
        <w:t xml:space="preserve">MSHMS duhet të forcojë monitorimin e planit kombëtar të veprimit 2021-2025 për </w:t>
      </w:r>
      <w:r w:rsidRPr="004D53EC">
        <w:rPr>
          <w:b/>
          <w:sz w:val="24"/>
          <w:szCs w:val="24"/>
          <w:lang w:val="sq-AL"/>
        </w:rPr>
        <w:t>personat me aftësi të kufizuara</w:t>
      </w:r>
      <w:r w:rsidRPr="004D53EC">
        <w:rPr>
          <w:sz w:val="24"/>
          <w:szCs w:val="24"/>
          <w:lang w:val="sq-AL"/>
        </w:rPr>
        <w:t xml:space="preserve">. Duke nisur që nga viti 2023, reforma e vlerësimit </w:t>
      </w:r>
      <w:proofErr w:type="spellStart"/>
      <w:r w:rsidRPr="004D53EC">
        <w:rPr>
          <w:sz w:val="24"/>
          <w:szCs w:val="24"/>
          <w:lang w:val="sq-AL"/>
        </w:rPr>
        <w:t>biopsikosocial</w:t>
      </w:r>
      <w:proofErr w:type="spellEnd"/>
      <w:r w:rsidRPr="004D53EC">
        <w:rPr>
          <w:sz w:val="24"/>
          <w:szCs w:val="24"/>
          <w:lang w:val="sq-AL"/>
        </w:rPr>
        <w:t xml:space="preserve"> po zbatohet në të gjithë vendin, me 36 komisione </w:t>
      </w:r>
      <w:proofErr w:type="spellStart"/>
      <w:r w:rsidRPr="004D53EC">
        <w:rPr>
          <w:sz w:val="24"/>
          <w:szCs w:val="24"/>
          <w:lang w:val="sq-AL"/>
        </w:rPr>
        <w:t>multidisiplinare</w:t>
      </w:r>
      <w:proofErr w:type="spellEnd"/>
      <w:r w:rsidRPr="004D53EC">
        <w:rPr>
          <w:sz w:val="24"/>
          <w:szCs w:val="24"/>
          <w:lang w:val="sq-AL"/>
        </w:rPr>
        <w:t xml:space="preserve"> në 12 qarqe.</w:t>
      </w:r>
    </w:p>
    <w:p w14:paraId="4480603D" w14:textId="77777777" w:rsidR="006C790B" w:rsidRPr="004D53EC" w:rsidRDefault="006C790B" w:rsidP="006C790B">
      <w:pPr>
        <w:spacing w:before="120"/>
        <w:ind w:left="980" w:right="976"/>
        <w:jc w:val="both"/>
        <w:rPr>
          <w:sz w:val="24"/>
          <w:szCs w:val="24"/>
          <w:lang w:val="sq-AL"/>
        </w:rPr>
      </w:pPr>
      <w:r w:rsidRPr="004D53EC">
        <w:rPr>
          <w:sz w:val="24"/>
          <w:szCs w:val="24"/>
          <w:lang w:val="sq-AL"/>
        </w:rPr>
        <w:lastRenderedPageBreak/>
        <w:t xml:space="preserve">Për përfshirjen e </w:t>
      </w:r>
      <w:r w:rsidRPr="004D53EC">
        <w:rPr>
          <w:b/>
          <w:sz w:val="24"/>
          <w:szCs w:val="24"/>
          <w:lang w:val="sq-AL"/>
        </w:rPr>
        <w:t>romëve dhe egjiptianëve</w:t>
      </w:r>
      <w:r w:rsidRPr="004D53EC">
        <w:rPr>
          <w:sz w:val="24"/>
          <w:szCs w:val="24"/>
          <w:lang w:val="sq-AL"/>
        </w:rPr>
        <w:t>, pas miratimit të planit të ri kombëtar të veprimit 2021-2025 për barazinë, përfshirjen dhe pjesëmarrjen e romëve dhe egjiptianëve në Shqipëri, punonjësit e ministrive të linjës, drejtorive rajonale, bashkive dhe institucioneve të tjera vendore u trajnuan në 2023 për mënyrën e raportimit të treguesve të progresit në sistemin elektronik ROMALB (242 zyrtarë janë përdorues aktivë). Megjithatë, kapaciteti institucional i MSHMS-së, përgjegjëse për koordinimin e politikave të lidhura me romët, mbetet i dobët për sa i përket burimeve njerëzore. Romët dhe egjiptianët vazhdojnë të përballen me sfida që janë të lidhura me aftësitë në tregun e punës. Një pjesë e konsiderueshme e të papunëve të regjistruar për ndihmë ekonomike nuk kanë përfunduar arsimin fillor. Përfshirja e romëve në vendet e punës në administratën publike duhet të përmirësohet.</w:t>
      </w:r>
    </w:p>
    <w:p w14:paraId="0BF8E98B" w14:textId="77777777" w:rsidR="006C790B" w:rsidRPr="004D53EC" w:rsidRDefault="006C790B" w:rsidP="006C790B">
      <w:pPr>
        <w:spacing w:before="120"/>
        <w:ind w:left="980" w:right="977"/>
        <w:jc w:val="both"/>
        <w:rPr>
          <w:sz w:val="24"/>
          <w:szCs w:val="24"/>
          <w:lang w:val="sq-AL"/>
        </w:rPr>
      </w:pPr>
      <w:r w:rsidRPr="004D53EC">
        <w:rPr>
          <w:sz w:val="24"/>
          <w:szCs w:val="24"/>
          <w:lang w:val="sq-AL"/>
        </w:rPr>
        <w:t xml:space="preserve">MSHMS i dha përparësi reformës së digjitalizimit të shërbimeve të kujdesit social përmes Regjistrit Elektronik Kombëtar të Shërbimeve të Kujdesit Social, i cili nuk ka qenë plotësisht funksional që nga korriku 2022, për shkak të sulmit </w:t>
      </w:r>
      <w:proofErr w:type="spellStart"/>
      <w:r w:rsidRPr="004D53EC">
        <w:rPr>
          <w:sz w:val="24"/>
          <w:szCs w:val="24"/>
          <w:lang w:val="sq-AL"/>
        </w:rPr>
        <w:t>kibernetik</w:t>
      </w:r>
      <w:proofErr w:type="spellEnd"/>
      <w:r w:rsidRPr="004D53EC">
        <w:rPr>
          <w:sz w:val="24"/>
          <w:szCs w:val="24"/>
          <w:lang w:val="sq-AL"/>
        </w:rPr>
        <w:t xml:space="preserve"> me të cilën u përballën të gjitha sistemet e të dhënave të qeverisë.</w:t>
      </w:r>
    </w:p>
    <w:p w14:paraId="672423C1" w14:textId="77777777" w:rsidR="006C790B" w:rsidRPr="004D53EC" w:rsidRDefault="006C790B" w:rsidP="006C790B">
      <w:pPr>
        <w:spacing w:before="120"/>
        <w:ind w:left="980" w:right="976"/>
        <w:jc w:val="both"/>
        <w:rPr>
          <w:sz w:val="24"/>
          <w:szCs w:val="24"/>
          <w:lang w:val="sq-AL"/>
        </w:rPr>
      </w:pPr>
      <w:r w:rsidRPr="004D53EC">
        <w:rPr>
          <w:sz w:val="24"/>
          <w:szCs w:val="24"/>
          <w:lang w:val="sq-AL"/>
        </w:rPr>
        <w:t>Të gjitha 61 bashkitë kanë miratuar planet e kujdesit social.</w:t>
      </w:r>
    </w:p>
    <w:p w14:paraId="707C8E09" w14:textId="77777777" w:rsidR="006C790B" w:rsidRPr="004D53EC" w:rsidRDefault="006C790B" w:rsidP="006C790B">
      <w:pPr>
        <w:spacing w:before="120"/>
        <w:ind w:left="980" w:right="976"/>
        <w:jc w:val="both"/>
        <w:rPr>
          <w:sz w:val="24"/>
          <w:szCs w:val="24"/>
          <w:lang w:val="sq-AL"/>
        </w:rPr>
      </w:pPr>
      <w:r w:rsidRPr="004D53EC">
        <w:rPr>
          <w:sz w:val="24"/>
          <w:szCs w:val="24"/>
          <w:lang w:val="sq-AL"/>
        </w:rPr>
        <w:t>Autoritetet duhet të sigurojnë që shërbimet sociale të krijohen dhe funksionojnë në të gjitha bashkitë. Gjatë vitit 2022, u ngritën 27 shërbime të kujdesit social me bazë komune në nivel bashkie dhe 13 shërbime të specializuara në nivel qarku. Për vitin 2023, 13 shërbime të kujdesit social me bazë komune në nivel bashkie dhe 13 shërbime të specializuara në nivel qarku kanë përfituar nga vazhdimi i mbështetjes financiare. Për vitin 2023, buxheti i Fondit Social u rrit në 2.8 milionë euro, pati një rritje prej 50% krahasuar me vitin 2022. Megjithatë, qeverive vendore kanë shpesh mungesë fondesh dhe burimesh për të ngritur në mënyrë efektive menaxhimin dhe zbatimin e shërbimeve sociale.</w:t>
      </w:r>
    </w:p>
    <w:p w14:paraId="7561D0D3" w14:textId="77777777" w:rsidR="006C790B" w:rsidRPr="004D53EC" w:rsidRDefault="006C790B" w:rsidP="006C790B">
      <w:pPr>
        <w:spacing w:before="120"/>
        <w:ind w:left="979" w:right="1018"/>
        <w:jc w:val="both"/>
        <w:rPr>
          <w:sz w:val="24"/>
          <w:szCs w:val="24"/>
          <w:lang w:val="sq-AL"/>
        </w:rPr>
      </w:pPr>
      <w:r w:rsidRPr="004D53EC">
        <w:rPr>
          <w:sz w:val="24"/>
          <w:szCs w:val="24"/>
          <w:lang w:val="sq-AL"/>
        </w:rPr>
        <w:t xml:space="preserve">Për </w:t>
      </w:r>
      <w:proofErr w:type="spellStart"/>
      <w:r w:rsidRPr="004D53EC">
        <w:rPr>
          <w:b/>
          <w:sz w:val="24"/>
          <w:szCs w:val="24"/>
          <w:lang w:val="sq-AL"/>
        </w:rPr>
        <w:t>mosdiskriminimin</w:t>
      </w:r>
      <w:proofErr w:type="spellEnd"/>
      <w:r w:rsidRPr="004D53EC">
        <w:rPr>
          <w:b/>
          <w:sz w:val="24"/>
          <w:szCs w:val="24"/>
          <w:lang w:val="sq-AL"/>
        </w:rPr>
        <w:t xml:space="preserve"> në punësimin dhe politikën sociale</w:t>
      </w:r>
      <w:r w:rsidRPr="004D53EC">
        <w:rPr>
          <w:sz w:val="24"/>
          <w:szCs w:val="24"/>
          <w:lang w:val="sq-AL"/>
        </w:rPr>
        <w:t xml:space="preserve"> Shqipëria dhe ILO nënshkruan programin vendor të punës së denjë 2023-2026, qëllimi i të cilit është të zgjidhë problemet kryesore lidhur me kushtet e punës dhe mbrojtjen sociale si aksidentet në punë, mbrojtjen efektive në punë duke krijuar mekanizmat për të trajtuar dhunën dhe ngacmimin, nivelet e ulëta të pagave dhe mbulimin e pamjaftueshëm të sistemit të sigurimeve shoqërore.</w:t>
      </w:r>
    </w:p>
    <w:p w14:paraId="44951BAC" w14:textId="77777777" w:rsidR="006C790B" w:rsidRPr="004D53EC" w:rsidRDefault="006C790B" w:rsidP="006C790B">
      <w:pPr>
        <w:spacing w:before="120"/>
        <w:ind w:left="980" w:right="976"/>
        <w:jc w:val="both"/>
        <w:rPr>
          <w:sz w:val="24"/>
          <w:szCs w:val="24"/>
          <w:lang w:val="sq-AL"/>
        </w:rPr>
      </w:pPr>
      <w:r w:rsidRPr="004D53EC">
        <w:rPr>
          <w:sz w:val="24"/>
          <w:szCs w:val="24"/>
          <w:lang w:val="sq-AL"/>
        </w:rPr>
        <w:t xml:space="preserve">Për sa i përket </w:t>
      </w:r>
      <w:r w:rsidRPr="004D53EC">
        <w:rPr>
          <w:b/>
          <w:sz w:val="24"/>
          <w:szCs w:val="24"/>
          <w:lang w:val="sq-AL"/>
        </w:rPr>
        <w:t>barazisë midis grave dhe burrave në punësim dhe politika sociale</w:t>
      </w:r>
      <w:r w:rsidRPr="004D53EC">
        <w:rPr>
          <w:sz w:val="24"/>
          <w:szCs w:val="24"/>
          <w:lang w:val="sq-AL"/>
        </w:rPr>
        <w:t>, sipas statistikave të INSTAT-it për fuqinë punëtore për tremujorin e katërt 2022 ka një hendek punësimi gjinor prej 11,6% për grupin e moshës 15-64 vjeç. 69.1% e femrave marrin pjesë në fuqinë punëtore, krahasuar me 80.7% të meshkujve. Në vitin 2022, shkalla e pjesëmarrjes në fuqinë punëtore për gratë u rrit me 5,9% dhe 3,0% për burrat krahasuar me të njëjtin tremujor (të katërt) të vitit 2021. Këshilli Kombëtar për Barazinë Gjinore miratoi në qershor 2023 Planin e Veprimit për zbatimin e Rezolutës “Mbi Gruan, Paqen dhe Sigurinë 2023 – 2027”.</w:t>
      </w:r>
    </w:p>
    <w:p w14:paraId="27537A6A" w14:textId="77777777" w:rsidR="006C790B" w:rsidRPr="004D53EC" w:rsidRDefault="006C790B" w:rsidP="006C790B">
      <w:pPr>
        <w:spacing w:before="119"/>
        <w:ind w:left="980" w:right="978"/>
        <w:jc w:val="both"/>
        <w:rPr>
          <w:sz w:val="24"/>
          <w:szCs w:val="24"/>
          <w:lang w:val="sq-AL"/>
        </w:rPr>
      </w:pPr>
      <w:r w:rsidRPr="004D53EC">
        <w:rPr>
          <w:sz w:val="24"/>
          <w:szCs w:val="24"/>
          <w:lang w:val="sq-AL"/>
        </w:rPr>
        <w:t xml:space="preserve">Për </w:t>
      </w:r>
      <w:r w:rsidRPr="004D53EC">
        <w:rPr>
          <w:b/>
          <w:sz w:val="24"/>
          <w:szCs w:val="24"/>
          <w:lang w:val="sq-AL"/>
        </w:rPr>
        <w:t>luftën kundër korrupsionit</w:t>
      </w:r>
      <w:r w:rsidRPr="004D53EC">
        <w:rPr>
          <w:sz w:val="24"/>
          <w:szCs w:val="24"/>
          <w:lang w:val="sq-AL"/>
        </w:rPr>
        <w:t xml:space="preserve">, në prill 2022, MSHMS miratoi strategjinë e saj të integritetit. Instituti i Sigurimeve Shoqërore ka në fuqi një kod etike. Autoritetet përdorin shërbimet </w:t>
      </w:r>
      <w:proofErr w:type="spellStart"/>
      <w:r w:rsidRPr="004D53EC">
        <w:rPr>
          <w:sz w:val="24"/>
          <w:szCs w:val="24"/>
          <w:lang w:val="sq-AL"/>
        </w:rPr>
        <w:t>online</w:t>
      </w:r>
      <w:proofErr w:type="spellEnd"/>
      <w:r w:rsidRPr="004D53EC">
        <w:rPr>
          <w:sz w:val="24"/>
          <w:szCs w:val="24"/>
          <w:lang w:val="sq-AL"/>
        </w:rPr>
        <w:t xml:space="preserve"> për të rritur transparencën, si platformën e Sistemit të Ndihmës Ekonomike, e cila menaxhon bazën e të dhënave shtetërore për ndihmën ekonomike dhe procesin e aplikimit dhe dhënies së ndihmës ekonomike.</w:t>
      </w:r>
    </w:p>
    <w:p w14:paraId="488C01AF" w14:textId="77777777" w:rsidR="006C790B" w:rsidRPr="004D53EC" w:rsidRDefault="006C790B" w:rsidP="006C790B">
      <w:pPr>
        <w:spacing w:before="120"/>
        <w:ind w:left="1040"/>
        <w:jc w:val="both"/>
        <w:outlineLvl w:val="0"/>
        <w:rPr>
          <w:b/>
          <w:bCs/>
          <w:sz w:val="24"/>
          <w:szCs w:val="24"/>
          <w:lang w:val="sq-AL"/>
        </w:rPr>
      </w:pPr>
      <w:bookmarkStart w:id="83" w:name="Chapter_20:_Enterprise_and_industrial_po"/>
      <w:bookmarkStart w:id="84" w:name="_bookmark49"/>
      <w:bookmarkEnd w:id="83"/>
      <w:bookmarkEnd w:id="84"/>
      <w:r w:rsidRPr="004D53EC">
        <w:rPr>
          <w:b/>
          <w:bCs/>
          <w:sz w:val="24"/>
          <w:szCs w:val="24"/>
          <w:lang w:val="sq-AL"/>
        </w:rPr>
        <w:t>Kapitulli 20: Sipërmarrja dhe politika industriale</w:t>
      </w:r>
    </w:p>
    <w:p w14:paraId="3E2973DC" w14:textId="77777777" w:rsidR="006C790B" w:rsidRPr="004D53EC" w:rsidRDefault="006C790B" w:rsidP="006C790B">
      <w:pPr>
        <w:spacing w:before="120"/>
        <w:ind w:left="980" w:right="977"/>
        <w:jc w:val="both"/>
        <w:rPr>
          <w:i/>
          <w:sz w:val="24"/>
          <w:lang w:val="sq-AL"/>
        </w:rPr>
      </w:pPr>
      <w:r w:rsidRPr="004D53EC">
        <w:rPr>
          <w:i/>
          <w:sz w:val="24"/>
          <w:lang w:val="sq-AL"/>
        </w:rPr>
        <w:t>Politika industriale e BE-së forcon konkurrencën, lehtëson ndryshimet strukturore dhe inkurajon një mjedis miqësor ndaj biznesit që stimulon ndërmarrjet e vogla dhe të mesme (NVM).</w:t>
      </w:r>
    </w:p>
    <w:p w14:paraId="574E9E3B" w14:textId="77777777" w:rsidR="006C790B" w:rsidRPr="004D53EC" w:rsidRDefault="006C790B" w:rsidP="006C790B">
      <w:pPr>
        <w:spacing w:before="6"/>
        <w:rPr>
          <w:i/>
          <w:sz w:val="10"/>
          <w:szCs w:val="24"/>
          <w:lang w:val="sq-AL"/>
        </w:rPr>
      </w:pP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4"/>
      </w:tblGrid>
      <w:tr w:rsidR="006C790B" w:rsidRPr="004D53EC" w14:paraId="6F8A6E5C" w14:textId="77777777" w:rsidTr="005760FF">
        <w:trPr>
          <w:trHeight w:val="2190"/>
        </w:trPr>
        <w:tc>
          <w:tcPr>
            <w:tcW w:w="9254" w:type="dxa"/>
            <w:tcBorders>
              <w:bottom w:val="nil"/>
            </w:tcBorders>
            <w:shd w:val="clear" w:color="auto" w:fill="D9D9D9"/>
          </w:tcPr>
          <w:p w14:paraId="7E191911" w14:textId="77777777" w:rsidR="006C790B" w:rsidRPr="004D53EC" w:rsidRDefault="006C790B" w:rsidP="006C790B">
            <w:pPr>
              <w:spacing w:before="19"/>
              <w:ind w:left="113" w:right="101"/>
              <w:jc w:val="both"/>
              <w:rPr>
                <w:sz w:val="24"/>
                <w:lang w:val="sq-AL"/>
              </w:rPr>
            </w:pPr>
            <w:r w:rsidRPr="004D53EC">
              <w:rPr>
                <w:sz w:val="24"/>
                <w:lang w:val="sq-AL"/>
              </w:rPr>
              <w:lastRenderedPageBreak/>
              <w:t xml:space="preserve">Shqipëria ka një </w:t>
            </w:r>
            <w:r w:rsidRPr="004D53EC">
              <w:rPr>
                <w:b/>
                <w:sz w:val="24"/>
                <w:lang w:val="sq-AL"/>
              </w:rPr>
              <w:t>përgatitje mesatare</w:t>
            </w:r>
            <w:r w:rsidRPr="004D53EC">
              <w:rPr>
                <w:sz w:val="24"/>
                <w:lang w:val="sq-AL"/>
              </w:rPr>
              <w:t xml:space="preserve"> në fushën e sipërmarrjes dhe politikës industriale. Është bërë </w:t>
            </w:r>
            <w:r w:rsidRPr="004D53EC">
              <w:rPr>
                <w:b/>
                <w:sz w:val="24"/>
                <w:lang w:val="sq-AL"/>
              </w:rPr>
              <w:t>progres i mirë</w:t>
            </w:r>
            <w:r w:rsidRPr="004D53EC">
              <w:rPr>
                <w:sz w:val="24"/>
                <w:lang w:val="sq-AL"/>
              </w:rPr>
              <w:t xml:space="preserve"> për zbatimin e legjislacionit të fundit për ndërmarrjet </w:t>
            </w:r>
            <w:proofErr w:type="spellStart"/>
            <w:r w:rsidRPr="004D53EC">
              <w:rPr>
                <w:sz w:val="24"/>
                <w:lang w:val="sq-AL"/>
              </w:rPr>
              <w:t>mikro</w:t>
            </w:r>
            <w:proofErr w:type="spellEnd"/>
            <w:r w:rsidRPr="004D53EC">
              <w:rPr>
                <w:sz w:val="24"/>
                <w:lang w:val="sq-AL"/>
              </w:rPr>
              <w:t>, të vogla dhe të mesme, për bizneset start-</w:t>
            </w:r>
            <w:proofErr w:type="spellStart"/>
            <w:r w:rsidRPr="004D53EC">
              <w:rPr>
                <w:sz w:val="24"/>
                <w:lang w:val="sq-AL"/>
              </w:rPr>
              <w:t>up</w:t>
            </w:r>
            <w:proofErr w:type="spellEnd"/>
            <w:r w:rsidRPr="004D53EC">
              <w:rPr>
                <w:sz w:val="24"/>
                <w:lang w:val="sq-AL"/>
              </w:rPr>
              <w:t>, si dhe vazhdimin e programeve për mbështetjen e bizneseve në përputhje me Strategjinë e Zhvillimit të Biznesit dhe Investimeve (SZHBI. Pavarësisht këtyre përmirësimeve dhe përpjekjeve të vazhdueshme të qeverisë për të ndaluar ekonominë jo-formale dhe korrupsionin, rekomandimet në raportin e vitit 2022 u adresuan vetëm pjesërisht.</w:t>
            </w:r>
          </w:p>
          <w:p w14:paraId="23E3A700" w14:textId="77777777" w:rsidR="006C790B" w:rsidRPr="004D53EC" w:rsidRDefault="006C790B" w:rsidP="006C790B">
            <w:pPr>
              <w:spacing w:before="120"/>
              <w:ind w:left="113"/>
              <w:jc w:val="both"/>
              <w:rPr>
                <w:sz w:val="24"/>
                <w:lang w:val="sq-AL"/>
              </w:rPr>
            </w:pPr>
            <w:r w:rsidRPr="004D53EC">
              <w:rPr>
                <w:sz w:val="24"/>
                <w:lang w:val="sq-AL"/>
              </w:rPr>
              <w:t>Në vitin e ardhshëm, Shqipëria, në veçanti, duhet</w:t>
            </w:r>
            <w:r w:rsidRPr="004D53EC">
              <w:rPr>
                <w:spacing w:val="-2"/>
                <w:sz w:val="24"/>
                <w:lang w:val="sq-AL"/>
              </w:rPr>
              <w:t>:</w:t>
            </w:r>
          </w:p>
        </w:tc>
      </w:tr>
      <w:tr w:rsidR="006C790B" w:rsidRPr="004D53EC" w14:paraId="6A0B0C98" w14:textId="77777777" w:rsidTr="005760FF">
        <w:trPr>
          <w:trHeight w:val="2242"/>
        </w:trPr>
        <w:tc>
          <w:tcPr>
            <w:tcW w:w="9254" w:type="dxa"/>
            <w:tcBorders>
              <w:top w:val="nil"/>
            </w:tcBorders>
            <w:shd w:val="clear" w:color="auto" w:fill="D9D9D9"/>
          </w:tcPr>
          <w:p w14:paraId="428E7DA2" w14:textId="77777777" w:rsidR="006C790B" w:rsidRPr="004D53EC" w:rsidRDefault="006C790B" w:rsidP="006C790B">
            <w:pPr>
              <w:ind w:left="473" w:right="101" w:hanging="360"/>
              <w:jc w:val="both"/>
              <w:rPr>
                <w:sz w:val="24"/>
                <w:lang w:val="sq-AL"/>
              </w:rPr>
            </w:pPr>
            <w:r w:rsidRPr="004D53EC">
              <w:rPr>
                <w:rFonts w:ascii="Symbol" w:hAnsi="Symbol"/>
                <w:sz w:val="24"/>
                <w:lang w:val="sq-AL"/>
              </w:rPr>
              <w:t></w:t>
            </w:r>
            <w:r w:rsidRPr="004D53EC">
              <w:rPr>
                <w:sz w:val="24"/>
                <w:lang w:val="sq-AL"/>
              </w:rPr>
              <w:t xml:space="preserve"> të trajtojë sfidat kryesore për mjedisin e biznesit, duke ulur barrën </w:t>
            </w:r>
            <w:proofErr w:type="spellStart"/>
            <w:r w:rsidRPr="004D53EC">
              <w:rPr>
                <w:sz w:val="24"/>
                <w:lang w:val="sq-AL"/>
              </w:rPr>
              <w:t>rregullatore</w:t>
            </w:r>
            <w:proofErr w:type="spellEnd"/>
            <w:r w:rsidRPr="004D53EC">
              <w:rPr>
                <w:sz w:val="24"/>
                <w:lang w:val="sq-AL"/>
              </w:rPr>
              <w:t xml:space="preserve">, duke rritur pjesëmarrjen në programet e financimit të </w:t>
            </w:r>
            <w:proofErr w:type="spellStart"/>
            <w:r w:rsidRPr="004D53EC">
              <w:rPr>
                <w:sz w:val="24"/>
                <w:lang w:val="sq-AL"/>
              </w:rPr>
              <w:t>disponueshëm</w:t>
            </w:r>
            <w:proofErr w:type="spellEnd"/>
            <w:r w:rsidRPr="004D53EC">
              <w:rPr>
                <w:sz w:val="24"/>
                <w:lang w:val="sq-AL"/>
              </w:rPr>
              <w:t xml:space="preserve"> për bizneset, duke ulur </w:t>
            </w:r>
            <w:proofErr w:type="spellStart"/>
            <w:r w:rsidRPr="004D53EC">
              <w:rPr>
                <w:sz w:val="24"/>
                <w:lang w:val="sq-AL"/>
              </w:rPr>
              <w:t>informalitetin</w:t>
            </w:r>
            <w:proofErr w:type="spellEnd"/>
            <w:r w:rsidRPr="004D53EC">
              <w:rPr>
                <w:sz w:val="24"/>
                <w:lang w:val="sq-AL"/>
              </w:rPr>
              <w:t xml:space="preserve"> dhe korrupsionin, dhe duke rritur shërbimet mbështetëse ndaj biznesit;</w:t>
            </w:r>
          </w:p>
          <w:p w14:paraId="6F768EB5" w14:textId="77777777" w:rsidR="006C790B" w:rsidRPr="004D53EC" w:rsidRDefault="006C790B" w:rsidP="006C790B">
            <w:pPr>
              <w:spacing w:before="118"/>
              <w:ind w:left="113"/>
              <w:jc w:val="both"/>
              <w:rPr>
                <w:sz w:val="24"/>
                <w:lang w:val="sq-AL"/>
              </w:rPr>
            </w:pPr>
            <w:r w:rsidRPr="004D53EC">
              <w:rPr>
                <w:rFonts w:ascii="Symbol" w:hAnsi="Symbol"/>
                <w:sz w:val="24"/>
                <w:lang w:val="sq-AL"/>
              </w:rPr>
              <w:t></w:t>
            </w:r>
            <w:r w:rsidRPr="004D53EC">
              <w:rPr>
                <w:spacing w:val="60"/>
                <w:sz w:val="24"/>
                <w:lang w:val="sq-AL"/>
              </w:rPr>
              <w:t xml:space="preserve"> </w:t>
            </w:r>
            <w:r w:rsidRPr="004D53EC">
              <w:rPr>
                <w:sz w:val="24"/>
                <w:lang w:val="sq-AL"/>
              </w:rPr>
              <w:t xml:space="preserve">të përshpejtojë harmonizimin e plotë të legjislacionit vendas me </w:t>
            </w:r>
            <w:proofErr w:type="spellStart"/>
            <w:r w:rsidRPr="004D53EC">
              <w:rPr>
                <w:i/>
                <w:sz w:val="24"/>
                <w:lang w:val="sq-AL"/>
              </w:rPr>
              <w:t>acquis</w:t>
            </w:r>
            <w:proofErr w:type="spellEnd"/>
            <w:r w:rsidRPr="004D53EC">
              <w:rPr>
                <w:sz w:val="24"/>
                <w:lang w:val="sq-AL"/>
              </w:rPr>
              <w:t xml:space="preserve"> të BE-së për pagesat e vonuara</w:t>
            </w:r>
            <w:r w:rsidRPr="004D53EC">
              <w:rPr>
                <w:spacing w:val="-2"/>
                <w:sz w:val="24"/>
                <w:lang w:val="sq-AL"/>
              </w:rPr>
              <w:t>;</w:t>
            </w:r>
          </w:p>
          <w:p w14:paraId="324DB44F" w14:textId="77777777" w:rsidR="006C790B" w:rsidRPr="004D53EC" w:rsidRDefault="006C790B" w:rsidP="006C790B">
            <w:pPr>
              <w:spacing w:before="136" w:line="276" w:lineRule="exact"/>
              <w:ind w:left="473" w:right="100" w:hanging="360"/>
              <w:jc w:val="both"/>
              <w:rPr>
                <w:sz w:val="24"/>
                <w:lang w:val="sq-AL"/>
              </w:rPr>
            </w:pPr>
            <w:r w:rsidRPr="004D53EC">
              <w:rPr>
                <w:rFonts w:ascii="Symbol" w:hAnsi="Symbol"/>
                <w:sz w:val="24"/>
                <w:lang w:val="sq-AL"/>
              </w:rPr>
              <w:t></w:t>
            </w:r>
            <w:r w:rsidRPr="004D53EC">
              <w:rPr>
                <w:sz w:val="24"/>
                <w:lang w:val="sq-AL"/>
              </w:rPr>
              <w:t xml:space="preserve"> të miratojë ligjin e unifikuar për investimet dhe të trajtojë pengesat ndaj konkurrencës dhe rritjes ekonomike, siç theksohet në rekomandimet e përbashkëta të Programeve të Reformës Ekonomike 2023-2025.</w:t>
            </w:r>
          </w:p>
        </w:tc>
      </w:tr>
    </w:tbl>
    <w:p w14:paraId="44EF1183" w14:textId="77777777" w:rsidR="006C790B" w:rsidRPr="004D53EC" w:rsidRDefault="006C790B" w:rsidP="006C790B">
      <w:pPr>
        <w:spacing w:before="143"/>
        <w:ind w:left="979" w:right="976"/>
        <w:jc w:val="both"/>
        <w:rPr>
          <w:sz w:val="24"/>
          <w:szCs w:val="24"/>
          <w:lang w:val="sq-AL"/>
        </w:rPr>
      </w:pPr>
      <w:r w:rsidRPr="004D53EC">
        <w:rPr>
          <w:sz w:val="24"/>
          <w:szCs w:val="24"/>
          <w:lang w:val="sq-AL"/>
        </w:rPr>
        <w:t xml:space="preserve">Shqipëria vazhdon të zbatojë strategjinë e saj të zhvillimit të biznesit dhe investimeve 2021-2027, e cila fokusohet në zhvillimin dhe inovacionin e NVM-ve; investimet, kushtet e tërheqjes dhe ndërkombëtarizimit; dhe zhvillimin e kapitalit njerëzor. Ajo po zbaton gjithashtu edhe programin 2020-2024 për zhvillimin industrial gjithëpërfshirës dhe të qëndrueshëm. Strategjia e zhvillimit të biznesit dhe investimeve dhe programi për zhvillimin industrial gjithëpërfshirës dhe të qëndrueshëm përcaktojnë kuadrin strategjik për </w:t>
      </w:r>
      <w:r w:rsidRPr="004D53EC">
        <w:rPr>
          <w:b/>
          <w:sz w:val="24"/>
          <w:szCs w:val="24"/>
          <w:lang w:val="sq-AL"/>
        </w:rPr>
        <w:t>sipërmarrjen dhe politikën industriale</w:t>
      </w:r>
      <w:r w:rsidRPr="004D53EC">
        <w:rPr>
          <w:sz w:val="24"/>
          <w:szCs w:val="24"/>
          <w:lang w:val="sq-AL"/>
        </w:rPr>
        <w:t xml:space="preserve"> në Shqipëri.</w:t>
      </w:r>
    </w:p>
    <w:p w14:paraId="227FB6D1" w14:textId="57EEDB4A" w:rsidR="006C790B" w:rsidRPr="004D53EC" w:rsidRDefault="006C790B" w:rsidP="006C790B">
      <w:pPr>
        <w:spacing w:before="143"/>
        <w:ind w:left="979" w:right="976"/>
        <w:jc w:val="both"/>
        <w:rPr>
          <w:sz w:val="24"/>
          <w:szCs w:val="24"/>
          <w:lang w:val="sq-AL"/>
        </w:rPr>
      </w:pPr>
      <w:r w:rsidRPr="004D53EC">
        <w:rPr>
          <w:sz w:val="24"/>
          <w:szCs w:val="24"/>
          <w:lang w:val="sq-AL"/>
        </w:rPr>
        <w:t>Shqipëria ndjek zbatimin e Aktit të Biznesit të Vogël (SBA) dhe ka reflektuar mbi rekomandimet e këtij Akti për formulimin e politikës për NVM-të.</w:t>
      </w:r>
      <w:r w:rsidR="004D53EC">
        <w:rPr>
          <w:sz w:val="24"/>
          <w:szCs w:val="24"/>
          <w:lang w:val="sq-AL"/>
        </w:rPr>
        <w:t xml:space="preserve"> </w:t>
      </w:r>
      <w:r w:rsidRPr="004D53EC">
        <w:rPr>
          <w:sz w:val="24"/>
          <w:szCs w:val="24"/>
          <w:lang w:val="sq-AL"/>
        </w:rPr>
        <w:t xml:space="preserve">Në qershor 2022 u miratua gjithashtu një plan veprimi 3-vjeçar (2022-2024) për zbatimin e strategjisë minerare. Shqipëria po zbaton strategjinë e saj kombëtare të 2017-ës për inovacionin dhe teknologjinë dhe aktualisht është duke hartuar një strategji për specializimin inteligjent. Ligji për </w:t>
      </w:r>
      <w:r w:rsidRPr="004D53EC">
        <w:rPr>
          <w:i/>
          <w:sz w:val="24"/>
          <w:szCs w:val="24"/>
          <w:lang w:val="sq-AL"/>
        </w:rPr>
        <w:t>start-</w:t>
      </w:r>
      <w:proofErr w:type="spellStart"/>
      <w:r w:rsidRPr="004D53EC">
        <w:rPr>
          <w:i/>
          <w:sz w:val="24"/>
          <w:szCs w:val="24"/>
          <w:lang w:val="sq-AL"/>
        </w:rPr>
        <w:t>up</w:t>
      </w:r>
      <w:proofErr w:type="spellEnd"/>
      <w:r w:rsidRPr="004D53EC">
        <w:rPr>
          <w:sz w:val="24"/>
          <w:szCs w:val="24"/>
          <w:lang w:val="sq-AL"/>
        </w:rPr>
        <w:t xml:space="preserve">-et në inovacion u ndryshua për të krijuar agjencinë shtetërore të </w:t>
      </w:r>
      <w:r w:rsidRPr="004D53EC">
        <w:rPr>
          <w:i/>
          <w:sz w:val="24"/>
          <w:szCs w:val="24"/>
          <w:lang w:val="sq-AL"/>
        </w:rPr>
        <w:t>start-</w:t>
      </w:r>
      <w:proofErr w:type="spellStart"/>
      <w:r w:rsidRPr="004D53EC">
        <w:rPr>
          <w:i/>
          <w:sz w:val="24"/>
          <w:szCs w:val="24"/>
          <w:lang w:val="sq-AL"/>
        </w:rPr>
        <w:t>up</w:t>
      </w:r>
      <w:proofErr w:type="spellEnd"/>
      <w:r w:rsidRPr="004D53EC">
        <w:rPr>
          <w:sz w:val="24"/>
          <w:szCs w:val="24"/>
          <w:lang w:val="sq-AL"/>
        </w:rPr>
        <w:t>-eve dhe për të mbuluar nomadët digjitalë.</w:t>
      </w:r>
    </w:p>
    <w:p w14:paraId="18953CCE" w14:textId="77777777" w:rsidR="006C790B" w:rsidRPr="004D53EC" w:rsidRDefault="006C790B" w:rsidP="006C790B">
      <w:pPr>
        <w:spacing w:before="121"/>
        <w:ind w:left="979" w:right="976"/>
        <w:jc w:val="both"/>
        <w:rPr>
          <w:sz w:val="24"/>
          <w:szCs w:val="24"/>
          <w:lang w:val="sq-AL"/>
        </w:rPr>
      </w:pPr>
      <w:r w:rsidRPr="004D53EC">
        <w:rPr>
          <w:sz w:val="24"/>
          <w:szCs w:val="24"/>
          <w:lang w:val="sq-AL"/>
        </w:rPr>
        <w:t xml:space="preserve">Komuniteti i biznesit shprehet se sfidat kryesore të vazhdueshme që dëmtojnë klimën e biznesit janë korrupsioni; ekonomia jo-formale dhe konkurrenca e pandershme; mungesa e transparencës në procedurat e prokurimit publik (veçanërisht për partneritetet publiko-private); mungesa e </w:t>
      </w:r>
      <w:proofErr w:type="spellStart"/>
      <w:r w:rsidRPr="004D53EC">
        <w:rPr>
          <w:sz w:val="24"/>
          <w:szCs w:val="24"/>
          <w:lang w:val="sq-AL"/>
        </w:rPr>
        <w:t>parashikueshmërisë</w:t>
      </w:r>
      <w:proofErr w:type="spellEnd"/>
      <w:r w:rsidRPr="004D53EC">
        <w:rPr>
          <w:sz w:val="24"/>
          <w:szCs w:val="24"/>
          <w:lang w:val="sq-AL"/>
        </w:rPr>
        <w:t xml:space="preserve"> së legjislacionit; burokracia dhe një mekanizëm joefikas i konsultimit publiko-privat. Procedurat e gjata gjyqësore mbeten gjithashtu një shqetësim, pavarësisht progresit në reformën në drejtësi. Problemet me titujt e pronësisë përbëjnë një pengesë të vazhdueshme për investitorët e huaj. Fusha të tjera që duhen trajtuar janë: </w:t>
      </w:r>
      <w:proofErr w:type="spellStart"/>
      <w:r w:rsidRPr="004D53EC">
        <w:rPr>
          <w:sz w:val="24"/>
          <w:szCs w:val="24"/>
          <w:lang w:val="sq-AL"/>
        </w:rPr>
        <w:t>diversifikimii</w:t>
      </w:r>
      <w:proofErr w:type="spellEnd"/>
      <w:r w:rsidRPr="004D53EC">
        <w:rPr>
          <w:sz w:val="24"/>
          <w:szCs w:val="24"/>
          <w:lang w:val="sq-AL"/>
        </w:rPr>
        <w:t xml:space="preserve"> i dobët i eksporteve dhe varësia e lartë nga importet. Bizneset gjithashtu përballen me pengesa për shkak të mungesës së punëtorëve të kualifikuar dhe </w:t>
      </w:r>
      <w:proofErr w:type="spellStart"/>
      <w:r w:rsidRPr="004D53EC">
        <w:rPr>
          <w:sz w:val="24"/>
          <w:szCs w:val="24"/>
          <w:lang w:val="sq-AL"/>
        </w:rPr>
        <w:t>aksesit</w:t>
      </w:r>
      <w:proofErr w:type="spellEnd"/>
      <w:r w:rsidRPr="004D53EC">
        <w:rPr>
          <w:sz w:val="24"/>
          <w:szCs w:val="24"/>
          <w:lang w:val="sq-AL"/>
        </w:rPr>
        <w:t xml:space="preserve"> në financa. Ata, nga ana e tyre duhet të përshtaten me modernizimin dhe procesin e gjelbër, digjitalizimin, inovacionin dhe tregtinë elektronike.</w:t>
      </w:r>
    </w:p>
    <w:p w14:paraId="304A6C40" w14:textId="77777777" w:rsidR="006C790B" w:rsidRPr="004D53EC" w:rsidRDefault="006C790B" w:rsidP="006C790B">
      <w:pPr>
        <w:spacing w:before="119"/>
        <w:ind w:left="979" w:right="976"/>
        <w:jc w:val="both"/>
        <w:rPr>
          <w:sz w:val="24"/>
          <w:szCs w:val="24"/>
          <w:lang w:val="sq-AL"/>
        </w:rPr>
      </w:pPr>
      <w:r w:rsidRPr="004D53EC">
        <w:rPr>
          <w:sz w:val="24"/>
          <w:szCs w:val="24"/>
          <w:lang w:val="sq-AL"/>
        </w:rPr>
        <w:t xml:space="preserve">Pavarësisht rritjes së kostove të biznesit, kompanitë i janë përgjigjur pozitivisht vendimit të qeverisë për rritjen e pagës minimale, si një mënyrë për të mbajtur punëtorët, veçanërisht në kompanitë me vëllime të mëdha pune. Administrata tatimore vazhdoi përpjekjet e saj për të zgjidhur problemin e ekonomisë j-formale duke zgjeruar bazën e taksapaguesve, duke zbatuar pajtueshmërinë dhe duke punuar për krijimin e një mjedisi të barabartë për operatorët ekonomikë, përfshirë sektorët e turizmit dhe ndërtimit. Sipas të dhënave të Inspektoratit të </w:t>
      </w:r>
      <w:r w:rsidRPr="004D53EC">
        <w:rPr>
          <w:sz w:val="24"/>
          <w:szCs w:val="24"/>
          <w:lang w:val="sq-AL"/>
        </w:rPr>
        <w:lastRenderedPageBreak/>
        <w:t>Punës për vitin 2022, sektori i turizmit (hoteleria, baret dhe restorantet kishin ekspozimin më të lartë ndaj punësimit jo-formal me 44% të totalit të rasteve të identifikuara, i ndjekur nga prodhimi me 25% dhe ndërtimi me 21%. Për shkak të përpjekjeve të intensifikuara për trajtimin e punësimit jo-formal, numri i punëtorëve jo-formalë të identifikuar u rrit me mbi 64% në vitin 2022 krahasuar me 2021. Më shumë përpjekje duhet të bëhen për të rritur produktivitetin në ekonomi dhe për të përmirësuar klimën e biznesit.</w:t>
      </w:r>
    </w:p>
    <w:p w14:paraId="32279CAE" w14:textId="77777777" w:rsidR="006C790B" w:rsidRPr="004D53EC" w:rsidRDefault="006C790B" w:rsidP="006C790B">
      <w:pPr>
        <w:spacing w:before="120"/>
        <w:ind w:left="979" w:right="976"/>
        <w:jc w:val="both"/>
        <w:rPr>
          <w:sz w:val="24"/>
          <w:szCs w:val="24"/>
          <w:lang w:val="sq-AL"/>
        </w:rPr>
      </w:pPr>
      <w:r w:rsidRPr="004D53EC">
        <w:rPr>
          <w:sz w:val="24"/>
          <w:szCs w:val="24"/>
          <w:lang w:val="sq-AL"/>
        </w:rPr>
        <w:t xml:space="preserve">Shqipëria vazhdon të privatizojë </w:t>
      </w:r>
      <w:proofErr w:type="spellStart"/>
      <w:r w:rsidRPr="004D53EC">
        <w:rPr>
          <w:sz w:val="24"/>
          <w:szCs w:val="24"/>
          <w:lang w:val="sq-AL"/>
        </w:rPr>
        <w:t>asetet</w:t>
      </w:r>
      <w:proofErr w:type="spellEnd"/>
      <w:r w:rsidRPr="004D53EC">
        <w:rPr>
          <w:sz w:val="24"/>
          <w:szCs w:val="24"/>
          <w:lang w:val="sq-AL"/>
        </w:rPr>
        <w:t xml:space="preserve"> shtetërore, pjesërisht përmes bonove të privatizimit që janë aktualisht të vlefshëm deri në dhjetor 2023. Ligji për krijimin dhe funksionimin e zonave ekonomike dhe Korporata Shqiptare e Investimeve i kanë dhënë mundësi mjedisit të zhvillojë projekte për ripërtëritjen e objekteve të vjetra shtetërore duke tërhequr investime , megjithëse nuk është bërë përparim në miratimin e ligjit të unifikuar për të nxitur investimet. Në nëntor 2022, me një vendim të qeverisë u krijua Zona e Zhvillimit Ekonomik të Tiranës (TEDA), e cila pritet të tërheqë investitorë në industrinë e automobilave, teknologjisë së informacionit dhe komunikimit, si dhe në industrinë e pajisjeve elektronike. Në qershor 2023, pas një procedure konkurrimi, u zgjodh kompania fituese për zhvillimin e TEDA-s. Gjatë periudhës së raportimit, Komiteti Kombëtar i Investimeve Strategjike, i kryesuar nga Kryeministri, ka vijuar të marrë vendime për rastet e investitorëve që përfitojnë nga statusi i investitorit strategjik, kryesisht në fushën e turizmit.</w:t>
      </w:r>
    </w:p>
    <w:p w14:paraId="34B2995A" w14:textId="77777777" w:rsidR="006C790B" w:rsidRPr="004D53EC" w:rsidRDefault="006C790B" w:rsidP="006C790B">
      <w:pPr>
        <w:spacing w:before="120"/>
        <w:ind w:left="979" w:right="976"/>
        <w:jc w:val="both"/>
        <w:rPr>
          <w:sz w:val="24"/>
          <w:szCs w:val="24"/>
          <w:lang w:val="sq-AL"/>
        </w:rPr>
      </w:pPr>
      <w:r w:rsidRPr="004D53EC">
        <w:rPr>
          <w:sz w:val="24"/>
          <w:szCs w:val="24"/>
          <w:lang w:val="sq-AL"/>
        </w:rPr>
        <w:t xml:space="preserve">Në fushën e instrumenteve të </w:t>
      </w:r>
      <w:r w:rsidRPr="004D53EC">
        <w:rPr>
          <w:b/>
          <w:sz w:val="24"/>
          <w:szCs w:val="24"/>
          <w:lang w:val="sq-AL"/>
        </w:rPr>
        <w:t>politikave të sipërmarrjeve dhe industrisë</w:t>
      </w:r>
      <w:r w:rsidRPr="004D53EC">
        <w:rPr>
          <w:sz w:val="24"/>
          <w:szCs w:val="24"/>
          <w:lang w:val="sq-AL"/>
        </w:rPr>
        <w:t xml:space="preserve">, Agjencia Shqiptare e Zhvillimit të Investimeve operon një platformë </w:t>
      </w:r>
      <w:proofErr w:type="spellStart"/>
      <w:r w:rsidRPr="004D53EC">
        <w:rPr>
          <w:sz w:val="24"/>
          <w:szCs w:val="24"/>
          <w:lang w:val="sq-AL"/>
        </w:rPr>
        <w:t>online</w:t>
      </w:r>
      <w:proofErr w:type="spellEnd"/>
      <w:r w:rsidRPr="004D53EC">
        <w:rPr>
          <w:sz w:val="24"/>
          <w:szCs w:val="24"/>
          <w:lang w:val="sq-AL"/>
        </w:rPr>
        <w:t>, falë së cilës bizneset mund të marrin informacione mbi mundësitë e financimit. Agjencia ofron gjithashtu trajnime për e-</w:t>
      </w:r>
      <w:proofErr w:type="spellStart"/>
      <w:r w:rsidRPr="004D53EC">
        <w:rPr>
          <w:sz w:val="24"/>
          <w:szCs w:val="24"/>
          <w:lang w:val="sq-AL"/>
        </w:rPr>
        <w:t>commerce</w:t>
      </w:r>
      <w:proofErr w:type="spellEnd"/>
      <w:r w:rsidRPr="004D53EC">
        <w:rPr>
          <w:sz w:val="24"/>
          <w:szCs w:val="24"/>
          <w:lang w:val="sq-AL"/>
        </w:rPr>
        <w:t xml:space="preserve"> dhe ka publikuar një mjet dhe udhëzim për vetëvlerësimin digjital, me qëllim për t’i ndihmuar NVM-të të fillojnë </w:t>
      </w:r>
      <w:r w:rsidRPr="004D53EC">
        <w:rPr>
          <w:i/>
          <w:sz w:val="24"/>
          <w:szCs w:val="24"/>
          <w:lang w:val="sq-AL"/>
        </w:rPr>
        <w:t>e-bizneset</w:t>
      </w:r>
      <w:r w:rsidRPr="004D53EC">
        <w:rPr>
          <w:sz w:val="24"/>
          <w:szCs w:val="24"/>
          <w:lang w:val="sq-AL"/>
        </w:rPr>
        <w:t xml:space="preserve"> dhe </w:t>
      </w:r>
      <w:r w:rsidRPr="004D53EC">
        <w:rPr>
          <w:i/>
          <w:sz w:val="24"/>
          <w:szCs w:val="24"/>
          <w:lang w:val="sq-AL"/>
        </w:rPr>
        <w:t>e-</w:t>
      </w:r>
      <w:proofErr w:type="spellStart"/>
      <w:r w:rsidRPr="004D53EC">
        <w:rPr>
          <w:i/>
          <w:sz w:val="24"/>
          <w:szCs w:val="24"/>
          <w:lang w:val="sq-AL"/>
        </w:rPr>
        <w:t>commerce</w:t>
      </w:r>
      <w:proofErr w:type="spellEnd"/>
      <w:r w:rsidRPr="004D53EC">
        <w:rPr>
          <w:sz w:val="24"/>
          <w:szCs w:val="24"/>
          <w:lang w:val="sq-AL"/>
        </w:rPr>
        <w:t>. Për sa i përket aftësive të sipërmarrjes, Agjencia Shqiptare e Shoqërisë së Informacionit ofron trajnime intensive për bizneset start-</w:t>
      </w:r>
      <w:proofErr w:type="spellStart"/>
      <w:r w:rsidRPr="004D53EC">
        <w:rPr>
          <w:sz w:val="24"/>
          <w:szCs w:val="24"/>
          <w:lang w:val="sq-AL"/>
        </w:rPr>
        <w:t>up</w:t>
      </w:r>
      <w:proofErr w:type="spellEnd"/>
      <w:r w:rsidRPr="004D53EC">
        <w:rPr>
          <w:sz w:val="24"/>
          <w:szCs w:val="24"/>
          <w:lang w:val="sq-AL"/>
        </w:rPr>
        <w:t xml:space="preserve"> përmes ‘</w:t>
      </w:r>
      <w:proofErr w:type="spellStart"/>
      <w:r w:rsidRPr="004D53EC">
        <w:rPr>
          <w:sz w:val="24"/>
          <w:szCs w:val="24"/>
          <w:lang w:val="sq-AL"/>
        </w:rPr>
        <w:t>TechSpace</w:t>
      </w:r>
      <w:proofErr w:type="spellEnd"/>
      <w:r w:rsidRPr="004D53EC">
        <w:rPr>
          <w:sz w:val="24"/>
          <w:szCs w:val="24"/>
          <w:lang w:val="sq-AL"/>
        </w:rPr>
        <w:t xml:space="preserve">’ dhe sipërmarrja është shtuar si lëndë në </w:t>
      </w:r>
      <w:proofErr w:type="spellStart"/>
      <w:r w:rsidRPr="004D53EC">
        <w:rPr>
          <w:sz w:val="24"/>
          <w:szCs w:val="24"/>
          <w:lang w:val="sq-AL"/>
        </w:rPr>
        <w:t>kurrikulën</w:t>
      </w:r>
      <w:proofErr w:type="spellEnd"/>
      <w:r w:rsidRPr="004D53EC">
        <w:rPr>
          <w:sz w:val="24"/>
          <w:szCs w:val="24"/>
          <w:lang w:val="sq-AL"/>
        </w:rPr>
        <w:t xml:space="preserve"> </w:t>
      </w:r>
      <w:proofErr w:type="spellStart"/>
      <w:r w:rsidRPr="004D53EC">
        <w:rPr>
          <w:sz w:val="24"/>
          <w:szCs w:val="24"/>
          <w:lang w:val="sq-AL"/>
        </w:rPr>
        <w:t>parauniversitare</w:t>
      </w:r>
      <w:proofErr w:type="spellEnd"/>
      <w:r w:rsidRPr="004D53EC">
        <w:rPr>
          <w:sz w:val="24"/>
          <w:szCs w:val="24"/>
          <w:lang w:val="sq-AL"/>
        </w:rPr>
        <w:t xml:space="preserve">. Shqipëria po zbaton një plan veprimi 2021-2024 për lehtësimin dhe zhvillimin e </w:t>
      </w:r>
      <w:r w:rsidRPr="004D53EC">
        <w:rPr>
          <w:i/>
          <w:sz w:val="24"/>
          <w:szCs w:val="24"/>
          <w:lang w:val="sq-AL"/>
        </w:rPr>
        <w:t>e-</w:t>
      </w:r>
      <w:proofErr w:type="spellStart"/>
      <w:r w:rsidRPr="004D53EC">
        <w:rPr>
          <w:i/>
          <w:sz w:val="24"/>
          <w:szCs w:val="24"/>
          <w:lang w:val="sq-AL"/>
        </w:rPr>
        <w:t>commerce</w:t>
      </w:r>
      <w:proofErr w:type="spellEnd"/>
      <w:r w:rsidRPr="004D53EC">
        <w:rPr>
          <w:sz w:val="24"/>
          <w:szCs w:val="24"/>
          <w:lang w:val="sq-AL"/>
        </w:rPr>
        <w:t>, nëpërmjet krijimit të një grupi pune ndërministror, në përputhje me angazhimet e palëve të CEFTA-s.</w:t>
      </w:r>
    </w:p>
    <w:p w14:paraId="42B1D8E1" w14:textId="77777777" w:rsidR="006C790B" w:rsidRPr="004D53EC" w:rsidRDefault="006C790B" w:rsidP="006C790B">
      <w:pPr>
        <w:spacing w:before="120"/>
        <w:ind w:left="979" w:right="976"/>
        <w:jc w:val="both"/>
        <w:rPr>
          <w:sz w:val="24"/>
          <w:szCs w:val="24"/>
          <w:lang w:val="sq-AL"/>
        </w:rPr>
      </w:pPr>
      <w:r w:rsidRPr="004D53EC">
        <w:rPr>
          <w:sz w:val="24"/>
          <w:szCs w:val="24"/>
          <w:lang w:val="sq-AL"/>
        </w:rPr>
        <w:t xml:space="preserve">Në maj të vitit 2023 hynë në fuqi ndryshimet e Ligjit për pagesat e vonuara, me qëllim për të rregulluar vonesat në transaksionet ndërmjet fermerëve dhe kompanive bujqësore që grumbullojnë, përpunojnë dhe eksportojnë produkte bujqësore. Kjo pritet të ndihmojë edhe në </w:t>
      </w:r>
      <w:proofErr w:type="spellStart"/>
      <w:r w:rsidRPr="004D53EC">
        <w:rPr>
          <w:sz w:val="24"/>
          <w:szCs w:val="24"/>
          <w:lang w:val="sq-AL"/>
        </w:rPr>
        <w:t>formalizimin</w:t>
      </w:r>
      <w:proofErr w:type="spellEnd"/>
      <w:r w:rsidRPr="004D53EC">
        <w:rPr>
          <w:sz w:val="24"/>
          <w:szCs w:val="24"/>
          <w:lang w:val="sq-AL"/>
        </w:rPr>
        <w:t xml:space="preserve"> e transaksioneve në këtë sektor. Harmonizimi i mëtejshëm me </w:t>
      </w:r>
      <w:proofErr w:type="spellStart"/>
      <w:r w:rsidRPr="004D53EC">
        <w:rPr>
          <w:i/>
          <w:sz w:val="24"/>
          <w:szCs w:val="24"/>
          <w:lang w:val="sq-AL"/>
        </w:rPr>
        <w:t>acquis</w:t>
      </w:r>
      <w:proofErr w:type="spellEnd"/>
      <w:r w:rsidRPr="004D53EC">
        <w:rPr>
          <w:sz w:val="24"/>
          <w:szCs w:val="24"/>
          <w:lang w:val="sq-AL"/>
        </w:rPr>
        <w:t xml:space="preserve"> të BE-së duhet të sigurohet sa më shpejt që të jetë e mundur, veçanërisht për të zgjidhur çështjet që lidhen me vërtetimin e pronësisë së pronës (titujt) dhe procedurat e rikuperimit për pretendimet e </w:t>
      </w:r>
      <w:proofErr w:type="spellStart"/>
      <w:r w:rsidRPr="004D53EC">
        <w:rPr>
          <w:sz w:val="24"/>
          <w:szCs w:val="24"/>
          <w:lang w:val="sq-AL"/>
        </w:rPr>
        <w:t>pakundërshtuara</w:t>
      </w:r>
      <w:proofErr w:type="spellEnd"/>
      <w:r w:rsidRPr="004D53EC">
        <w:rPr>
          <w:sz w:val="24"/>
          <w:szCs w:val="24"/>
          <w:lang w:val="sq-AL"/>
        </w:rPr>
        <w:t>. Përkufizimi i Shqipërisë për NVM-të përputhet pjesërisht me atë të BE-së, për sa i përket numrit të punonjësve, megjithatë kapaciteti kombëtar për të mbështetur NVM-të mbetet i kufizuar. Për instrumentet e politikës, është duke u negociuar për pjesëmarrjen e Shqipërisë në “Programin e Tregut të Vetëm” të BE-së.</w:t>
      </w:r>
    </w:p>
    <w:p w14:paraId="3BD9F8A5" w14:textId="77777777" w:rsidR="006C790B" w:rsidRPr="004D53EC" w:rsidRDefault="006C790B" w:rsidP="006C790B">
      <w:pPr>
        <w:spacing w:before="120"/>
        <w:ind w:left="979" w:right="976"/>
        <w:jc w:val="both"/>
        <w:rPr>
          <w:sz w:val="24"/>
          <w:szCs w:val="24"/>
          <w:lang w:val="sq-AL"/>
        </w:rPr>
      </w:pPr>
      <w:r w:rsidRPr="004D53EC">
        <w:rPr>
          <w:sz w:val="24"/>
          <w:szCs w:val="24"/>
          <w:lang w:val="sq-AL"/>
        </w:rPr>
        <w:t xml:space="preserve">Për politikat sektoriale, Shqipëria vazhdon të zbatojë Strategjinë Kombëtare 2019-2023 dhe Planin e Veprimit për zhvillimin e qëndrueshëm dhe turizmin. Në qershor 2023, ajo </w:t>
      </w:r>
      <w:proofErr w:type="spellStart"/>
      <w:r w:rsidRPr="004D53EC">
        <w:rPr>
          <w:sz w:val="24"/>
          <w:szCs w:val="24"/>
          <w:lang w:val="sq-AL"/>
        </w:rPr>
        <w:t>lançoi</w:t>
      </w:r>
      <w:proofErr w:type="spellEnd"/>
      <w:r w:rsidRPr="004D53EC">
        <w:rPr>
          <w:sz w:val="24"/>
          <w:szCs w:val="24"/>
          <w:lang w:val="sq-AL"/>
        </w:rPr>
        <w:t xml:space="preserve"> aplikacionin celular për </w:t>
      </w:r>
      <w:proofErr w:type="spellStart"/>
      <w:r w:rsidRPr="004D53EC">
        <w:rPr>
          <w:sz w:val="24"/>
          <w:szCs w:val="24"/>
          <w:lang w:val="sq-AL"/>
        </w:rPr>
        <w:t>eventet</w:t>
      </w:r>
      <w:proofErr w:type="spellEnd"/>
      <w:r w:rsidRPr="004D53EC">
        <w:rPr>
          <w:sz w:val="24"/>
          <w:szCs w:val="24"/>
          <w:lang w:val="sq-AL"/>
        </w:rPr>
        <w:t xml:space="preserve"> turistike në Shqipëri (TEA). Progres i mirë është bërë në identifikimin e tregjeve të veçanta në fushën e eksportit. Fushat që duhen trajtuar më tej janë: çështjet që lidhen me kostot e transportit, procedurat e thjeshtuara të eksportit, hulumtimet e tregut dhe këshillat për përmirësimin e </w:t>
      </w:r>
      <w:proofErr w:type="spellStart"/>
      <w:r w:rsidRPr="004D53EC">
        <w:rPr>
          <w:sz w:val="24"/>
          <w:szCs w:val="24"/>
          <w:lang w:val="sq-AL"/>
        </w:rPr>
        <w:t>diversifikimit</w:t>
      </w:r>
      <w:proofErr w:type="spellEnd"/>
      <w:r w:rsidRPr="004D53EC">
        <w:rPr>
          <w:sz w:val="24"/>
          <w:szCs w:val="24"/>
          <w:lang w:val="sq-AL"/>
        </w:rPr>
        <w:t xml:space="preserve"> të produkteve. Shqipëria vazhdoi të ofrojë stimuj për industrinë </w:t>
      </w:r>
      <w:proofErr w:type="spellStart"/>
      <w:r w:rsidRPr="004D53EC">
        <w:rPr>
          <w:sz w:val="24"/>
          <w:szCs w:val="24"/>
          <w:lang w:val="sq-AL"/>
        </w:rPr>
        <w:t>agro</w:t>
      </w:r>
      <w:proofErr w:type="spellEnd"/>
      <w:r w:rsidRPr="004D53EC">
        <w:rPr>
          <w:sz w:val="24"/>
          <w:szCs w:val="24"/>
          <w:lang w:val="sq-AL"/>
        </w:rPr>
        <w:t xml:space="preserve">-përpunuese e cila përballet me sfida të ndryshme, si mungesa e fuqisë punëtore dhe nivelet e ulëta të mekanizimit, digjitalizimit dhe inovacionit. Në qershor 2023, qeveria prezantoi masa për lehtësimet fiskale për bizneset e orientuara nga eksporti, të cilët u përballën me kosto të larta për shkak të forcimit të monedhës vendase (ALL) ndaj euros me pothuajse 7% mes periudhës janar-maj 2023, duke lejuar shtyrjen e pagesës së tatim fitimit në </w:t>
      </w:r>
      <w:r w:rsidRPr="004D53EC">
        <w:rPr>
          <w:sz w:val="24"/>
          <w:szCs w:val="24"/>
          <w:lang w:val="sq-AL"/>
        </w:rPr>
        <w:lastRenderedPageBreak/>
        <w:t xml:space="preserve">2024. Shqipëria miratoi gjithashtu një strategji </w:t>
      </w:r>
      <w:proofErr w:type="spellStart"/>
      <w:r w:rsidRPr="004D53EC">
        <w:rPr>
          <w:sz w:val="24"/>
          <w:szCs w:val="24"/>
          <w:lang w:val="sq-AL"/>
        </w:rPr>
        <w:t>ndërsektoriale</w:t>
      </w:r>
      <w:proofErr w:type="spellEnd"/>
      <w:r w:rsidRPr="004D53EC">
        <w:rPr>
          <w:sz w:val="24"/>
          <w:szCs w:val="24"/>
          <w:lang w:val="sq-AL"/>
        </w:rPr>
        <w:t xml:space="preserve"> dhe plan veprimi 2022-2026 në </w:t>
      </w:r>
      <w:proofErr w:type="spellStart"/>
      <w:r w:rsidRPr="004D53EC">
        <w:rPr>
          <w:sz w:val="24"/>
          <w:szCs w:val="24"/>
          <w:lang w:val="sq-AL"/>
        </w:rPr>
        <w:t>axhendën</w:t>
      </w:r>
      <w:proofErr w:type="spellEnd"/>
      <w:r w:rsidRPr="004D53EC">
        <w:rPr>
          <w:sz w:val="24"/>
          <w:szCs w:val="24"/>
          <w:lang w:val="sq-AL"/>
        </w:rPr>
        <w:t xml:space="preserve"> digjitale. Investitorët po shprehin gjithnjë e më shumë interes për energjitë e </w:t>
      </w:r>
      <w:proofErr w:type="spellStart"/>
      <w:r w:rsidRPr="004D53EC">
        <w:rPr>
          <w:sz w:val="24"/>
          <w:szCs w:val="24"/>
          <w:lang w:val="sq-AL"/>
        </w:rPr>
        <w:t>rinovueshme</w:t>
      </w:r>
      <w:proofErr w:type="spellEnd"/>
      <w:r w:rsidRPr="004D53EC">
        <w:rPr>
          <w:sz w:val="24"/>
          <w:szCs w:val="24"/>
          <w:lang w:val="sq-AL"/>
        </w:rPr>
        <w:t xml:space="preserve">, veçanërisht që nga miratimi i ligjit për burimet e </w:t>
      </w:r>
      <w:proofErr w:type="spellStart"/>
      <w:r w:rsidRPr="004D53EC">
        <w:rPr>
          <w:sz w:val="24"/>
          <w:szCs w:val="24"/>
          <w:lang w:val="sq-AL"/>
        </w:rPr>
        <w:t>rinovueshme</w:t>
      </w:r>
      <w:proofErr w:type="spellEnd"/>
      <w:r w:rsidRPr="004D53EC">
        <w:rPr>
          <w:sz w:val="24"/>
          <w:szCs w:val="24"/>
          <w:lang w:val="sq-AL"/>
        </w:rPr>
        <w:t xml:space="preserve"> dhe krijimi i Bursës Shqiptare të Energjisë. Në Ligjin për mbrojtjen e bujqësisë, i ndryshuar, i cili u miratua në korrik 2023, u bë më i qartë kategorizimi i tokës së përdorur për qëllime bujqësore dhe tokës që mund të merret me qira ose të përdoret për të prodhuar burime të </w:t>
      </w:r>
      <w:proofErr w:type="spellStart"/>
      <w:r w:rsidRPr="004D53EC">
        <w:rPr>
          <w:sz w:val="24"/>
          <w:szCs w:val="24"/>
          <w:lang w:val="sq-AL"/>
        </w:rPr>
        <w:t>rinovueshme</w:t>
      </w:r>
      <w:proofErr w:type="spellEnd"/>
      <w:r w:rsidRPr="004D53EC">
        <w:rPr>
          <w:sz w:val="24"/>
          <w:szCs w:val="24"/>
          <w:lang w:val="sq-AL"/>
        </w:rPr>
        <w:t>.</w:t>
      </w:r>
    </w:p>
    <w:p w14:paraId="3424A1AB" w14:textId="77777777" w:rsidR="006C790B" w:rsidRPr="004D53EC" w:rsidRDefault="006C790B" w:rsidP="006C790B">
      <w:pPr>
        <w:spacing w:before="120"/>
        <w:ind w:left="979" w:right="976"/>
        <w:jc w:val="both"/>
        <w:rPr>
          <w:sz w:val="24"/>
          <w:szCs w:val="24"/>
          <w:lang w:val="sq-AL"/>
        </w:rPr>
      </w:pPr>
    </w:p>
    <w:p w14:paraId="7C5ADAC9" w14:textId="77777777" w:rsidR="006C790B" w:rsidRPr="004D53EC" w:rsidRDefault="006C790B" w:rsidP="006C790B">
      <w:pPr>
        <w:spacing w:before="119"/>
        <w:ind w:left="1039"/>
        <w:jc w:val="both"/>
        <w:outlineLvl w:val="0"/>
        <w:rPr>
          <w:b/>
          <w:bCs/>
          <w:sz w:val="24"/>
          <w:szCs w:val="24"/>
          <w:lang w:val="sq-AL"/>
        </w:rPr>
      </w:pPr>
      <w:bookmarkStart w:id="85" w:name="Chapter_25:_Science_and_research"/>
      <w:bookmarkStart w:id="86" w:name="_bookmark50"/>
      <w:bookmarkEnd w:id="85"/>
      <w:bookmarkEnd w:id="86"/>
      <w:r w:rsidRPr="004D53EC">
        <w:rPr>
          <w:b/>
          <w:bCs/>
          <w:sz w:val="24"/>
          <w:szCs w:val="24"/>
          <w:lang w:val="sq-AL"/>
        </w:rPr>
        <w:t xml:space="preserve">Kapitulli 25: Shkenca dhe kërkimi </w:t>
      </w:r>
    </w:p>
    <w:p w14:paraId="44883DAA" w14:textId="77777777" w:rsidR="006C790B" w:rsidRPr="004D53EC" w:rsidRDefault="006C790B" w:rsidP="006C790B">
      <w:pPr>
        <w:spacing w:before="120"/>
        <w:ind w:left="979" w:right="977"/>
        <w:jc w:val="both"/>
        <w:rPr>
          <w:i/>
          <w:sz w:val="24"/>
          <w:lang w:val="sq-AL"/>
        </w:rPr>
      </w:pPr>
      <w:r w:rsidRPr="004D53EC">
        <w:rPr>
          <w:i/>
          <w:sz w:val="24"/>
          <w:lang w:val="sq-AL"/>
        </w:rPr>
        <w:t>BE-ja ofron mbështetje të konsiderueshme për kërkimin dhe inovacionin. Të gjitha shtetet anëtare të BE-së mund të përfitojnë nga programet kërkimore të BE-së, veçanërisht kur kanë arritur përsosmëri shkencore dhe kanë bërë investime solide në kërkime.</w:t>
      </w:r>
    </w:p>
    <w:p w14:paraId="39B28B49" w14:textId="77777777" w:rsidR="006C790B" w:rsidRPr="004D53EC" w:rsidRDefault="006C790B" w:rsidP="006C790B">
      <w:pPr>
        <w:spacing w:before="6"/>
        <w:rPr>
          <w:i/>
          <w:sz w:val="10"/>
          <w:szCs w:val="24"/>
          <w:lang w:val="sq-AL"/>
        </w:rPr>
      </w:pP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4"/>
      </w:tblGrid>
      <w:tr w:rsidR="006C790B" w:rsidRPr="004D53EC" w14:paraId="4C899A55" w14:textId="77777777" w:rsidTr="005760FF">
        <w:trPr>
          <w:trHeight w:val="305"/>
        </w:trPr>
        <w:tc>
          <w:tcPr>
            <w:tcW w:w="9254" w:type="dxa"/>
            <w:tcBorders>
              <w:bottom w:val="nil"/>
            </w:tcBorders>
            <w:shd w:val="clear" w:color="auto" w:fill="D9D9D9"/>
          </w:tcPr>
          <w:p w14:paraId="119631E9" w14:textId="77777777" w:rsidR="006C790B" w:rsidRPr="004D53EC" w:rsidRDefault="006C790B" w:rsidP="006C790B">
            <w:pPr>
              <w:ind w:left="113" w:right="103"/>
              <w:rPr>
                <w:sz w:val="24"/>
                <w:lang w:val="sq-AL"/>
              </w:rPr>
            </w:pPr>
            <w:r w:rsidRPr="004D53EC">
              <w:rPr>
                <w:sz w:val="24"/>
                <w:lang w:val="sq-AL"/>
              </w:rPr>
              <w:t xml:space="preserve">Shqipëria ka </w:t>
            </w:r>
            <w:r w:rsidRPr="004D53EC">
              <w:rPr>
                <w:b/>
                <w:sz w:val="24"/>
                <w:lang w:val="sq-AL"/>
              </w:rPr>
              <w:t>përgatitje të mjaftueshme</w:t>
            </w:r>
            <w:r w:rsidRPr="004D53EC">
              <w:rPr>
                <w:sz w:val="24"/>
                <w:lang w:val="sq-AL"/>
              </w:rPr>
              <w:t xml:space="preserve"> në fushën e shkencës dhe kërkimit. Është bërë </w:t>
            </w:r>
            <w:r w:rsidRPr="004D53EC">
              <w:rPr>
                <w:b/>
                <w:sz w:val="24"/>
                <w:lang w:val="sq-AL"/>
              </w:rPr>
              <w:t>progres i mirë</w:t>
            </w:r>
            <w:r w:rsidRPr="004D53EC">
              <w:rPr>
                <w:sz w:val="24"/>
                <w:lang w:val="sq-AL"/>
              </w:rPr>
              <w:t xml:space="preserve"> gjatë periudhës së raportimit, duke ngritur një ekip kombëtar për të hartimin e strategjisë së specializimit inteligjent dhe duke forcuar masat mbështetëse të inovacionit, si sigurimi i fondeve të mjaftueshme për fondin fillestar dhe përparimi i mëtejshëm i procesit të zbulimit sipërmarrës të strategjisë së specializimit inteligjent. Rekomandimet e vitit të kaluar nuk janë adresuar plotësisht dhe për këtë arsye vazhdojnë të mbeten ende në fuqi.</w:t>
            </w:r>
          </w:p>
          <w:p w14:paraId="4A056893" w14:textId="77777777" w:rsidR="006C790B" w:rsidRPr="004D53EC" w:rsidRDefault="006C790B" w:rsidP="006C790B">
            <w:pPr>
              <w:spacing w:before="19" w:line="266" w:lineRule="exact"/>
              <w:rPr>
                <w:b/>
                <w:sz w:val="24"/>
                <w:lang w:val="sq-AL"/>
              </w:rPr>
            </w:pPr>
          </w:p>
        </w:tc>
      </w:tr>
      <w:tr w:rsidR="006C790B" w:rsidRPr="004D53EC" w14:paraId="4FBD2905" w14:textId="77777777" w:rsidTr="005760FF">
        <w:trPr>
          <w:trHeight w:val="2758"/>
        </w:trPr>
        <w:tc>
          <w:tcPr>
            <w:tcW w:w="9254" w:type="dxa"/>
            <w:tcBorders>
              <w:top w:val="nil"/>
            </w:tcBorders>
            <w:shd w:val="clear" w:color="auto" w:fill="D9D9D9"/>
          </w:tcPr>
          <w:p w14:paraId="55F27AEE" w14:textId="77777777" w:rsidR="006C790B" w:rsidRPr="004D53EC" w:rsidRDefault="006C790B" w:rsidP="006C790B">
            <w:pPr>
              <w:spacing w:before="120"/>
              <w:ind w:left="113"/>
              <w:rPr>
                <w:sz w:val="24"/>
                <w:lang w:val="sq-AL"/>
              </w:rPr>
            </w:pPr>
            <w:r w:rsidRPr="004D53EC">
              <w:rPr>
                <w:sz w:val="24"/>
                <w:lang w:val="sq-AL"/>
              </w:rPr>
              <w:t>Në vitin e ardhshëm, Shqipëria duhet në veçanti</w:t>
            </w:r>
            <w:r w:rsidRPr="004D53EC">
              <w:rPr>
                <w:spacing w:val="-2"/>
                <w:sz w:val="24"/>
                <w:lang w:val="sq-AL"/>
              </w:rPr>
              <w:t>:</w:t>
            </w:r>
          </w:p>
          <w:p w14:paraId="5262E450" w14:textId="77777777" w:rsidR="006C790B" w:rsidRPr="004D53EC" w:rsidRDefault="006C790B" w:rsidP="006C790B">
            <w:pPr>
              <w:spacing w:before="120"/>
              <w:ind w:left="473" w:right="127" w:hanging="360"/>
              <w:rPr>
                <w:sz w:val="24"/>
                <w:lang w:val="sq-AL"/>
              </w:rPr>
            </w:pPr>
            <w:r w:rsidRPr="004D53EC">
              <w:rPr>
                <w:rFonts w:ascii="Symbol" w:hAnsi="Symbol"/>
                <w:sz w:val="24"/>
                <w:lang w:val="sq-AL"/>
              </w:rPr>
              <w:t></w:t>
            </w:r>
            <w:r w:rsidRPr="004D53EC">
              <w:rPr>
                <w:spacing w:val="40"/>
                <w:sz w:val="24"/>
                <w:lang w:val="sq-AL"/>
              </w:rPr>
              <w:t xml:space="preserve"> </w:t>
            </w:r>
            <w:r w:rsidRPr="004D53EC">
              <w:rPr>
                <w:sz w:val="24"/>
                <w:lang w:val="sq-AL"/>
              </w:rPr>
              <w:t>të rrisë investimet në kërkime, në përputhje me angazhimet e veta dhe prioritetet e reja të Zonës Evropiane të Kërkimit;</w:t>
            </w:r>
          </w:p>
          <w:p w14:paraId="36DDA176" w14:textId="77777777" w:rsidR="006C790B" w:rsidRPr="004D53EC" w:rsidRDefault="006C790B" w:rsidP="006C790B">
            <w:pPr>
              <w:spacing w:before="118"/>
              <w:ind w:left="473" w:right="127" w:hanging="360"/>
              <w:rPr>
                <w:sz w:val="24"/>
                <w:lang w:val="sq-AL"/>
              </w:rPr>
            </w:pPr>
            <w:r w:rsidRPr="004D53EC">
              <w:rPr>
                <w:rFonts w:ascii="Symbol" w:hAnsi="Symbol"/>
                <w:sz w:val="24"/>
                <w:lang w:val="sq-AL"/>
              </w:rPr>
              <w:t></w:t>
            </w:r>
            <w:r w:rsidRPr="004D53EC">
              <w:rPr>
                <w:spacing w:val="40"/>
                <w:sz w:val="24"/>
                <w:lang w:val="sq-AL"/>
              </w:rPr>
              <w:t xml:space="preserve"> </w:t>
            </w:r>
            <w:r w:rsidRPr="004D53EC">
              <w:rPr>
                <w:sz w:val="24"/>
                <w:lang w:val="sq-AL"/>
              </w:rPr>
              <w:t>të përfundojë Strategjinë së Specializimit Inteligjent, të miratojë strategjinë kombëtare 2023-2030 për kërkimin shkencor dhe inovacionin dhe të miratojë ligjin e ri për kërkimin shkencor;</w:t>
            </w:r>
          </w:p>
          <w:p w14:paraId="6F8801E2" w14:textId="77777777" w:rsidR="006C790B" w:rsidRPr="004D53EC" w:rsidRDefault="006C790B" w:rsidP="006C790B">
            <w:pPr>
              <w:spacing w:before="120" w:line="292" w:lineRule="exact"/>
              <w:ind w:left="113"/>
              <w:rPr>
                <w:sz w:val="24"/>
                <w:lang w:val="sq-AL"/>
              </w:rPr>
            </w:pPr>
            <w:r w:rsidRPr="004D53EC">
              <w:rPr>
                <w:rFonts w:ascii="Symbol" w:hAnsi="Symbol"/>
                <w:sz w:val="24"/>
                <w:lang w:val="sq-AL"/>
              </w:rPr>
              <w:t></w:t>
            </w:r>
            <w:r w:rsidRPr="004D53EC">
              <w:rPr>
                <w:spacing w:val="61"/>
                <w:sz w:val="24"/>
                <w:lang w:val="sq-AL"/>
              </w:rPr>
              <w:t xml:space="preserve"> </w:t>
            </w:r>
            <w:r w:rsidRPr="004D53EC">
              <w:rPr>
                <w:sz w:val="24"/>
                <w:lang w:val="sq-AL"/>
              </w:rPr>
              <w:t>të prodhojë statistika dhe të dhëna të besueshme për shkencën dhe teknologjinë</w:t>
            </w:r>
            <w:r w:rsidRPr="004D53EC">
              <w:rPr>
                <w:spacing w:val="-2"/>
                <w:sz w:val="24"/>
                <w:lang w:val="sq-AL"/>
              </w:rPr>
              <w:t>.</w:t>
            </w:r>
          </w:p>
        </w:tc>
      </w:tr>
    </w:tbl>
    <w:p w14:paraId="26DB90A4" w14:textId="77777777" w:rsidR="006C790B" w:rsidRPr="004D53EC" w:rsidRDefault="006C790B" w:rsidP="006C790B">
      <w:pPr>
        <w:spacing w:before="143"/>
        <w:ind w:left="980" w:right="976"/>
        <w:jc w:val="both"/>
        <w:rPr>
          <w:sz w:val="24"/>
          <w:szCs w:val="24"/>
          <w:lang w:val="sq-AL"/>
        </w:rPr>
      </w:pPr>
      <w:r w:rsidRPr="004D53EC">
        <w:rPr>
          <w:sz w:val="24"/>
          <w:szCs w:val="24"/>
          <w:lang w:val="sq-AL"/>
        </w:rPr>
        <w:t xml:space="preserve">Për </w:t>
      </w:r>
      <w:r w:rsidRPr="004D53EC">
        <w:rPr>
          <w:b/>
          <w:sz w:val="24"/>
          <w:szCs w:val="24"/>
          <w:lang w:val="sq-AL"/>
        </w:rPr>
        <w:t>politikën e kërkimit dhe inovacionit</w:t>
      </w:r>
      <w:r w:rsidRPr="004D53EC">
        <w:rPr>
          <w:sz w:val="24"/>
          <w:szCs w:val="24"/>
          <w:lang w:val="sq-AL"/>
        </w:rPr>
        <w:t xml:space="preserve">, grupi ndërinstitucional i punës për monitorimin e zbatimit të strategjisë kombëtare 2017-2022 për kërkimin shkencor, teknologjinë dhe inovacionin rekomandoi </w:t>
      </w:r>
      <w:proofErr w:type="spellStart"/>
      <w:r w:rsidRPr="004D53EC">
        <w:rPr>
          <w:sz w:val="24"/>
          <w:szCs w:val="24"/>
          <w:lang w:val="sq-AL"/>
        </w:rPr>
        <w:t>akses</w:t>
      </w:r>
      <w:proofErr w:type="spellEnd"/>
      <w:r w:rsidRPr="004D53EC">
        <w:rPr>
          <w:sz w:val="24"/>
          <w:szCs w:val="24"/>
          <w:lang w:val="sq-AL"/>
        </w:rPr>
        <w:t xml:space="preserve"> të hapur </w:t>
      </w:r>
      <w:proofErr w:type="spellStart"/>
      <w:r w:rsidRPr="004D53EC">
        <w:rPr>
          <w:sz w:val="24"/>
          <w:szCs w:val="24"/>
          <w:lang w:val="sq-AL"/>
        </w:rPr>
        <w:t>online</w:t>
      </w:r>
      <w:proofErr w:type="spellEnd"/>
      <w:r w:rsidRPr="004D53EC">
        <w:rPr>
          <w:sz w:val="24"/>
          <w:szCs w:val="24"/>
          <w:lang w:val="sq-AL"/>
        </w:rPr>
        <w:t xml:space="preserve"> për të gjitha botimet shkencore të financuara nga fondet publike. Grupi i punës rekomandoi gjithashtu rishikimin e legjislacionit në fuqi për ofrimin e stimujve ligjorë dhe fiskalë për të inkurajuar bizneset të financojnë kërkimin shkencor. Duhet të miratohet Strategjia e re kombëtare 2023-2030 për kërkimin shkencor dhe inovacionin, e cila synon përmbushjen e këtyre rekomandimeve (të cilat janë në përputhje me Zonën e re Evropiane të Kërkimit). Shqipëria duhet të miratojë ligjin e ri për kërkimin shkencor.</w:t>
      </w:r>
    </w:p>
    <w:p w14:paraId="5048A5AA" w14:textId="77777777" w:rsidR="006C790B" w:rsidRPr="004D53EC" w:rsidRDefault="006C790B" w:rsidP="006C790B">
      <w:pPr>
        <w:spacing w:before="120"/>
        <w:ind w:left="980" w:right="977"/>
        <w:jc w:val="both"/>
        <w:rPr>
          <w:sz w:val="24"/>
          <w:szCs w:val="24"/>
          <w:lang w:val="sq-AL"/>
        </w:rPr>
      </w:pPr>
      <w:r w:rsidRPr="004D53EC">
        <w:rPr>
          <w:sz w:val="24"/>
          <w:szCs w:val="24"/>
          <w:lang w:val="sq-AL"/>
        </w:rPr>
        <w:t>Në 2023, Shqipëria rriti fondet për kërkimin shkencor në nivelin 0.08% të PBB-së, nga 0.05% në 2022 dhe 0.04% në 2021. Megjithatë, kjo është ende shumë poshtë objektivit 1% të PBB-së deri në vitin 2030. Financimi i kërkimit si përqindje e shpenzimeve publike arriti në nivelin 0,17 % të PBB-së në 2022. INSTAT duhet të prodhojë një grup të plotë të dhënash për kërkimin shkencor dhe inovacionin.</w:t>
      </w:r>
    </w:p>
    <w:p w14:paraId="0E084C8B" w14:textId="77777777" w:rsidR="006C790B" w:rsidRPr="004D53EC" w:rsidRDefault="006C790B" w:rsidP="006C790B">
      <w:pPr>
        <w:spacing w:before="121"/>
        <w:ind w:left="979" w:right="976"/>
        <w:jc w:val="both"/>
        <w:rPr>
          <w:sz w:val="24"/>
          <w:szCs w:val="24"/>
          <w:lang w:val="sq-AL"/>
        </w:rPr>
      </w:pPr>
      <w:r w:rsidRPr="004D53EC">
        <w:rPr>
          <w:sz w:val="24"/>
          <w:szCs w:val="24"/>
          <w:lang w:val="sq-AL"/>
        </w:rPr>
        <w:t xml:space="preserve">Metodologjia për rritjen e financimit për kërkimin dhe shkencën duhet të zhvillohet më tej dhe të </w:t>
      </w:r>
      <w:proofErr w:type="spellStart"/>
      <w:r w:rsidRPr="004D53EC">
        <w:rPr>
          <w:sz w:val="24"/>
          <w:szCs w:val="24"/>
          <w:lang w:val="sq-AL"/>
        </w:rPr>
        <w:t>harmizohet</w:t>
      </w:r>
      <w:proofErr w:type="spellEnd"/>
      <w:r w:rsidRPr="004D53EC">
        <w:rPr>
          <w:sz w:val="24"/>
          <w:szCs w:val="24"/>
          <w:lang w:val="sq-AL"/>
        </w:rPr>
        <w:t xml:space="preserve"> me </w:t>
      </w:r>
      <w:proofErr w:type="spellStart"/>
      <w:r w:rsidRPr="004D53EC">
        <w:rPr>
          <w:sz w:val="24"/>
          <w:szCs w:val="24"/>
          <w:lang w:val="sq-AL"/>
        </w:rPr>
        <w:t>acquis</w:t>
      </w:r>
      <w:proofErr w:type="spellEnd"/>
      <w:r w:rsidRPr="004D53EC">
        <w:rPr>
          <w:sz w:val="24"/>
          <w:szCs w:val="24"/>
          <w:lang w:val="sq-AL"/>
        </w:rPr>
        <w:t xml:space="preserve"> të BE-së. Informacioni për buxhetin e shpërndarë për K&amp;ZH ende nuk është publikuar për shkak se cilësia e të dhënave është e dobët. Në prill 2023, për herë të parë, Agjencia Kombëtare për Kërkimin Shkencës dhe Inovacionin bëri thirrje për propozime për zbatimin e programit të bashkëpunimit universitet-biznes. Shqipëria duhet të forcojë më tej kapacitetet e saj kërkimore dhe </w:t>
      </w:r>
      <w:proofErr w:type="spellStart"/>
      <w:r w:rsidRPr="004D53EC">
        <w:rPr>
          <w:sz w:val="24"/>
          <w:szCs w:val="24"/>
          <w:lang w:val="sq-AL"/>
        </w:rPr>
        <w:t>inovative</w:t>
      </w:r>
      <w:proofErr w:type="spellEnd"/>
      <w:r w:rsidRPr="004D53EC">
        <w:rPr>
          <w:sz w:val="24"/>
          <w:szCs w:val="24"/>
          <w:lang w:val="sq-AL"/>
        </w:rPr>
        <w:t xml:space="preserve"> në nivel kombëtar, duke promovuar lidhjet midis </w:t>
      </w:r>
      <w:r w:rsidRPr="004D53EC">
        <w:rPr>
          <w:sz w:val="24"/>
          <w:szCs w:val="24"/>
          <w:lang w:val="sq-AL"/>
        </w:rPr>
        <w:lastRenderedPageBreak/>
        <w:t xml:space="preserve">akademisë, industrisë dhe qeverisë, si dhe në fushat e </w:t>
      </w:r>
      <w:proofErr w:type="spellStart"/>
      <w:r w:rsidRPr="004D53EC">
        <w:rPr>
          <w:sz w:val="24"/>
          <w:szCs w:val="24"/>
          <w:lang w:val="sq-AL"/>
        </w:rPr>
        <w:t>aksesit</w:t>
      </w:r>
      <w:proofErr w:type="spellEnd"/>
      <w:r w:rsidRPr="004D53EC">
        <w:rPr>
          <w:sz w:val="24"/>
          <w:szCs w:val="24"/>
          <w:lang w:val="sq-AL"/>
        </w:rPr>
        <w:t xml:space="preserve"> të hapur dhe të </w:t>
      </w:r>
      <w:proofErr w:type="spellStart"/>
      <w:r w:rsidRPr="004D53EC">
        <w:rPr>
          <w:sz w:val="24"/>
          <w:szCs w:val="24"/>
          <w:lang w:val="sq-AL"/>
        </w:rPr>
        <w:t>të</w:t>
      </w:r>
      <w:proofErr w:type="spellEnd"/>
      <w:r w:rsidRPr="004D53EC">
        <w:rPr>
          <w:sz w:val="24"/>
          <w:szCs w:val="24"/>
          <w:lang w:val="sq-AL"/>
        </w:rPr>
        <w:t xml:space="preserve"> dhënave të hapura. Në korrik 2022 u miratua edhe një ligj i ri për krijimin, organizimin dhe funksionimin e parqeve teknologjike dhe shkencore. Që nga viti 2022, fondi fillestar menaxhohet nga Ministri i Shtetit për Mbrojtjen e Sipërmarrjes. Në vitin 2022, fondi u akordoi 2.5 milionë euro 58 përfituesve.</w:t>
      </w:r>
    </w:p>
    <w:p w14:paraId="6F6D258B" w14:textId="77777777" w:rsidR="006C790B" w:rsidRPr="004D53EC" w:rsidRDefault="006C790B" w:rsidP="006C790B">
      <w:pPr>
        <w:spacing w:before="119"/>
        <w:ind w:left="979" w:right="977"/>
        <w:jc w:val="both"/>
        <w:rPr>
          <w:sz w:val="24"/>
          <w:szCs w:val="24"/>
          <w:lang w:val="sq-AL"/>
        </w:rPr>
      </w:pPr>
      <w:r w:rsidRPr="004D53EC">
        <w:rPr>
          <w:sz w:val="24"/>
          <w:szCs w:val="24"/>
          <w:lang w:val="sq-AL"/>
        </w:rPr>
        <w:t xml:space="preserve">Përfundoi faza cilësore dhe sasiore për zhvillimin e një </w:t>
      </w:r>
      <w:r w:rsidRPr="004D53EC">
        <w:rPr>
          <w:b/>
          <w:sz w:val="24"/>
          <w:szCs w:val="24"/>
          <w:lang w:val="sq-AL"/>
        </w:rPr>
        <w:t>strategjie të specializimit inteligjent</w:t>
      </w:r>
      <w:r w:rsidRPr="004D53EC">
        <w:rPr>
          <w:sz w:val="24"/>
          <w:szCs w:val="24"/>
          <w:lang w:val="sq-AL"/>
        </w:rPr>
        <w:t>. Megjithatë, mbetet për t'u finalizuar faza e dytë e procesit të zbulimit të sipërmarrjes. Zyra e Zëvendëskryeministrit është tani përgjegjëse për koordinimin e zhvillimit të strategjisë së specializimit inteligjent.</w:t>
      </w:r>
    </w:p>
    <w:p w14:paraId="4946366A" w14:textId="77777777" w:rsidR="006C790B" w:rsidRPr="004D53EC" w:rsidRDefault="006C790B" w:rsidP="006C790B">
      <w:pPr>
        <w:spacing w:before="120"/>
        <w:ind w:left="980" w:right="976"/>
        <w:jc w:val="both"/>
        <w:rPr>
          <w:sz w:val="24"/>
          <w:szCs w:val="24"/>
          <w:lang w:val="sq-AL"/>
        </w:rPr>
      </w:pPr>
      <w:r w:rsidRPr="004D53EC">
        <w:rPr>
          <w:sz w:val="24"/>
          <w:szCs w:val="24"/>
          <w:lang w:val="sq-AL"/>
        </w:rPr>
        <w:t xml:space="preserve">Në </w:t>
      </w:r>
      <w:r w:rsidRPr="004D53EC">
        <w:rPr>
          <w:b/>
          <w:sz w:val="24"/>
          <w:szCs w:val="24"/>
          <w:lang w:val="sq-AL"/>
        </w:rPr>
        <w:t>programet kuadër të BE-së</w:t>
      </w:r>
      <w:r w:rsidRPr="004D53EC">
        <w:rPr>
          <w:sz w:val="24"/>
          <w:szCs w:val="24"/>
          <w:lang w:val="sq-AL"/>
        </w:rPr>
        <w:t xml:space="preserve">, Shqipëria është plotësisht e lidhur me </w:t>
      </w:r>
      <w:proofErr w:type="spellStart"/>
      <w:r w:rsidRPr="004D53EC">
        <w:rPr>
          <w:sz w:val="24"/>
          <w:szCs w:val="24"/>
          <w:lang w:val="sq-AL"/>
        </w:rPr>
        <w:t>Horizon</w:t>
      </w:r>
      <w:proofErr w:type="spellEnd"/>
      <w:r w:rsidRPr="004D53EC">
        <w:rPr>
          <w:sz w:val="24"/>
          <w:szCs w:val="24"/>
          <w:lang w:val="sq-AL"/>
        </w:rPr>
        <w:t xml:space="preserve"> Europe. Pjesëmarrja e saj në këtë program në vitin 2022 është përmirësuar, pasi Shqipëria ka marrë pjesë në Programet Kuadër të BE-së për Kërkim dhe Inovacion (9 projekte me një financim total prej 1.7 milionë euro). Autoritetet duhet të forcojnë përpjekjet për të rritur më tej pjesëmarrjen e sektorit privat në </w:t>
      </w:r>
      <w:proofErr w:type="spellStart"/>
      <w:r w:rsidRPr="004D53EC">
        <w:rPr>
          <w:sz w:val="24"/>
          <w:szCs w:val="24"/>
          <w:lang w:val="sq-AL"/>
        </w:rPr>
        <w:t>Horizon</w:t>
      </w:r>
      <w:proofErr w:type="spellEnd"/>
      <w:r w:rsidRPr="004D53EC">
        <w:rPr>
          <w:sz w:val="24"/>
          <w:szCs w:val="24"/>
          <w:lang w:val="sq-AL"/>
        </w:rPr>
        <w:t xml:space="preserve"> Europe. Përpjekjet kombëtare për inovacion duhet të përshtaten me </w:t>
      </w:r>
      <w:proofErr w:type="spellStart"/>
      <w:r w:rsidRPr="004D53EC">
        <w:rPr>
          <w:sz w:val="24"/>
          <w:szCs w:val="24"/>
          <w:lang w:val="sq-AL"/>
        </w:rPr>
        <w:t>axhendën</w:t>
      </w:r>
      <w:proofErr w:type="spellEnd"/>
      <w:r w:rsidRPr="004D53EC">
        <w:rPr>
          <w:sz w:val="24"/>
          <w:szCs w:val="24"/>
          <w:lang w:val="sq-AL"/>
        </w:rPr>
        <w:t xml:space="preserve"> e re evropiane të inovacionit. Shqipëria duhet të forcojë përpjekjet e saj për të marrë pjesë në aktivitetet e Institutit Evropian të Inovacionit dhe Teknologjisë (EIT).</w:t>
      </w:r>
    </w:p>
    <w:p w14:paraId="5EE9EB97" w14:textId="5C9EDEFA" w:rsidR="006C790B" w:rsidRPr="004D53EC" w:rsidRDefault="006C790B" w:rsidP="0032048B">
      <w:pPr>
        <w:spacing w:before="120"/>
        <w:ind w:left="980" w:right="978"/>
        <w:jc w:val="both"/>
        <w:rPr>
          <w:sz w:val="24"/>
          <w:szCs w:val="24"/>
          <w:lang w:val="sq-AL"/>
        </w:rPr>
      </w:pPr>
      <w:r w:rsidRPr="004D53EC">
        <w:rPr>
          <w:sz w:val="24"/>
          <w:szCs w:val="24"/>
          <w:lang w:val="sq-AL"/>
        </w:rPr>
        <w:t xml:space="preserve">Për sa i përket transparencës, Ministria e Arsimit dhe Shkencës ka krijuar një regjistër elektronik për kërkimet, ku në tremujorin e parë të 2023 u regjistruan 45 shkëmbime. Autoritetet kanë vendosur një pikë kontakti për të denoncuar korrupsionin dhe abuzimin me fondet e BE-së. Shqipëria duhet të bëjë më shumë përpjekje për të </w:t>
      </w:r>
      <w:proofErr w:type="spellStart"/>
      <w:r w:rsidRPr="004D53EC">
        <w:rPr>
          <w:sz w:val="24"/>
          <w:szCs w:val="24"/>
          <w:lang w:val="sq-AL"/>
        </w:rPr>
        <w:t>gjeneruar</w:t>
      </w:r>
      <w:proofErr w:type="spellEnd"/>
      <w:r w:rsidRPr="004D53EC">
        <w:rPr>
          <w:sz w:val="24"/>
          <w:szCs w:val="24"/>
          <w:lang w:val="sq-AL"/>
        </w:rPr>
        <w:t xml:space="preserve"> të dhëna të besueshme mbi kërkimin dhe inovacionin. Shqipëria u përfshi për të dytin vit radhazi në Tabelën Evropiane të Inovacionit si një novator të ri. Megjithatë, ajo pati një ulje në vlerësimin e saj nga 41.7% në 2022 në 41.1% të mesatares së BE-së për 2023.</w:t>
      </w:r>
    </w:p>
    <w:p w14:paraId="4EFFF09F" w14:textId="77777777" w:rsidR="006C790B" w:rsidRPr="004D53EC" w:rsidRDefault="006C790B" w:rsidP="006C790B">
      <w:pPr>
        <w:spacing w:before="120"/>
        <w:ind w:left="1040"/>
        <w:jc w:val="both"/>
        <w:outlineLvl w:val="0"/>
        <w:rPr>
          <w:b/>
          <w:bCs/>
          <w:sz w:val="24"/>
          <w:szCs w:val="24"/>
          <w:lang w:val="sq-AL"/>
        </w:rPr>
      </w:pPr>
      <w:bookmarkStart w:id="87" w:name="Chapter_26:_Education_and_culture"/>
      <w:bookmarkStart w:id="88" w:name="_bookmark51"/>
      <w:bookmarkStart w:id="89" w:name="_Toc83193453"/>
      <w:bookmarkStart w:id="90" w:name="_Toc115364548"/>
      <w:bookmarkEnd w:id="87"/>
      <w:bookmarkEnd w:id="88"/>
      <w:r w:rsidRPr="004D53EC">
        <w:rPr>
          <w:b/>
          <w:bCs/>
          <w:sz w:val="24"/>
          <w:szCs w:val="24"/>
          <w:lang w:val="sq-AL"/>
        </w:rPr>
        <w:t xml:space="preserve">Kapitulli 26: </w:t>
      </w:r>
      <w:bookmarkEnd w:id="89"/>
      <w:bookmarkEnd w:id="90"/>
      <w:r w:rsidRPr="004D53EC">
        <w:rPr>
          <w:b/>
          <w:bCs/>
          <w:sz w:val="24"/>
          <w:szCs w:val="24"/>
          <w:lang w:val="sq-AL"/>
        </w:rPr>
        <w:t>Arsimi dhe kultura</w:t>
      </w: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4"/>
      </w:tblGrid>
      <w:tr w:rsidR="006C790B" w:rsidRPr="004D53EC" w14:paraId="691B8A72" w14:textId="77777777" w:rsidTr="005760FF">
        <w:trPr>
          <w:trHeight w:val="5518"/>
        </w:trPr>
        <w:tc>
          <w:tcPr>
            <w:tcW w:w="9254" w:type="dxa"/>
            <w:shd w:val="clear" w:color="auto" w:fill="D9D9D9"/>
          </w:tcPr>
          <w:p w14:paraId="7A2D6A1F" w14:textId="6F48F2FE" w:rsidR="006C790B" w:rsidRPr="004D53EC" w:rsidRDefault="006C790B" w:rsidP="006C790B">
            <w:pPr>
              <w:spacing w:before="19"/>
              <w:ind w:left="113" w:right="100"/>
              <w:jc w:val="both"/>
              <w:rPr>
                <w:sz w:val="24"/>
                <w:lang w:val="sq-AL"/>
              </w:rPr>
            </w:pPr>
            <w:r w:rsidRPr="004D53EC">
              <w:rPr>
                <w:i/>
                <w:sz w:val="24"/>
                <w:lang w:val="sq-AL"/>
              </w:rPr>
              <w:t xml:space="preserve">BE-ja mbështet bashkëpunimin në arsim dhe kulturë duke financuar programe dhe koordinimin e politikave të shteteve anëtare përmes metodës së hapur të koordinimit. BE-ja dhe Shtetet Anëtare të BE-së duhet gjithashtu të parandalojnë diskriminimin dhe të sigurojnë arsim cilësor për fëmijët e punëtorëve </w:t>
            </w:r>
            <w:proofErr w:type="spellStart"/>
            <w:r w:rsidRPr="004D53EC">
              <w:rPr>
                <w:i/>
                <w:sz w:val="24"/>
                <w:lang w:val="sq-AL"/>
              </w:rPr>
              <w:t>migrantë</w:t>
            </w:r>
            <w:proofErr w:type="spellEnd"/>
            <w:r w:rsidRPr="004D53EC">
              <w:rPr>
                <w:i/>
                <w:sz w:val="24"/>
                <w:lang w:val="sq-AL"/>
              </w:rPr>
              <w:t>, përfshirë ata me rrethana të pafavorshme.</w:t>
            </w:r>
            <w:r w:rsidR="0032048B" w:rsidRPr="004D53EC">
              <w:rPr>
                <w:i/>
                <w:sz w:val="24"/>
                <w:lang w:val="sq-AL"/>
              </w:rPr>
              <w:t xml:space="preserve"> </w:t>
            </w:r>
            <w:r w:rsidRPr="004D53EC">
              <w:rPr>
                <w:sz w:val="24"/>
                <w:lang w:val="sq-AL"/>
              </w:rPr>
              <w:t xml:space="preserve">Shqipëria ka </w:t>
            </w:r>
            <w:r w:rsidRPr="004D53EC">
              <w:rPr>
                <w:b/>
                <w:sz w:val="24"/>
                <w:lang w:val="sq-AL"/>
              </w:rPr>
              <w:t>një përgatitje mesatare</w:t>
            </w:r>
            <w:r w:rsidRPr="004D53EC">
              <w:rPr>
                <w:sz w:val="24"/>
                <w:lang w:val="sq-AL"/>
              </w:rPr>
              <w:t xml:space="preserve"> në fushën e arsimit dhe kulturës. Është bërë </w:t>
            </w:r>
            <w:r w:rsidRPr="004D53EC">
              <w:rPr>
                <w:b/>
                <w:sz w:val="24"/>
                <w:lang w:val="sq-AL"/>
              </w:rPr>
              <w:t>progres</w:t>
            </w:r>
            <w:r w:rsidRPr="004D53EC">
              <w:rPr>
                <w:sz w:val="24"/>
                <w:lang w:val="sq-AL"/>
              </w:rPr>
              <w:t xml:space="preserve"> </w:t>
            </w:r>
            <w:r w:rsidRPr="004D53EC">
              <w:rPr>
                <w:b/>
                <w:sz w:val="24"/>
                <w:lang w:val="sq-AL"/>
              </w:rPr>
              <w:t>i mirë</w:t>
            </w:r>
            <w:r w:rsidRPr="004D53EC">
              <w:rPr>
                <w:sz w:val="24"/>
                <w:lang w:val="sq-AL"/>
              </w:rPr>
              <w:t xml:space="preserve"> me forcimin e mëtejshëm të Agjencisë së re Kombëtare të Punësimit dhe Aftësive, dhe ristrukturimin e vazhdueshëm të Agjencisë Kombëtare të Arsimit, Formimit Profesional dhe Kualifikimeve. Strategjia e re kombëtare 2023-2030 e punësimit dhe aftësive dhe strategjia e re kombëtare për të rinjtë 2022-2029 vënë në pah përmirësimin e cilësisë së Arsimit dhe Formimit Profesional (AFP) dhe rritjen e aftësive te të rinjve. Më shumë përpjekje duhen bërë për të forcuar cilësinë dhe </w:t>
            </w:r>
            <w:proofErr w:type="spellStart"/>
            <w:r w:rsidRPr="004D53EC">
              <w:rPr>
                <w:sz w:val="24"/>
                <w:lang w:val="sq-AL"/>
              </w:rPr>
              <w:t>gjithëpërfshirjen</w:t>
            </w:r>
            <w:proofErr w:type="spellEnd"/>
            <w:r w:rsidRPr="004D53EC">
              <w:rPr>
                <w:sz w:val="24"/>
                <w:lang w:val="sq-AL"/>
              </w:rPr>
              <w:t xml:space="preserve"> e arsimit, ndërkohë që duhet të akordohen burimet e duhura për të garantuar zbatimin e politikave të reformës së re. Përpjekje të mëtejshme kërkohen për të finalizuar aktet nënligjore të Ligjit për Trashëgiminë Kulturore dhe Muzetë.</w:t>
            </w:r>
          </w:p>
          <w:p w14:paraId="3B4D1615" w14:textId="77777777" w:rsidR="006C790B" w:rsidRPr="004D53EC" w:rsidRDefault="006C790B" w:rsidP="006C790B">
            <w:pPr>
              <w:spacing w:before="120"/>
              <w:ind w:left="113" w:right="101"/>
              <w:jc w:val="both"/>
              <w:rPr>
                <w:sz w:val="24"/>
                <w:lang w:val="sq-AL"/>
              </w:rPr>
            </w:pPr>
            <w:r w:rsidRPr="004D53EC">
              <w:rPr>
                <w:sz w:val="24"/>
                <w:lang w:val="sq-AL"/>
              </w:rPr>
              <w:t>Disa nga rekomandimet e vitit të kaluar nuk janë përmbushur plotësisht dhe mbeten ende në fuqi. Në vitin e ardhshëm Shqipëria duhet në veçanti:</w:t>
            </w:r>
          </w:p>
          <w:p w14:paraId="1754EFFC" w14:textId="77777777" w:rsidR="006C790B" w:rsidRPr="004D53EC" w:rsidRDefault="006C790B" w:rsidP="006C790B">
            <w:pPr>
              <w:spacing w:before="120"/>
              <w:ind w:left="473" w:right="102" w:hanging="360"/>
              <w:jc w:val="both"/>
              <w:rPr>
                <w:sz w:val="24"/>
                <w:lang w:val="sq-AL"/>
              </w:rPr>
            </w:pPr>
            <w:r w:rsidRPr="004D53EC">
              <w:rPr>
                <w:rFonts w:ascii="Symbol" w:hAnsi="Symbol"/>
                <w:sz w:val="24"/>
                <w:lang w:val="sq-AL"/>
              </w:rPr>
              <w:t></w:t>
            </w:r>
            <w:r w:rsidRPr="004D53EC">
              <w:rPr>
                <w:spacing w:val="40"/>
                <w:sz w:val="24"/>
                <w:lang w:val="sq-AL"/>
              </w:rPr>
              <w:t xml:space="preserve"> </w:t>
            </w:r>
            <w:r w:rsidRPr="004D53EC">
              <w:rPr>
                <w:sz w:val="24"/>
                <w:lang w:val="sq-AL"/>
              </w:rPr>
              <w:t xml:space="preserve">të sigurojë burime të mjaftueshme për </w:t>
            </w:r>
            <w:proofErr w:type="spellStart"/>
            <w:r w:rsidRPr="004D53EC">
              <w:rPr>
                <w:sz w:val="24"/>
                <w:lang w:val="sq-AL"/>
              </w:rPr>
              <w:t>optimizimin</w:t>
            </w:r>
            <w:proofErr w:type="spellEnd"/>
            <w:r w:rsidRPr="004D53EC">
              <w:rPr>
                <w:sz w:val="24"/>
                <w:lang w:val="sq-AL"/>
              </w:rPr>
              <w:t xml:space="preserve"> e sistemit të AFP-së në përputhje me nevojat e tregut të punës;</w:t>
            </w:r>
          </w:p>
          <w:p w14:paraId="30874D8C" w14:textId="39E7A1F9" w:rsidR="006C790B" w:rsidRPr="004D53EC" w:rsidRDefault="006C790B" w:rsidP="006C790B">
            <w:pPr>
              <w:spacing w:before="119"/>
              <w:ind w:left="473" w:right="100" w:hanging="360"/>
              <w:jc w:val="both"/>
              <w:rPr>
                <w:sz w:val="24"/>
                <w:lang w:val="sq-AL"/>
              </w:rPr>
            </w:pPr>
            <w:r w:rsidRPr="004D53EC">
              <w:rPr>
                <w:rFonts w:ascii="Symbol" w:hAnsi="Symbol"/>
                <w:sz w:val="24"/>
                <w:lang w:val="sq-AL"/>
              </w:rPr>
              <w:t></w:t>
            </w:r>
            <w:r w:rsidRPr="004D53EC">
              <w:rPr>
                <w:spacing w:val="40"/>
                <w:sz w:val="24"/>
                <w:lang w:val="sq-AL"/>
              </w:rPr>
              <w:t xml:space="preserve"> </w:t>
            </w:r>
            <w:r w:rsidRPr="004D53EC">
              <w:rPr>
                <w:sz w:val="24"/>
                <w:lang w:val="sq-AL"/>
              </w:rPr>
              <w:t>të përmirësojë zhvillimin profesional dhe trajnimin e mësuesve dhe trajnerëve, me fokus të veçantë në aftësitë pedagogjike që lidhen me zbatimin e qasjes gjithëpërfshirëse të bazuar në kompetenca dhe digjitalizimit nga niveli parashkollor në atë universitar, përfshirë shtrirjen e tyre edhe në arsimin profesional</w:t>
            </w:r>
            <w:r w:rsidRPr="004D53EC">
              <w:rPr>
                <w:spacing w:val="-2"/>
                <w:sz w:val="24"/>
                <w:lang w:val="sq-AL"/>
              </w:rPr>
              <w:t>;</w:t>
            </w:r>
          </w:p>
          <w:p w14:paraId="51B6B3C6" w14:textId="77777777" w:rsidR="006C790B" w:rsidRPr="004D53EC" w:rsidRDefault="006C790B" w:rsidP="006C790B">
            <w:pPr>
              <w:spacing w:before="120" w:line="273" w:lineRule="exact"/>
              <w:ind w:left="113"/>
              <w:jc w:val="both"/>
              <w:rPr>
                <w:sz w:val="24"/>
                <w:lang w:val="sq-AL"/>
              </w:rPr>
            </w:pPr>
            <w:r w:rsidRPr="004D53EC">
              <w:rPr>
                <w:rFonts w:ascii="Symbol" w:hAnsi="Symbol"/>
                <w:sz w:val="24"/>
                <w:lang w:val="sq-AL"/>
              </w:rPr>
              <w:t></w:t>
            </w:r>
            <w:r w:rsidRPr="004D53EC">
              <w:rPr>
                <w:spacing w:val="58"/>
                <w:sz w:val="24"/>
                <w:lang w:val="sq-AL"/>
              </w:rPr>
              <w:t xml:space="preserve"> </w:t>
            </w:r>
            <w:r w:rsidRPr="004D53EC">
              <w:rPr>
                <w:sz w:val="24"/>
                <w:lang w:val="sq-AL"/>
              </w:rPr>
              <w:t>të miratojë legjislacionin mbështetës për Ligjin për trashëgiminë kulturore dhe muzetë</w:t>
            </w:r>
            <w:r w:rsidRPr="004D53EC">
              <w:rPr>
                <w:spacing w:val="-2"/>
                <w:sz w:val="24"/>
                <w:lang w:val="sq-AL"/>
              </w:rPr>
              <w:t>.</w:t>
            </w:r>
          </w:p>
        </w:tc>
      </w:tr>
    </w:tbl>
    <w:p w14:paraId="609B173F" w14:textId="77777777" w:rsidR="006C790B" w:rsidRPr="004D53EC" w:rsidRDefault="006C790B" w:rsidP="006C790B">
      <w:pPr>
        <w:spacing w:before="120"/>
        <w:ind w:left="980" w:right="976"/>
        <w:jc w:val="both"/>
        <w:rPr>
          <w:sz w:val="24"/>
          <w:szCs w:val="24"/>
          <w:lang w:val="sq-AL"/>
        </w:rPr>
      </w:pPr>
      <w:r w:rsidRPr="004D53EC">
        <w:rPr>
          <w:sz w:val="24"/>
          <w:szCs w:val="24"/>
          <w:lang w:val="sq-AL"/>
        </w:rPr>
        <w:lastRenderedPageBreak/>
        <w:t xml:space="preserve">Për </w:t>
      </w:r>
      <w:r w:rsidRPr="004D53EC">
        <w:rPr>
          <w:b/>
          <w:sz w:val="24"/>
          <w:szCs w:val="24"/>
          <w:lang w:val="sq-AL"/>
        </w:rPr>
        <w:t>arsimin dhe trajnimin</w:t>
      </w:r>
      <w:r w:rsidRPr="004D53EC">
        <w:rPr>
          <w:sz w:val="24"/>
          <w:szCs w:val="24"/>
          <w:lang w:val="sq-AL"/>
        </w:rPr>
        <w:t xml:space="preserve">, një nga përparësitë ishte rindërtimi i objekteve arsimore të dëmtuara nga tërmeti i 2019-ës. Gjatë periudhës së raportimit janë riparuar 17 objekte arsimore. Aktualisht janë </w:t>
      </w:r>
      <w:proofErr w:type="spellStart"/>
      <w:r w:rsidRPr="004D53EC">
        <w:rPr>
          <w:sz w:val="24"/>
          <w:szCs w:val="24"/>
          <w:lang w:val="sq-AL"/>
        </w:rPr>
        <w:t>rikonstruktuar</w:t>
      </w:r>
      <w:proofErr w:type="spellEnd"/>
      <w:r w:rsidRPr="004D53EC">
        <w:rPr>
          <w:sz w:val="24"/>
          <w:szCs w:val="24"/>
          <w:lang w:val="sq-AL"/>
        </w:rPr>
        <w:t xml:space="preserve"> ose riparuar 79 institucione arsimore, ndërsa po punohet në 105 institucione. </w:t>
      </w:r>
      <w:r w:rsidRPr="004D53EC">
        <w:rPr>
          <w:b/>
          <w:sz w:val="24"/>
          <w:szCs w:val="24"/>
          <w:lang w:val="sq-AL"/>
        </w:rPr>
        <w:t>Politika kundër korrupsionit</w:t>
      </w:r>
      <w:r w:rsidRPr="004D53EC">
        <w:rPr>
          <w:sz w:val="24"/>
          <w:szCs w:val="24"/>
          <w:lang w:val="sq-AL"/>
        </w:rPr>
        <w:t xml:space="preserve"> e Ministrisë së Arsimit dhe Sportit (MASH) bazohet në transparencën nëpërmjet digjitalizimit, duke zbatuar programin e saj të transparencës, duke monitoruar dhe </w:t>
      </w:r>
      <w:proofErr w:type="spellStart"/>
      <w:r w:rsidRPr="004D53EC">
        <w:rPr>
          <w:sz w:val="24"/>
          <w:szCs w:val="24"/>
          <w:lang w:val="sq-AL"/>
        </w:rPr>
        <w:t>audituar</w:t>
      </w:r>
      <w:proofErr w:type="spellEnd"/>
      <w:r w:rsidRPr="004D53EC">
        <w:rPr>
          <w:sz w:val="24"/>
          <w:szCs w:val="24"/>
          <w:lang w:val="sq-AL"/>
        </w:rPr>
        <w:t xml:space="preserve"> nëpërmjet mekanizmave të </w:t>
      </w:r>
      <w:proofErr w:type="spellStart"/>
      <w:r w:rsidRPr="004D53EC">
        <w:rPr>
          <w:sz w:val="24"/>
          <w:szCs w:val="24"/>
          <w:lang w:val="sq-AL"/>
        </w:rPr>
        <w:t>auditimit</w:t>
      </w:r>
      <w:proofErr w:type="spellEnd"/>
      <w:r w:rsidRPr="004D53EC">
        <w:rPr>
          <w:sz w:val="24"/>
          <w:szCs w:val="24"/>
          <w:lang w:val="sq-AL"/>
        </w:rPr>
        <w:t xml:space="preserve"> të brendshëm dhe të jashtëm, si dhe duke forcuar integritetin me miratimin e planeve të integritetit për MASH-në dhe Ministrinë e Kulturës në Prill 2022. Kërkohen përpjekje më të mëdha për të menaxhuar me efikasitet burimet e ofruara nga donatorët dhe financimet nga buxheti i shtetit.</w:t>
      </w:r>
    </w:p>
    <w:p w14:paraId="38D7B1F1" w14:textId="77777777" w:rsidR="006C790B" w:rsidRPr="004D53EC" w:rsidRDefault="006C790B" w:rsidP="006C790B">
      <w:pPr>
        <w:spacing w:before="120"/>
        <w:ind w:left="980" w:right="976"/>
        <w:jc w:val="both"/>
        <w:rPr>
          <w:sz w:val="24"/>
          <w:szCs w:val="24"/>
          <w:lang w:val="sq-AL"/>
        </w:rPr>
      </w:pPr>
      <w:r w:rsidRPr="004D53EC">
        <w:rPr>
          <w:sz w:val="24"/>
          <w:szCs w:val="24"/>
          <w:lang w:val="sq-AL"/>
        </w:rPr>
        <w:t xml:space="preserve">MASH planifikoi për herë të parë hartimin dhe zbatimin progresiv të programeve të teknologjisë së informacionit dhe komunikimit (TIK), duke filluar nga klasa e parë në vitin 2022. 100 shkolla në Shqipëri u pajisën me laboratorë inteligjentë dhe u trajnuan 1 200 mësues të TIK-ut. Autoritetet duhet të forcojnë përpjekjet për të reduktuar ndarjen digjitale në të gjitha komunitetet dhe midis njerëzve </w:t>
      </w:r>
      <w:proofErr w:type="spellStart"/>
      <w:r w:rsidRPr="004D53EC">
        <w:rPr>
          <w:sz w:val="24"/>
          <w:szCs w:val="24"/>
          <w:lang w:val="sq-AL"/>
        </w:rPr>
        <w:t>vulnerabël</w:t>
      </w:r>
      <w:proofErr w:type="spellEnd"/>
      <w:r w:rsidRPr="004D53EC">
        <w:rPr>
          <w:sz w:val="24"/>
          <w:szCs w:val="24"/>
          <w:lang w:val="sq-AL"/>
        </w:rPr>
        <w:t>. Autoritetet duhet të forcojnë përpjekjet drejt transformimit digjital efektiv, koherent dhe gjithëpërfshirës të sistemeve të arsimit dhe trajnimit në Shqipëri, përfshirë kapacitetin e sistemeve për të zhvilluar aftësi digjitale.</w:t>
      </w:r>
    </w:p>
    <w:p w14:paraId="45D22D29" w14:textId="77777777" w:rsidR="006C790B" w:rsidRPr="004D53EC" w:rsidRDefault="006C790B" w:rsidP="006C790B">
      <w:pPr>
        <w:spacing w:before="120"/>
        <w:ind w:left="980" w:right="979"/>
        <w:jc w:val="both"/>
        <w:rPr>
          <w:sz w:val="24"/>
          <w:szCs w:val="24"/>
          <w:lang w:val="sq-AL"/>
        </w:rPr>
      </w:pPr>
      <w:r w:rsidRPr="004D53EC">
        <w:rPr>
          <w:sz w:val="24"/>
          <w:szCs w:val="24"/>
          <w:lang w:val="sq-AL"/>
        </w:rPr>
        <w:t xml:space="preserve">MASH raportoi se </w:t>
      </w:r>
      <w:r w:rsidRPr="004D53EC">
        <w:rPr>
          <w:b/>
          <w:sz w:val="24"/>
          <w:szCs w:val="24"/>
          <w:lang w:val="sq-AL"/>
        </w:rPr>
        <w:t>shpenzimet publike</w:t>
      </w:r>
      <w:r w:rsidRPr="004D53EC">
        <w:rPr>
          <w:sz w:val="24"/>
          <w:szCs w:val="24"/>
          <w:lang w:val="sq-AL"/>
        </w:rPr>
        <w:t xml:space="preserve"> për arsimin përbënin 3.2% të PBB-së në vitin 2022, ndërsa parashikimi për 2023 dhe 2024 është përkatësisht 2.9% dhe 2.8% (shumë më i ulët se mesatarja e BE-së 5%). MASH hartoi udhëzime për edukimin për karrierë në sistemin arsimor </w:t>
      </w:r>
      <w:proofErr w:type="spellStart"/>
      <w:r w:rsidRPr="004D53EC">
        <w:rPr>
          <w:sz w:val="24"/>
          <w:szCs w:val="24"/>
          <w:lang w:val="sq-AL"/>
        </w:rPr>
        <w:t>parauniversitar</w:t>
      </w:r>
      <w:proofErr w:type="spellEnd"/>
      <w:r w:rsidRPr="004D53EC">
        <w:rPr>
          <w:sz w:val="24"/>
          <w:szCs w:val="24"/>
          <w:lang w:val="sq-AL"/>
        </w:rPr>
        <w:t xml:space="preserve">, në të cilin përfshihen aktivitetet dhe përshkrimet e vendeve të punës për drejtimin e karrierës në shkolla. Agjencia e Sigurimit të Cilësisë në Arsimin </w:t>
      </w:r>
      <w:proofErr w:type="spellStart"/>
      <w:r w:rsidRPr="004D53EC">
        <w:rPr>
          <w:sz w:val="24"/>
          <w:szCs w:val="24"/>
          <w:lang w:val="sq-AL"/>
        </w:rPr>
        <w:t>Parauniversitar</w:t>
      </w:r>
      <w:proofErr w:type="spellEnd"/>
      <w:r w:rsidRPr="004D53EC">
        <w:rPr>
          <w:sz w:val="24"/>
          <w:szCs w:val="24"/>
          <w:lang w:val="sq-AL"/>
        </w:rPr>
        <w:t xml:space="preserve"> ka kryer vlerësimin e 34 institucioneve të arsimit </w:t>
      </w:r>
      <w:proofErr w:type="spellStart"/>
      <w:r w:rsidRPr="004D53EC">
        <w:rPr>
          <w:sz w:val="24"/>
          <w:szCs w:val="24"/>
          <w:lang w:val="sq-AL"/>
        </w:rPr>
        <w:t>parauniversitar</w:t>
      </w:r>
      <w:proofErr w:type="spellEnd"/>
      <w:r w:rsidRPr="004D53EC">
        <w:rPr>
          <w:sz w:val="24"/>
          <w:szCs w:val="24"/>
          <w:lang w:val="sq-AL"/>
        </w:rPr>
        <w:t>.</w:t>
      </w:r>
    </w:p>
    <w:p w14:paraId="2B1B6A18" w14:textId="77777777" w:rsidR="006C790B" w:rsidRPr="004D53EC" w:rsidRDefault="006C790B" w:rsidP="006C790B">
      <w:pPr>
        <w:spacing w:before="120"/>
        <w:ind w:left="980" w:right="977"/>
        <w:jc w:val="both"/>
        <w:rPr>
          <w:sz w:val="24"/>
          <w:szCs w:val="24"/>
          <w:lang w:val="sq-AL"/>
        </w:rPr>
      </w:pPr>
      <w:r w:rsidRPr="004D53EC">
        <w:rPr>
          <w:b/>
          <w:sz w:val="24"/>
          <w:szCs w:val="24"/>
          <w:lang w:val="sq-AL"/>
        </w:rPr>
        <w:t>Përqindja e regjistrimit</w:t>
      </w:r>
      <w:r w:rsidRPr="004D53EC">
        <w:rPr>
          <w:sz w:val="24"/>
          <w:szCs w:val="24"/>
          <w:lang w:val="sq-AL"/>
        </w:rPr>
        <w:t xml:space="preserve"> </w:t>
      </w:r>
      <w:r w:rsidRPr="004D53EC">
        <w:rPr>
          <w:b/>
          <w:sz w:val="24"/>
          <w:szCs w:val="24"/>
          <w:lang w:val="sq-AL"/>
        </w:rPr>
        <w:t xml:space="preserve">neto </w:t>
      </w:r>
      <w:r w:rsidRPr="004D53EC">
        <w:rPr>
          <w:sz w:val="24"/>
          <w:szCs w:val="24"/>
          <w:lang w:val="sq-AL"/>
        </w:rPr>
        <w:t>(PRN) në arsimin fillor në vitet 2021-2022 ishte 88.3%, pak më pak se një vit më parë (90.5%). PRN për arsimin nëntë-vjeçar ishte 87.4% në 2021-2022 krahasuar me 87.1% një vit më parë. Gjithashtu ka pasur një rënie të PRN -it të nxënësve në arsimin e mesëm, në 77.6% në 2021-2022 krahasuar me 78% një vit më parë. PRN i fëmijëve në arsimin parashkollor në 2021-2022 ishte 78,8%, nga 72,9% një vit më parë.</w:t>
      </w:r>
    </w:p>
    <w:p w14:paraId="55C1D948" w14:textId="77777777" w:rsidR="006C790B" w:rsidRPr="004D53EC" w:rsidRDefault="006C790B" w:rsidP="006C790B">
      <w:pPr>
        <w:spacing w:before="120"/>
        <w:ind w:left="980" w:right="976"/>
        <w:jc w:val="both"/>
        <w:rPr>
          <w:sz w:val="24"/>
          <w:szCs w:val="24"/>
          <w:lang w:val="sq-AL"/>
        </w:rPr>
      </w:pPr>
      <w:r w:rsidRPr="004D53EC">
        <w:rPr>
          <w:sz w:val="24"/>
          <w:szCs w:val="24"/>
          <w:lang w:val="sq-AL"/>
        </w:rPr>
        <w:t xml:space="preserve">Në arsimin gjithëpërfshirës, numri i fëmijëve me aftësi të kufizuara në institucionet arsimore publike dhe private (duke filluar nga arsimi parashkollor) është rritur në 4748 nxënës. Në vitin 2022-2023, numri i mësuesve ndihmës për nxënësit me aftësi të kufizuara në sistemin arsimor publik </w:t>
      </w:r>
      <w:proofErr w:type="spellStart"/>
      <w:r w:rsidRPr="004D53EC">
        <w:rPr>
          <w:sz w:val="24"/>
          <w:szCs w:val="24"/>
          <w:lang w:val="sq-AL"/>
        </w:rPr>
        <w:t>parauniversitar</w:t>
      </w:r>
      <w:proofErr w:type="spellEnd"/>
      <w:r w:rsidRPr="004D53EC">
        <w:rPr>
          <w:sz w:val="24"/>
          <w:szCs w:val="24"/>
          <w:lang w:val="sq-AL"/>
        </w:rPr>
        <w:t xml:space="preserve"> u rrit me rreth 17% krahasuar me një vit më parë (1 300 mësues ndihmës në total). Ka ende nevojë për një numër më të madh mësuesish ndihmës dhe për një cilësi më të mirë arsimi, veçanërisht në zonat e thella jo urbane. Në vitin 2023, Shqipëria ndryshoi Ligjin për arsimin </w:t>
      </w:r>
      <w:proofErr w:type="spellStart"/>
      <w:r w:rsidRPr="004D53EC">
        <w:rPr>
          <w:sz w:val="24"/>
          <w:szCs w:val="24"/>
          <w:lang w:val="sq-AL"/>
        </w:rPr>
        <w:t>parauniversitar</w:t>
      </w:r>
      <w:proofErr w:type="spellEnd"/>
      <w:r w:rsidRPr="004D53EC">
        <w:rPr>
          <w:sz w:val="24"/>
          <w:szCs w:val="24"/>
          <w:lang w:val="sq-AL"/>
        </w:rPr>
        <w:t xml:space="preserve">, në të cilin u përfshinë dispozita për nxënësit me aftësi të kufizuara dhe për shndërrimin e shkollave në qendra burimore. Në vitin 2022, MASH ofroi 141 bursa studimi në arsimin </w:t>
      </w:r>
      <w:proofErr w:type="spellStart"/>
      <w:r w:rsidRPr="004D53EC">
        <w:rPr>
          <w:sz w:val="24"/>
          <w:szCs w:val="24"/>
          <w:lang w:val="sq-AL"/>
        </w:rPr>
        <w:t>parauniversitar</w:t>
      </w:r>
      <w:proofErr w:type="spellEnd"/>
      <w:r w:rsidRPr="004D53EC">
        <w:rPr>
          <w:sz w:val="24"/>
          <w:szCs w:val="24"/>
          <w:lang w:val="sq-AL"/>
        </w:rPr>
        <w:t xml:space="preserve"> për fëmijët që rrezikonin ta braktisnin shkollën. Që nga viti shkollor 2022-2023, arsimi i mesëm i orientuar nga TIK ofrohet në gjuhën shqipe të shenjave.</w:t>
      </w:r>
    </w:p>
    <w:p w14:paraId="08B992B3" w14:textId="77777777" w:rsidR="006C790B" w:rsidRPr="004D53EC" w:rsidRDefault="006C790B" w:rsidP="006C790B">
      <w:pPr>
        <w:spacing w:before="120"/>
        <w:ind w:left="980" w:right="976"/>
        <w:jc w:val="both"/>
        <w:rPr>
          <w:sz w:val="24"/>
          <w:szCs w:val="24"/>
          <w:lang w:val="sq-AL"/>
        </w:rPr>
      </w:pPr>
      <w:r w:rsidRPr="004D53EC">
        <w:rPr>
          <w:sz w:val="24"/>
          <w:szCs w:val="24"/>
          <w:lang w:val="sq-AL"/>
        </w:rPr>
        <w:t>Hendeqet gjinore ekzistojnë ende në arsim pasi, sipas INSTAT, shkalla e regjistrimit në arsimin e detyrueshëm është 98.7% për djemtë dhe 92.7% për vajzat. Pjesëmarrja në arsimin nëntë-vjeçar është më e lartë për djemtë sesa për vajzat, përkatësisht 98.7% dhe 89.9%. ndërsa për arsimin e mesëm shkalla e pjesëmarrjes është më e lartë për vajzat (73.2%) sesa për djemtë (49.6%). Në arsimin profesional, afërsisht 82% e të diplomuarve janë meshkuj. Ofruesit e AFP-së duhet të ndjekin kodin e etikës në përputhje me legjislacionin kombëtar, ndërkohë që të gjithë ofruesit e arsimit kanë krijuar komisionet e etikës.</w:t>
      </w:r>
    </w:p>
    <w:p w14:paraId="523D93F3" w14:textId="77777777" w:rsidR="006C790B" w:rsidRPr="004D53EC" w:rsidRDefault="006C790B" w:rsidP="006C790B">
      <w:pPr>
        <w:spacing w:before="119"/>
        <w:ind w:left="979" w:right="976"/>
        <w:jc w:val="both"/>
        <w:rPr>
          <w:sz w:val="24"/>
          <w:szCs w:val="24"/>
          <w:lang w:val="sq-AL"/>
        </w:rPr>
      </w:pPr>
      <w:r w:rsidRPr="004D53EC">
        <w:rPr>
          <w:sz w:val="24"/>
          <w:szCs w:val="24"/>
          <w:lang w:val="sq-AL"/>
        </w:rPr>
        <w:t xml:space="preserve">Pjesëmarrja e </w:t>
      </w:r>
      <w:r w:rsidRPr="004D53EC">
        <w:rPr>
          <w:b/>
          <w:sz w:val="24"/>
          <w:szCs w:val="24"/>
          <w:lang w:val="sq-AL"/>
        </w:rPr>
        <w:t>fëmijëve romë dhe egjiptianë</w:t>
      </w:r>
      <w:r w:rsidRPr="004D53EC">
        <w:rPr>
          <w:sz w:val="24"/>
          <w:szCs w:val="24"/>
          <w:lang w:val="sq-AL"/>
        </w:rPr>
        <w:t xml:space="preserve"> u rrit në arsimin </w:t>
      </w:r>
      <w:proofErr w:type="spellStart"/>
      <w:r w:rsidRPr="004D53EC">
        <w:rPr>
          <w:sz w:val="24"/>
          <w:szCs w:val="24"/>
          <w:lang w:val="sq-AL"/>
        </w:rPr>
        <w:t>parauniversitar</w:t>
      </w:r>
      <w:proofErr w:type="spellEnd"/>
      <w:r w:rsidRPr="004D53EC">
        <w:rPr>
          <w:sz w:val="24"/>
          <w:szCs w:val="24"/>
          <w:lang w:val="sq-AL"/>
        </w:rPr>
        <w:t xml:space="preserve"> (13 499 në 2022-2023 kundrejt 13 086 në 2021-2022) dhe u ul në arsimin fillor (2 150 në 2022-2023 si në sektorin publik ashtu edhe në atë privat kundrejt 2 514 2021 -2022). Masat e planifikuara për të lehtësuar </w:t>
      </w:r>
      <w:proofErr w:type="spellStart"/>
      <w:r w:rsidRPr="004D53EC">
        <w:rPr>
          <w:sz w:val="24"/>
          <w:szCs w:val="24"/>
          <w:lang w:val="sq-AL"/>
        </w:rPr>
        <w:t>aksesin</w:t>
      </w:r>
      <w:proofErr w:type="spellEnd"/>
      <w:r w:rsidRPr="004D53EC">
        <w:rPr>
          <w:sz w:val="24"/>
          <w:szCs w:val="24"/>
          <w:lang w:val="sq-AL"/>
        </w:rPr>
        <w:t xml:space="preserve"> në universitete (si sistemi i kuotave dhe heqja e tarifave universitare) nuk </w:t>
      </w:r>
      <w:r w:rsidRPr="004D53EC">
        <w:rPr>
          <w:sz w:val="24"/>
          <w:szCs w:val="24"/>
          <w:lang w:val="sq-AL"/>
        </w:rPr>
        <w:lastRenderedPageBreak/>
        <w:t>po zbatohen. Kërkohen përpjekje më të mëdha për të përmirësuar koordinimin ndërmjet niveleve lokale dhe qendrore në arsimin parashkollor.</w:t>
      </w:r>
    </w:p>
    <w:p w14:paraId="1F61B097" w14:textId="792ADF85" w:rsidR="006C790B" w:rsidRPr="004D53EC" w:rsidRDefault="006C790B" w:rsidP="006C790B">
      <w:pPr>
        <w:spacing w:before="120"/>
        <w:ind w:left="979" w:right="976"/>
        <w:jc w:val="both"/>
        <w:rPr>
          <w:sz w:val="24"/>
          <w:szCs w:val="24"/>
          <w:lang w:val="sq-AL"/>
        </w:rPr>
      </w:pPr>
      <w:r w:rsidRPr="004D53EC">
        <w:rPr>
          <w:sz w:val="24"/>
          <w:szCs w:val="24"/>
          <w:lang w:val="sq-AL"/>
        </w:rPr>
        <w:t xml:space="preserve">Strategjia kombëtare </w:t>
      </w:r>
      <w:r w:rsidRPr="004D53EC">
        <w:rPr>
          <w:b/>
          <w:sz w:val="24"/>
          <w:szCs w:val="24"/>
          <w:lang w:val="sq-AL"/>
        </w:rPr>
        <w:t>për të rinjtë</w:t>
      </w:r>
      <w:r w:rsidRPr="004D53EC">
        <w:rPr>
          <w:sz w:val="24"/>
          <w:szCs w:val="24"/>
          <w:lang w:val="sq-AL"/>
        </w:rPr>
        <w:t xml:space="preserve"> 2022-2029 u miratua në tetor 2022. Në të integrohet fuqizimi përmes qasjes vetëmbrojtëse si pjesë e programeve </w:t>
      </w:r>
      <w:proofErr w:type="spellStart"/>
      <w:r w:rsidRPr="004D53EC">
        <w:rPr>
          <w:sz w:val="24"/>
          <w:szCs w:val="24"/>
          <w:lang w:val="sq-AL"/>
        </w:rPr>
        <w:t>ekstrakurrikulare</w:t>
      </w:r>
      <w:proofErr w:type="spellEnd"/>
      <w:r w:rsidRPr="004D53EC">
        <w:rPr>
          <w:sz w:val="24"/>
          <w:szCs w:val="24"/>
          <w:lang w:val="sq-AL"/>
        </w:rPr>
        <w:t xml:space="preserve"> të shkollave publike. Kjo qasje ka për qëllim të promovojë ndryshimet e sjelljes në komunitete, në lidhje me çështje të tilla si dhuna me bazë gjinore, duke nxitur aftësi që promovojnë sigurinë emocionale, psikologjike dhe fizike të </w:t>
      </w:r>
      <w:proofErr w:type="spellStart"/>
      <w:r w:rsidRPr="004D53EC">
        <w:rPr>
          <w:sz w:val="24"/>
          <w:szCs w:val="24"/>
          <w:lang w:val="sq-AL"/>
        </w:rPr>
        <w:t>të</w:t>
      </w:r>
      <w:proofErr w:type="spellEnd"/>
      <w:r w:rsidRPr="004D53EC">
        <w:rPr>
          <w:sz w:val="24"/>
          <w:szCs w:val="24"/>
          <w:lang w:val="sq-AL"/>
        </w:rPr>
        <w:t xml:space="preserve"> rinjve dhe të rejave. P</w:t>
      </w:r>
      <w:r w:rsidR="000857D8">
        <w:rPr>
          <w:sz w:val="24"/>
          <w:szCs w:val="24"/>
          <w:lang w:val="sq-AL"/>
        </w:rPr>
        <w:t>ër</w:t>
      </w:r>
      <w:r w:rsidRPr="004D53EC">
        <w:rPr>
          <w:sz w:val="24"/>
          <w:szCs w:val="24"/>
          <w:lang w:val="sq-AL"/>
        </w:rPr>
        <w:t>zgjedhja e Tiranës si Kryeqytetit Evropian i Rinisë 2022 forcoi ekosistemin lokal dhe kombëtar për zhvillimin e politikave rinore.</w:t>
      </w:r>
    </w:p>
    <w:p w14:paraId="01C04622" w14:textId="77777777" w:rsidR="006C790B" w:rsidRPr="004D53EC" w:rsidRDefault="006C790B" w:rsidP="006C790B">
      <w:pPr>
        <w:spacing w:before="120"/>
        <w:ind w:left="979" w:right="976"/>
        <w:jc w:val="both"/>
        <w:rPr>
          <w:sz w:val="24"/>
          <w:szCs w:val="24"/>
          <w:lang w:val="sq-AL"/>
        </w:rPr>
      </w:pPr>
      <w:r w:rsidRPr="004D53EC">
        <w:rPr>
          <w:sz w:val="24"/>
          <w:szCs w:val="24"/>
          <w:lang w:val="sq-AL"/>
        </w:rPr>
        <w:t xml:space="preserve">Strategjia kombëtare 2023-2030 </w:t>
      </w:r>
      <w:r w:rsidRPr="004D53EC">
        <w:rPr>
          <w:b/>
          <w:sz w:val="24"/>
          <w:szCs w:val="24"/>
          <w:lang w:val="sq-AL"/>
        </w:rPr>
        <w:t>e punësimit dhe aftësive</w:t>
      </w:r>
      <w:r w:rsidRPr="004D53EC">
        <w:rPr>
          <w:sz w:val="24"/>
          <w:szCs w:val="24"/>
          <w:lang w:val="sq-AL"/>
        </w:rPr>
        <w:t xml:space="preserve">, e miratuar në vitin 2023, i jep përparësi angazhimit sistematik të sektorit privat në arsimin dhe trajnimin profesional dhe zhvillimin e aftësive të gjelbra dhe digjitale nëpërmjet një sistemi të </w:t>
      </w:r>
      <w:proofErr w:type="spellStart"/>
      <w:r w:rsidRPr="004D53EC">
        <w:rPr>
          <w:sz w:val="24"/>
          <w:szCs w:val="24"/>
          <w:lang w:val="sq-AL"/>
        </w:rPr>
        <w:t>të</w:t>
      </w:r>
      <w:proofErr w:type="spellEnd"/>
      <w:r w:rsidRPr="004D53EC">
        <w:rPr>
          <w:sz w:val="24"/>
          <w:szCs w:val="24"/>
          <w:lang w:val="sq-AL"/>
        </w:rPr>
        <w:t xml:space="preserve"> mësuarit gjatë gjithë jetës që mundëson veprimtari efektive për përmirësim dhe rikualifikim.</w:t>
      </w:r>
    </w:p>
    <w:p w14:paraId="484F3F72" w14:textId="063D983D" w:rsidR="006C790B" w:rsidRPr="004D53EC" w:rsidRDefault="006C790B" w:rsidP="006C790B">
      <w:pPr>
        <w:spacing w:before="120"/>
        <w:ind w:left="980" w:right="977"/>
        <w:jc w:val="both"/>
        <w:rPr>
          <w:sz w:val="24"/>
          <w:szCs w:val="24"/>
          <w:lang w:val="sq-AL"/>
        </w:rPr>
      </w:pPr>
      <w:r w:rsidRPr="004D53EC">
        <w:rPr>
          <w:sz w:val="24"/>
          <w:szCs w:val="24"/>
          <w:lang w:val="sq-AL"/>
        </w:rPr>
        <w:t>Për</w:t>
      </w:r>
      <w:r w:rsidR="000857D8">
        <w:rPr>
          <w:sz w:val="24"/>
          <w:szCs w:val="24"/>
          <w:lang w:val="sq-AL"/>
        </w:rPr>
        <w:t xml:space="preserve"> </w:t>
      </w:r>
      <w:r w:rsidRPr="004D53EC">
        <w:rPr>
          <w:sz w:val="24"/>
          <w:szCs w:val="24"/>
          <w:lang w:val="sq-AL"/>
        </w:rPr>
        <w:t xml:space="preserve">sa i përket arsimit dhe aftësimit profesional (AFP), autoritetet konsoliduan kuadrin institucional përkatës, duke përforcuar më tej Agjencinë Kombëtare të Punësimit dhe Aftësive, dhe duke ristrukturuar më tej Agjencinë Kombëtare për AFP-në dhe Kualifikimet dhe duke rritur burimet e saj. Kërkohen përpjekje të mëtejshme për të siguruar personelin e përshtatshëm në të dyja agjencitë; për të përmirësuar kuadrin e sigurimit të cilësisë dhe për të forcuar planifikimin dhe monitorimin në nivel qendror. Në vitin 2023, u ristrukturuan disa ofrues të AFP-së. Plani i </w:t>
      </w:r>
      <w:proofErr w:type="spellStart"/>
      <w:r w:rsidRPr="004D53EC">
        <w:rPr>
          <w:sz w:val="24"/>
          <w:szCs w:val="24"/>
          <w:lang w:val="sq-AL"/>
        </w:rPr>
        <w:t>optimizimit</w:t>
      </w:r>
      <w:proofErr w:type="spellEnd"/>
      <w:r w:rsidRPr="004D53EC">
        <w:rPr>
          <w:sz w:val="24"/>
          <w:szCs w:val="24"/>
          <w:lang w:val="sq-AL"/>
        </w:rPr>
        <w:t xml:space="preserve"> për ofruesit e AFP-së, i miratuar në vitin 2020, kishte mungesë të burimeve të nevojshme për t'u vënë në zbatim. Pavarësisht aktiviteteve </w:t>
      </w:r>
      <w:proofErr w:type="spellStart"/>
      <w:r w:rsidRPr="004D53EC">
        <w:rPr>
          <w:sz w:val="24"/>
          <w:szCs w:val="24"/>
          <w:lang w:val="sq-AL"/>
        </w:rPr>
        <w:t>promovuese</w:t>
      </w:r>
      <w:proofErr w:type="spellEnd"/>
      <w:r w:rsidRPr="004D53EC">
        <w:rPr>
          <w:sz w:val="24"/>
          <w:szCs w:val="24"/>
          <w:lang w:val="sq-AL"/>
        </w:rPr>
        <w:t xml:space="preserve"> dhe mbështetjes për të ndihmuar studentët nga zonat rurale të marrin pjesë në AFP, frekuentimi gjatë vitit akademik 2022-2023 ra, me 16 811 nxënës të regjistruar në shkollat profesionale (2 634 femra dhe 14 177 meshkuj) krahasuar me 18 279 nxënës (2 714 femra dhe 15 656 meshkuj) në 2021-2022. Autoritetet duhet të ndërmarrin masat e duhura për të gjetur një zgjidhje për mospërputhjen e aftësive dhe për të intensifikuar përpjekjet për ta bërë AFP-në më të përshtatshme për nevojat e tregut të punës. Në janar 2023, MASH miratoi një udhëzues orientimi në karrierë për nxënësit e klasës së nëntë për të përmirësuar informacionin, edukimin dhe këshillimin për karrierë në shkolla. Regjistrimi i grupeve </w:t>
      </w:r>
      <w:proofErr w:type="spellStart"/>
      <w:r w:rsidRPr="004D53EC">
        <w:rPr>
          <w:sz w:val="24"/>
          <w:szCs w:val="24"/>
          <w:lang w:val="sq-AL"/>
        </w:rPr>
        <w:t>vulnerabël</w:t>
      </w:r>
      <w:proofErr w:type="spellEnd"/>
      <w:r w:rsidRPr="004D53EC">
        <w:rPr>
          <w:sz w:val="24"/>
          <w:szCs w:val="24"/>
          <w:lang w:val="sq-AL"/>
        </w:rPr>
        <w:t xml:space="preserve"> në AFP gjithashtu ka rënë në 6 022 (1 743 femra) nga 9 392 (1 330 femra) në 2021-2022.</w:t>
      </w:r>
    </w:p>
    <w:p w14:paraId="2341E1FE" w14:textId="77777777" w:rsidR="006C790B" w:rsidRPr="004D53EC" w:rsidRDefault="006C790B" w:rsidP="006C790B">
      <w:pPr>
        <w:spacing w:before="120"/>
        <w:ind w:left="979" w:right="976"/>
        <w:jc w:val="both"/>
        <w:rPr>
          <w:sz w:val="24"/>
          <w:szCs w:val="24"/>
          <w:lang w:val="sq-AL"/>
        </w:rPr>
      </w:pPr>
      <w:r w:rsidRPr="004D53EC">
        <w:rPr>
          <w:sz w:val="24"/>
          <w:szCs w:val="24"/>
          <w:lang w:val="sq-AL"/>
        </w:rPr>
        <w:t xml:space="preserve">Shqipëria vazhdoi të marrë pjesë në </w:t>
      </w:r>
      <w:proofErr w:type="spellStart"/>
      <w:r w:rsidRPr="004D53EC">
        <w:rPr>
          <w:sz w:val="24"/>
          <w:szCs w:val="24"/>
          <w:lang w:val="sq-AL"/>
        </w:rPr>
        <w:t>Erasmus</w:t>
      </w:r>
      <w:proofErr w:type="spellEnd"/>
      <w:r w:rsidRPr="004D53EC">
        <w:rPr>
          <w:sz w:val="24"/>
          <w:szCs w:val="24"/>
          <w:lang w:val="sq-AL"/>
        </w:rPr>
        <w:t xml:space="preserve">+ dhe Korpusin Evropian të Solidaritetit. Shqipëria përfiton nga përmasat ndërkombëtare të programit </w:t>
      </w:r>
      <w:proofErr w:type="spellStart"/>
      <w:r w:rsidRPr="004D53EC">
        <w:rPr>
          <w:sz w:val="24"/>
          <w:szCs w:val="24"/>
          <w:lang w:val="sq-AL"/>
        </w:rPr>
        <w:t>Erasmus</w:t>
      </w:r>
      <w:proofErr w:type="spellEnd"/>
      <w:r w:rsidRPr="004D53EC">
        <w:rPr>
          <w:sz w:val="24"/>
          <w:szCs w:val="24"/>
          <w:lang w:val="sq-AL"/>
        </w:rPr>
        <w:t xml:space="preserve">+ 2021-2027. Në vitin 2022, rreth 900 anëtarë të personelit të arsimit të lartë dhe 1 280 studentë nga Shqipëria u zgjodhën për të qenë pjesë e një periudhe </w:t>
      </w:r>
      <w:proofErr w:type="spellStart"/>
      <w:r w:rsidRPr="004D53EC">
        <w:rPr>
          <w:sz w:val="24"/>
          <w:szCs w:val="24"/>
          <w:lang w:val="sq-AL"/>
        </w:rPr>
        <w:t>mobiliteti</w:t>
      </w:r>
      <w:proofErr w:type="spellEnd"/>
      <w:r w:rsidRPr="004D53EC">
        <w:rPr>
          <w:sz w:val="24"/>
          <w:szCs w:val="24"/>
          <w:lang w:val="sq-AL"/>
        </w:rPr>
        <w:t xml:space="preserve"> në shtetet anëtare të BE-së ose vende të treta të lidhura me programin. Numri i projekteve për rritjen e kapaciteteve të arsimit të lartë të përzgjedhur për financim u rrit nga 12 në 2020 në 17 në 2022. Për herë të parë, institucionet e arsimit të lartë u kualifikuan për të marrë pjesë në thirrjen për propozime për nismën e universiteteve evropiane. Shqipëria po merr pjesë në grupet e punës të Zonës Evropiane të Arsimit 2021-2025.</w:t>
      </w:r>
    </w:p>
    <w:p w14:paraId="31879522" w14:textId="77777777" w:rsidR="006C790B" w:rsidRPr="004D53EC" w:rsidRDefault="006C790B" w:rsidP="006C790B">
      <w:pPr>
        <w:spacing w:before="120"/>
        <w:ind w:left="979" w:right="976"/>
        <w:jc w:val="both"/>
        <w:rPr>
          <w:sz w:val="24"/>
          <w:szCs w:val="24"/>
          <w:lang w:val="sq-AL"/>
        </w:rPr>
      </w:pPr>
      <w:r w:rsidRPr="004D53EC">
        <w:rPr>
          <w:sz w:val="24"/>
          <w:szCs w:val="24"/>
          <w:lang w:val="sq-AL"/>
        </w:rPr>
        <w:t xml:space="preserve">Në </w:t>
      </w:r>
      <w:r w:rsidRPr="004D53EC">
        <w:rPr>
          <w:b/>
          <w:sz w:val="24"/>
          <w:szCs w:val="24"/>
          <w:lang w:val="sq-AL"/>
        </w:rPr>
        <w:t>sektorin e kulturës</w:t>
      </w:r>
      <w:r w:rsidRPr="004D53EC">
        <w:rPr>
          <w:sz w:val="24"/>
          <w:szCs w:val="24"/>
          <w:lang w:val="sq-AL"/>
        </w:rPr>
        <w:t xml:space="preserve">, strategjia kombëtare 2019-2025 është në zbatim e sipër. Gjatë periudhës së raportimit u publikua regjistri kombëtar i trashëgimisë kulturore </w:t>
      </w:r>
      <w:proofErr w:type="spellStart"/>
      <w:r w:rsidRPr="004D53EC">
        <w:rPr>
          <w:sz w:val="24"/>
          <w:szCs w:val="24"/>
          <w:lang w:val="sq-AL"/>
        </w:rPr>
        <w:t>jomateriale</w:t>
      </w:r>
      <w:proofErr w:type="spellEnd"/>
      <w:r w:rsidRPr="004D53EC">
        <w:rPr>
          <w:sz w:val="24"/>
          <w:szCs w:val="24"/>
          <w:lang w:val="sq-AL"/>
        </w:rPr>
        <w:t xml:space="preserve"> shqiptare. Ky regjistër u krijua në përputhje me Konventën për Mbrojtjen e Trashëgimisë Kulturore </w:t>
      </w:r>
      <w:proofErr w:type="spellStart"/>
      <w:r w:rsidRPr="004D53EC">
        <w:rPr>
          <w:sz w:val="24"/>
          <w:szCs w:val="24"/>
          <w:lang w:val="sq-AL"/>
        </w:rPr>
        <w:t>Jomateriale</w:t>
      </w:r>
      <w:proofErr w:type="spellEnd"/>
      <w:r w:rsidRPr="004D53EC">
        <w:rPr>
          <w:sz w:val="24"/>
          <w:szCs w:val="24"/>
          <w:lang w:val="sq-AL"/>
        </w:rPr>
        <w:t xml:space="preserve"> dhe u publikua për herë të parë në një format </w:t>
      </w:r>
      <w:proofErr w:type="spellStart"/>
      <w:r w:rsidRPr="004D53EC">
        <w:rPr>
          <w:sz w:val="24"/>
          <w:szCs w:val="24"/>
          <w:lang w:val="sq-AL"/>
        </w:rPr>
        <w:t>online</w:t>
      </w:r>
      <w:proofErr w:type="spellEnd"/>
      <w:r w:rsidRPr="004D53EC">
        <w:rPr>
          <w:sz w:val="24"/>
          <w:szCs w:val="24"/>
          <w:lang w:val="sq-AL"/>
        </w:rPr>
        <w:t>. Autoritetet kompetente miratuan legjislacionin për krijimin dhe administrimin e bazës së të dhënave të pasurive kulturore të vjedhura dhe rregullat për monitorimin dhe vlerësimin e subjekteve që kanë pasuri kulturore nën administrim. Autoritetet duhet të miratojnë aktet e mbetura ligjore për Ligjin mbi trashëgiminë kulturore dhe muzetë, me qëllim që ligji të jetë plotësisht funksional.</w:t>
      </w:r>
    </w:p>
    <w:p w14:paraId="3970F43F" w14:textId="77777777" w:rsidR="006C790B" w:rsidRPr="004D53EC" w:rsidRDefault="006C790B" w:rsidP="006C790B">
      <w:pPr>
        <w:spacing w:before="119"/>
        <w:ind w:left="979" w:right="976"/>
        <w:jc w:val="both"/>
        <w:rPr>
          <w:sz w:val="24"/>
          <w:szCs w:val="24"/>
          <w:lang w:val="sq-AL"/>
        </w:rPr>
      </w:pPr>
      <w:r w:rsidRPr="004D53EC">
        <w:rPr>
          <w:sz w:val="24"/>
          <w:szCs w:val="24"/>
          <w:lang w:val="sq-AL"/>
        </w:rPr>
        <w:t xml:space="preserve">Shqipëria vazhdoi të marrë pjesë në programin e BE-së “Evropa krijuese” 2021-2027. </w:t>
      </w:r>
      <w:r w:rsidRPr="004D53EC">
        <w:rPr>
          <w:sz w:val="24"/>
          <w:szCs w:val="24"/>
          <w:lang w:val="sq-AL"/>
        </w:rPr>
        <w:lastRenderedPageBreak/>
        <w:t>Shqipëria duhet të përshpejtojë miratimin e legjislacionit zbatues dhe të sigurojë zbatimin efektiv të ligjit për trashëgiminë kulturore dhe muzetë, në përputhje me parimet e kuadrit të veprimeve për trashëgiminë kulturore.</w:t>
      </w:r>
    </w:p>
    <w:p w14:paraId="3D56E5E2" w14:textId="77777777" w:rsidR="006C790B" w:rsidRPr="004D53EC" w:rsidRDefault="006C790B" w:rsidP="006C790B">
      <w:pPr>
        <w:spacing w:before="120"/>
        <w:ind w:left="1039"/>
        <w:jc w:val="both"/>
        <w:outlineLvl w:val="0"/>
        <w:rPr>
          <w:b/>
          <w:bCs/>
          <w:sz w:val="24"/>
          <w:szCs w:val="24"/>
          <w:lang w:val="sq-AL"/>
        </w:rPr>
      </w:pPr>
      <w:bookmarkStart w:id="91" w:name="Chapter_29:_Customs_union"/>
      <w:bookmarkStart w:id="92" w:name="_bookmark52"/>
      <w:bookmarkEnd w:id="91"/>
      <w:bookmarkEnd w:id="92"/>
      <w:r w:rsidRPr="004D53EC">
        <w:rPr>
          <w:b/>
          <w:bCs/>
          <w:sz w:val="24"/>
          <w:szCs w:val="24"/>
          <w:lang w:val="sq-AL"/>
        </w:rPr>
        <w:t>Kapitulli 29: Bashkimi doganor</w:t>
      </w:r>
    </w:p>
    <w:p w14:paraId="49BDF681" w14:textId="02305EA8" w:rsidR="006C790B" w:rsidRPr="004D53EC" w:rsidRDefault="006C790B" w:rsidP="006C790B">
      <w:pPr>
        <w:spacing w:before="120"/>
        <w:ind w:left="979" w:right="976"/>
        <w:jc w:val="both"/>
        <w:rPr>
          <w:i/>
          <w:sz w:val="24"/>
          <w:lang w:val="sq-AL"/>
        </w:rPr>
      </w:pPr>
      <w:r w:rsidRPr="004D53EC">
        <w:rPr>
          <w:i/>
          <w:sz w:val="24"/>
          <w:lang w:val="sq-AL"/>
        </w:rPr>
        <w:t xml:space="preserve">Të gjitha shtetet anëtare të BE-së janë pjesë e bashkimit doganor të BE-së dhe ndjekin të njëjtat rregulla dhe procedura doganore. Kjo kërkon </w:t>
      </w:r>
      <w:proofErr w:type="spellStart"/>
      <w:r w:rsidRPr="004D53EC">
        <w:rPr>
          <w:i/>
          <w:sz w:val="24"/>
          <w:lang w:val="sq-AL"/>
        </w:rPr>
        <w:t>linjëzimin</w:t>
      </w:r>
      <w:proofErr w:type="spellEnd"/>
      <w:r w:rsidRPr="004D53EC">
        <w:rPr>
          <w:i/>
          <w:sz w:val="24"/>
          <w:lang w:val="sq-AL"/>
        </w:rPr>
        <w:t xml:space="preserve"> e legjislacionit, kapacite</w:t>
      </w:r>
      <w:r w:rsidR="000857D8">
        <w:rPr>
          <w:i/>
          <w:sz w:val="24"/>
          <w:lang w:val="sq-AL"/>
        </w:rPr>
        <w:t>te</w:t>
      </w:r>
      <w:r w:rsidRPr="004D53EC">
        <w:rPr>
          <w:i/>
          <w:sz w:val="24"/>
          <w:lang w:val="sq-AL"/>
        </w:rPr>
        <w:t xml:space="preserve"> të përshtatshme për zbatimin dhe imponimin e tij, si dhe </w:t>
      </w:r>
      <w:proofErr w:type="spellStart"/>
      <w:r w:rsidRPr="004D53EC">
        <w:rPr>
          <w:i/>
          <w:sz w:val="24"/>
          <w:lang w:val="sq-AL"/>
        </w:rPr>
        <w:t>akses</w:t>
      </w:r>
      <w:proofErr w:type="spellEnd"/>
      <w:r w:rsidRPr="004D53EC">
        <w:rPr>
          <w:i/>
          <w:sz w:val="24"/>
          <w:lang w:val="sq-AL"/>
        </w:rPr>
        <w:t xml:space="preserve"> në sistemet e kompjuterizuara doganore të përbashkëta.</w:t>
      </w:r>
    </w:p>
    <w:p w14:paraId="17A67FD1" w14:textId="77777777" w:rsidR="006C790B" w:rsidRPr="004D53EC" w:rsidRDefault="006C790B" w:rsidP="006C790B">
      <w:pPr>
        <w:spacing w:before="6"/>
        <w:rPr>
          <w:i/>
          <w:sz w:val="10"/>
          <w:szCs w:val="24"/>
          <w:lang w:val="sq-AL"/>
        </w:rPr>
      </w:pPr>
    </w:p>
    <w:p w14:paraId="69823D4E" w14:textId="77777777" w:rsidR="006C790B" w:rsidRPr="004D53EC" w:rsidRDefault="006C790B" w:rsidP="006C790B">
      <w:pPr>
        <w:spacing w:before="6"/>
        <w:rPr>
          <w:i/>
          <w:sz w:val="10"/>
          <w:szCs w:val="24"/>
          <w:lang w:val="sq-AL"/>
        </w:rPr>
      </w:pP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4"/>
      </w:tblGrid>
      <w:tr w:rsidR="006C790B" w:rsidRPr="004D53EC" w14:paraId="24FBEB42" w14:textId="77777777" w:rsidTr="005760FF">
        <w:trPr>
          <w:trHeight w:val="2051"/>
        </w:trPr>
        <w:tc>
          <w:tcPr>
            <w:tcW w:w="9254" w:type="dxa"/>
            <w:tcBorders>
              <w:bottom w:val="nil"/>
            </w:tcBorders>
            <w:shd w:val="clear" w:color="auto" w:fill="D9D9D9"/>
          </w:tcPr>
          <w:p w14:paraId="4476C502" w14:textId="77777777" w:rsidR="006C790B" w:rsidRPr="004D53EC" w:rsidRDefault="006C790B" w:rsidP="006C790B">
            <w:pPr>
              <w:spacing w:before="19"/>
              <w:ind w:left="113" w:right="100"/>
              <w:jc w:val="both"/>
              <w:rPr>
                <w:sz w:val="24"/>
                <w:lang w:val="sq-AL"/>
              </w:rPr>
            </w:pPr>
            <w:r w:rsidRPr="004D53EC">
              <w:rPr>
                <w:sz w:val="24"/>
                <w:lang w:val="sq-AL"/>
              </w:rPr>
              <w:t xml:space="preserve">Shqipëria ka </w:t>
            </w:r>
            <w:r w:rsidRPr="004D53EC">
              <w:rPr>
                <w:b/>
                <w:sz w:val="24"/>
                <w:lang w:val="sq-AL"/>
              </w:rPr>
              <w:t>përgatitje mesatare</w:t>
            </w:r>
            <w:r w:rsidRPr="004D53EC">
              <w:rPr>
                <w:sz w:val="24"/>
                <w:lang w:val="sq-AL"/>
              </w:rPr>
              <w:t xml:space="preserve"> në fushën e bashkimit doganor. Është bërë </w:t>
            </w:r>
            <w:r w:rsidRPr="004D53EC">
              <w:rPr>
                <w:b/>
                <w:sz w:val="24"/>
                <w:lang w:val="sq-AL"/>
              </w:rPr>
              <w:t>progres i kufizuar</w:t>
            </w:r>
            <w:r w:rsidRPr="004D53EC">
              <w:rPr>
                <w:sz w:val="24"/>
                <w:lang w:val="sq-AL"/>
              </w:rPr>
              <w:t xml:space="preserve"> në programin e operatorit të autorizuar ekonomik dhe punë përgatitore për zhvillimin e Sistemit të Ri të Kompjuterizuar të Transitit. Rekomandimet e vitit të kaluar mbeten ende në fuqi.</w:t>
            </w:r>
          </w:p>
          <w:p w14:paraId="1B70B83E" w14:textId="77777777" w:rsidR="006C790B" w:rsidRPr="004D53EC" w:rsidRDefault="006C790B" w:rsidP="006C790B">
            <w:pPr>
              <w:spacing w:before="19"/>
              <w:ind w:left="13" w:right="100"/>
              <w:jc w:val="both"/>
              <w:rPr>
                <w:sz w:val="24"/>
                <w:lang w:val="sq-AL"/>
              </w:rPr>
            </w:pPr>
          </w:p>
          <w:p w14:paraId="4E58E62F" w14:textId="77777777" w:rsidR="006C790B" w:rsidRPr="004D53EC" w:rsidRDefault="006C790B" w:rsidP="006C790B">
            <w:pPr>
              <w:spacing w:before="120"/>
              <w:ind w:left="113"/>
              <w:jc w:val="both"/>
              <w:rPr>
                <w:sz w:val="24"/>
                <w:lang w:val="sq-AL"/>
              </w:rPr>
            </w:pPr>
            <w:r w:rsidRPr="004D53EC">
              <w:rPr>
                <w:sz w:val="24"/>
                <w:lang w:val="sq-AL"/>
              </w:rPr>
              <w:t>Në vitin e ardhshëm, vendi duhet në veçanti</w:t>
            </w:r>
            <w:r w:rsidRPr="004D53EC">
              <w:rPr>
                <w:spacing w:val="-2"/>
                <w:sz w:val="24"/>
                <w:lang w:val="sq-AL"/>
              </w:rPr>
              <w:t>:</w:t>
            </w:r>
          </w:p>
          <w:p w14:paraId="438373BD" w14:textId="77777777" w:rsidR="006C790B" w:rsidRPr="004D53EC" w:rsidRDefault="006C790B" w:rsidP="006C790B">
            <w:pPr>
              <w:spacing w:before="120"/>
              <w:ind w:left="113"/>
              <w:jc w:val="both"/>
              <w:rPr>
                <w:sz w:val="24"/>
                <w:lang w:val="sq-AL"/>
              </w:rPr>
            </w:pPr>
            <w:r w:rsidRPr="004D53EC">
              <w:rPr>
                <w:rFonts w:ascii="Symbol" w:hAnsi="Symbol"/>
                <w:sz w:val="24"/>
                <w:lang w:val="sq-AL"/>
              </w:rPr>
              <w:t></w:t>
            </w:r>
            <w:r w:rsidRPr="004D53EC">
              <w:rPr>
                <w:spacing w:val="58"/>
                <w:sz w:val="24"/>
                <w:lang w:val="sq-AL"/>
              </w:rPr>
              <w:t xml:space="preserve"> </w:t>
            </w:r>
            <w:r w:rsidRPr="004D53EC">
              <w:rPr>
                <w:sz w:val="24"/>
                <w:lang w:val="sq-AL"/>
              </w:rPr>
              <w:t>të miratojë dispozitat ligjore dhe të zhvillojë Sistemin e Ri të Kompjuterizuar të Transitit</w:t>
            </w:r>
            <w:r w:rsidRPr="004D53EC">
              <w:rPr>
                <w:spacing w:val="-2"/>
                <w:sz w:val="24"/>
                <w:lang w:val="sq-AL"/>
              </w:rPr>
              <w:t>;</w:t>
            </w:r>
          </w:p>
        </w:tc>
      </w:tr>
      <w:tr w:rsidR="006C790B" w:rsidRPr="004D53EC" w14:paraId="07E4EF7C" w14:textId="77777777" w:rsidTr="005760FF">
        <w:trPr>
          <w:trHeight w:val="1553"/>
        </w:trPr>
        <w:tc>
          <w:tcPr>
            <w:tcW w:w="9254" w:type="dxa"/>
            <w:tcBorders>
              <w:top w:val="nil"/>
            </w:tcBorders>
            <w:shd w:val="clear" w:color="auto" w:fill="D9D9D9"/>
          </w:tcPr>
          <w:p w14:paraId="2CAABC67" w14:textId="77777777" w:rsidR="006C790B" w:rsidRPr="004D53EC" w:rsidRDefault="006C790B" w:rsidP="006C790B">
            <w:pPr>
              <w:ind w:left="473" w:right="100" w:hanging="360"/>
              <w:jc w:val="both"/>
              <w:rPr>
                <w:sz w:val="24"/>
                <w:lang w:val="sq-AL"/>
              </w:rPr>
            </w:pPr>
            <w:r w:rsidRPr="004D53EC">
              <w:rPr>
                <w:rFonts w:ascii="Symbol" w:hAnsi="Symbol"/>
                <w:sz w:val="24"/>
                <w:lang w:val="sq-AL"/>
              </w:rPr>
              <w:t></w:t>
            </w:r>
            <w:r w:rsidRPr="004D53EC">
              <w:rPr>
                <w:sz w:val="24"/>
                <w:lang w:val="sq-AL"/>
              </w:rPr>
              <w:t xml:space="preserve"> të vazhdojë përpjekjet për vijimin e luftës kundër kontrabandës, korrupsionit dhe importeve të produkteve të falsifikuara, duke përfshirë forcimin e kapaciteteve administrative dhe përmirësimin e bashkëpunimit ndërmjet organeve të përfshira;</w:t>
            </w:r>
          </w:p>
          <w:p w14:paraId="2D0A86DF" w14:textId="77777777" w:rsidR="006C790B" w:rsidRPr="004D53EC" w:rsidRDefault="006C790B" w:rsidP="006C790B">
            <w:pPr>
              <w:spacing w:before="118" w:line="270" w:lineRule="atLeast"/>
              <w:ind w:left="473" w:right="100" w:hanging="360"/>
              <w:jc w:val="both"/>
              <w:rPr>
                <w:sz w:val="24"/>
                <w:lang w:val="sq-AL"/>
              </w:rPr>
            </w:pPr>
            <w:r w:rsidRPr="004D53EC">
              <w:rPr>
                <w:rFonts w:ascii="Symbol" w:hAnsi="Symbol"/>
                <w:sz w:val="24"/>
                <w:lang w:val="sq-AL"/>
              </w:rPr>
              <w:t></w:t>
            </w:r>
            <w:r w:rsidRPr="004D53EC">
              <w:rPr>
                <w:sz w:val="24"/>
                <w:lang w:val="sq-AL"/>
              </w:rPr>
              <w:t xml:space="preserve"> aderojë në Konventën Kuadër të OBSH-së për Protokollin e Kontrollit të Duhanit për Eliminimin e Tregtisë së Paligjshme të Produkteve të Duhanit.</w:t>
            </w:r>
          </w:p>
        </w:tc>
      </w:tr>
    </w:tbl>
    <w:p w14:paraId="74C40CAF" w14:textId="77777777" w:rsidR="006C790B" w:rsidRPr="004D53EC" w:rsidRDefault="006C790B" w:rsidP="006C790B">
      <w:pPr>
        <w:spacing w:before="143"/>
        <w:ind w:left="979" w:right="976"/>
        <w:jc w:val="both"/>
        <w:rPr>
          <w:sz w:val="24"/>
          <w:szCs w:val="24"/>
          <w:lang w:val="sq-AL"/>
        </w:rPr>
      </w:pPr>
      <w:r w:rsidRPr="004D53EC">
        <w:rPr>
          <w:sz w:val="24"/>
          <w:szCs w:val="24"/>
          <w:lang w:val="sq-AL"/>
        </w:rPr>
        <w:t xml:space="preserve">Për sa i përket </w:t>
      </w:r>
      <w:r w:rsidRPr="004D53EC">
        <w:rPr>
          <w:b/>
          <w:sz w:val="24"/>
          <w:szCs w:val="24"/>
          <w:lang w:val="sq-AL"/>
        </w:rPr>
        <w:t>legjislacionit doganor</w:t>
      </w:r>
      <w:r w:rsidRPr="004D53EC">
        <w:rPr>
          <w:sz w:val="24"/>
          <w:szCs w:val="24"/>
          <w:lang w:val="sq-AL"/>
        </w:rPr>
        <w:t xml:space="preserve">, kodi doganor i Shqipërisë është harmonizuar gjerësisht me </w:t>
      </w:r>
      <w:proofErr w:type="spellStart"/>
      <w:r w:rsidRPr="004D53EC">
        <w:rPr>
          <w:sz w:val="24"/>
          <w:szCs w:val="24"/>
          <w:lang w:val="sq-AL"/>
        </w:rPr>
        <w:t>acquis</w:t>
      </w:r>
      <w:proofErr w:type="spellEnd"/>
      <w:r w:rsidRPr="004D53EC">
        <w:rPr>
          <w:sz w:val="24"/>
          <w:szCs w:val="24"/>
          <w:lang w:val="sq-AL"/>
        </w:rPr>
        <w:t xml:space="preserve"> të BE-së. Megjithatë, vendosja e “tarifave të skanimit” për çdo deklaratë doganore vazhdon të jetë në kundërshtim me Marrëveshjen e Stabilizim-</w:t>
      </w:r>
      <w:proofErr w:type="spellStart"/>
      <w:r w:rsidRPr="004D53EC">
        <w:rPr>
          <w:sz w:val="24"/>
          <w:szCs w:val="24"/>
          <w:lang w:val="sq-AL"/>
        </w:rPr>
        <w:t>Asociimit</w:t>
      </w:r>
      <w:proofErr w:type="spellEnd"/>
      <w:r w:rsidRPr="004D53EC">
        <w:rPr>
          <w:sz w:val="24"/>
          <w:szCs w:val="24"/>
          <w:lang w:val="sq-AL"/>
        </w:rPr>
        <w:t xml:space="preserve">, e cila ndalon detyrimet doganore ose tarifat me efekt të njëjtë në tregtinë ndërmjet BE-së dhe Shqipërisë. </w:t>
      </w:r>
    </w:p>
    <w:p w14:paraId="20278EF6" w14:textId="77777777" w:rsidR="006C790B" w:rsidRPr="004D53EC" w:rsidRDefault="006C790B" w:rsidP="006C790B">
      <w:pPr>
        <w:spacing w:before="121"/>
        <w:ind w:left="979" w:right="976"/>
        <w:jc w:val="both"/>
        <w:rPr>
          <w:sz w:val="24"/>
          <w:szCs w:val="24"/>
          <w:lang w:val="sq-AL"/>
        </w:rPr>
      </w:pPr>
      <w:r w:rsidRPr="004D53EC">
        <w:rPr>
          <w:sz w:val="24"/>
          <w:szCs w:val="24"/>
          <w:lang w:val="sq-AL"/>
        </w:rPr>
        <w:t>Puna parapërgatitore për zhvillimin e një Dritareje të Vetme Kombëtare dhe Sistemit të Ri të Kompjuterizuar të Transitit ka vazhduar përmes bashkëpunimit me ekspertë ndërkombëtarë në këtë fushë. Është kryer një analizë ligjore dhe kanë filluar procedurat e prokurimit.</w:t>
      </w:r>
    </w:p>
    <w:p w14:paraId="28A430BC" w14:textId="77777777" w:rsidR="006C790B" w:rsidRPr="004D53EC" w:rsidRDefault="006C790B" w:rsidP="006C790B">
      <w:pPr>
        <w:spacing w:before="118"/>
        <w:ind w:left="980" w:right="976"/>
        <w:jc w:val="both"/>
        <w:rPr>
          <w:sz w:val="24"/>
          <w:szCs w:val="24"/>
          <w:lang w:val="sq-AL"/>
        </w:rPr>
      </w:pPr>
      <w:r w:rsidRPr="004D53EC">
        <w:rPr>
          <w:sz w:val="24"/>
          <w:szCs w:val="24"/>
          <w:lang w:val="sq-AL"/>
        </w:rPr>
        <w:t xml:space="preserve">Shqipëria po zbaton programin e operatorit ekonomik të autorizuar (AEO) me 11 AEO në qershor 2023 (dhe 9 </w:t>
      </w:r>
      <w:proofErr w:type="spellStart"/>
      <w:r w:rsidRPr="004D53EC">
        <w:rPr>
          <w:sz w:val="24"/>
          <w:szCs w:val="24"/>
          <w:lang w:val="sq-AL"/>
        </w:rPr>
        <w:t>aplikues</w:t>
      </w:r>
      <w:proofErr w:type="spellEnd"/>
      <w:r w:rsidRPr="004D53EC">
        <w:rPr>
          <w:sz w:val="24"/>
          <w:szCs w:val="24"/>
          <w:lang w:val="sq-AL"/>
        </w:rPr>
        <w:t xml:space="preserve"> janë në shqyrtim). Kanë vazhduar aktivitetet </w:t>
      </w:r>
      <w:proofErr w:type="spellStart"/>
      <w:r w:rsidRPr="004D53EC">
        <w:rPr>
          <w:sz w:val="24"/>
          <w:szCs w:val="24"/>
          <w:lang w:val="sq-AL"/>
        </w:rPr>
        <w:t>ndërgjegjësuese</w:t>
      </w:r>
      <w:proofErr w:type="spellEnd"/>
      <w:r w:rsidRPr="004D53EC">
        <w:rPr>
          <w:sz w:val="24"/>
          <w:szCs w:val="24"/>
          <w:lang w:val="sq-AL"/>
        </w:rPr>
        <w:t xml:space="preserve"> lidhur me përfitimet nga programi. Në vitin 2022 u nënshkruan me Serbinë dhe Maqedoninë e Veriut protokollet për njohjen reciproke të operatorëve ekonomikë të autorizuar. Në shtator 2022, një memorandum mirëkuptimi u nënshkrua midis Drejtorisë Doganore Shqiptare dhe Agjencisë Italiane të Doganave dhe Monopoleve, duke përmirësuar bashkëpunimin doganor në lidhje me mallrat e transportuara në rrugë detare. Një protokoll është nënshkruar edhe me Doganën e Kosovës, i cili bën të mundur që mallrat e destinuara për Kosovën të zhdoganohen në zyrat e Durrësit dhe Porto.</w:t>
      </w:r>
    </w:p>
    <w:p w14:paraId="3DEE6D12" w14:textId="77777777" w:rsidR="006C790B" w:rsidRPr="004D53EC" w:rsidRDefault="006C790B" w:rsidP="006C790B">
      <w:pPr>
        <w:spacing w:before="121"/>
        <w:ind w:left="980" w:right="976" w:firstLine="60"/>
        <w:jc w:val="both"/>
        <w:rPr>
          <w:sz w:val="24"/>
          <w:szCs w:val="24"/>
          <w:lang w:val="sq-AL"/>
        </w:rPr>
      </w:pPr>
      <w:r w:rsidRPr="004D53EC">
        <w:rPr>
          <w:sz w:val="24"/>
          <w:szCs w:val="24"/>
          <w:lang w:val="sq-AL"/>
        </w:rPr>
        <w:t>Që nga shtatori 2021 Shqipëria ka aplikuar rregullat e reja kalimtare të origjinës preferenciale të Konventës Pan-Euro-Mesdhetare për tregtinë dypalëshe me BE-në.</w:t>
      </w:r>
    </w:p>
    <w:p w14:paraId="7EDB1E08" w14:textId="77777777" w:rsidR="006C790B" w:rsidRPr="004D53EC" w:rsidRDefault="006C790B" w:rsidP="006C790B">
      <w:pPr>
        <w:spacing w:before="120"/>
        <w:ind w:left="980" w:right="977"/>
        <w:jc w:val="both"/>
        <w:rPr>
          <w:sz w:val="24"/>
          <w:szCs w:val="24"/>
          <w:lang w:val="sq-AL"/>
        </w:rPr>
      </w:pPr>
      <w:r w:rsidRPr="004D53EC">
        <w:rPr>
          <w:sz w:val="24"/>
          <w:szCs w:val="24"/>
          <w:lang w:val="sq-AL"/>
        </w:rPr>
        <w:t xml:space="preserve">Dispozitat e kodit doganor për vlerësimin janë përshtatur me rregullat e BE-së. Sistemi i menaxhimit të rrezikut është i automatizuar dhe krahason të dhënat e importit, eksportit dhe transitit kundrejt profileve të rreziqeve aktive. Sistemi themelor i automatizuar për të dhënat doganore po përditësohet për të përmirësuar analizën e rrezikut. Legjislacioni për zbatimin doganor të </w:t>
      </w:r>
      <w:proofErr w:type="spellStart"/>
      <w:r w:rsidRPr="004D53EC">
        <w:rPr>
          <w:sz w:val="24"/>
          <w:szCs w:val="24"/>
          <w:lang w:val="sq-AL"/>
        </w:rPr>
        <w:t>të</w:t>
      </w:r>
      <w:proofErr w:type="spellEnd"/>
      <w:r w:rsidRPr="004D53EC">
        <w:rPr>
          <w:sz w:val="24"/>
          <w:szCs w:val="24"/>
          <w:lang w:val="sq-AL"/>
        </w:rPr>
        <w:t xml:space="preserve"> drejtave të pronësisë intelektuale (IPR) është i harmonizuar me </w:t>
      </w:r>
      <w:proofErr w:type="spellStart"/>
      <w:r w:rsidRPr="004D53EC">
        <w:rPr>
          <w:i/>
          <w:sz w:val="24"/>
          <w:szCs w:val="24"/>
          <w:lang w:val="sq-AL"/>
        </w:rPr>
        <w:t>acquis</w:t>
      </w:r>
      <w:proofErr w:type="spellEnd"/>
      <w:r w:rsidRPr="004D53EC">
        <w:rPr>
          <w:sz w:val="24"/>
          <w:szCs w:val="24"/>
          <w:lang w:val="sq-AL"/>
        </w:rPr>
        <w:t xml:space="preserve"> të BE-së. </w:t>
      </w:r>
    </w:p>
    <w:p w14:paraId="371C1896" w14:textId="77777777" w:rsidR="006C790B" w:rsidRPr="004D53EC" w:rsidRDefault="006C790B" w:rsidP="006C790B">
      <w:pPr>
        <w:spacing w:before="120"/>
        <w:ind w:left="980" w:right="976"/>
        <w:jc w:val="both"/>
        <w:rPr>
          <w:sz w:val="24"/>
          <w:szCs w:val="24"/>
          <w:lang w:val="sq-AL"/>
        </w:rPr>
      </w:pPr>
      <w:r w:rsidRPr="004D53EC">
        <w:rPr>
          <w:sz w:val="24"/>
          <w:szCs w:val="24"/>
          <w:lang w:val="sq-AL"/>
        </w:rPr>
        <w:t xml:space="preserve">Si pjesë e përpjekjeve kundër mashtrimit, rekomandohet që Shqipëria të aderojë në Protokollin </w:t>
      </w:r>
      <w:r w:rsidRPr="004D53EC">
        <w:rPr>
          <w:sz w:val="24"/>
          <w:szCs w:val="24"/>
          <w:lang w:val="sq-AL"/>
        </w:rPr>
        <w:lastRenderedPageBreak/>
        <w:t xml:space="preserve">e Konventës Kuadër të OBSH-së për Kontrollin e Duhanit (ËHO FCTC) për Eliminimin e Tregtisë së Paligjshme të Produkteve të Duhanit. </w:t>
      </w:r>
    </w:p>
    <w:p w14:paraId="4BE7F9C0" w14:textId="77777777" w:rsidR="006C790B" w:rsidRPr="004D53EC" w:rsidRDefault="006C790B" w:rsidP="006C790B">
      <w:pPr>
        <w:spacing w:before="120"/>
        <w:ind w:left="980" w:right="977"/>
        <w:jc w:val="both"/>
        <w:rPr>
          <w:sz w:val="24"/>
          <w:szCs w:val="24"/>
          <w:lang w:val="sq-AL"/>
        </w:rPr>
      </w:pPr>
      <w:r w:rsidRPr="004D53EC">
        <w:rPr>
          <w:sz w:val="24"/>
          <w:szCs w:val="24"/>
          <w:lang w:val="sq-AL"/>
        </w:rPr>
        <w:t xml:space="preserve">Rregullat kombëtare për paratë e gatshme dhe mallrat e transportuara në bagazhet e udhëtarëve ende ndryshojnë nga </w:t>
      </w:r>
      <w:proofErr w:type="spellStart"/>
      <w:r w:rsidRPr="004D53EC">
        <w:rPr>
          <w:i/>
          <w:sz w:val="24"/>
          <w:szCs w:val="24"/>
          <w:lang w:val="sq-AL"/>
        </w:rPr>
        <w:t>acquis</w:t>
      </w:r>
      <w:proofErr w:type="spellEnd"/>
      <w:r w:rsidRPr="004D53EC">
        <w:rPr>
          <w:sz w:val="24"/>
          <w:szCs w:val="24"/>
          <w:lang w:val="sq-AL"/>
        </w:rPr>
        <w:t xml:space="preserve"> e BE-së për sa i përket shumave që duhen deklaruar dhe formularit të deklaratës. Autoritetet doganore shqiptare mund të vendosin sanksione për </w:t>
      </w:r>
      <w:proofErr w:type="spellStart"/>
      <w:r w:rsidRPr="004D53EC">
        <w:rPr>
          <w:sz w:val="24"/>
          <w:szCs w:val="24"/>
          <w:lang w:val="sq-AL"/>
        </w:rPr>
        <w:t>mosdeklarime</w:t>
      </w:r>
      <w:proofErr w:type="spellEnd"/>
      <w:r w:rsidRPr="004D53EC">
        <w:rPr>
          <w:sz w:val="24"/>
          <w:szCs w:val="24"/>
          <w:lang w:val="sq-AL"/>
        </w:rPr>
        <w:t xml:space="preserve"> ose </w:t>
      </w:r>
      <w:proofErr w:type="spellStart"/>
      <w:r w:rsidRPr="004D53EC">
        <w:rPr>
          <w:sz w:val="24"/>
          <w:szCs w:val="24"/>
          <w:lang w:val="sq-AL"/>
        </w:rPr>
        <w:t>keqdeklarime</w:t>
      </w:r>
      <w:proofErr w:type="spellEnd"/>
      <w:r w:rsidRPr="004D53EC">
        <w:rPr>
          <w:sz w:val="24"/>
          <w:szCs w:val="24"/>
          <w:lang w:val="sq-AL"/>
        </w:rPr>
        <w:t xml:space="preserve"> të parave të gatshme në kufi.</w:t>
      </w:r>
    </w:p>
    <w:p w14:paraId="1D650AA0" w14:textId="77777777" w:rsidR="006C790B" w:rsidRPr="004D53EC" w:rsidRDefault="006C790B" w:rsidP="006C790B">
      <w:pPr>
        <w:spacing w:before="120"/>
        <w:ind w:left="980" w:right="976"/>
        <w:jc w:val="both"/>
        <w:rPr>
          <w:sz w:val="24"/>
          <w:szCs w:val="24"/>
          <w:lang w:val="sq-AL"/>
        </w:rPr>
      </w:pPr>
      <w:r w:rsidRPr="004D53EC">
        <w:rPr>
          <w:sz w:val="24"/>
          <w:szCs w:val="24"/>
          <w:lang w:val="sq-AL"/>
        </w:rPr>
        <w:t xml:space="preserve">Për </w:t>
      </w:r>
      <w:r w:rsidRPr="004D53EC">
        <w:rPr>
          <w:b/>
          <w:sz w:val="24"/>
          <w:szCs w:val="24"/>
          <w:lang w:val="sq-AL"/>
        </w:rPr>
        <w:t xml:space="preserve">kapacitetin administrativ dhe </w:t>
      </w:r>
      <w:proofErr w:type="spellStart"/>
      <w:r w:rsidRPr="004D53EC">
        <w:rPr>
          <w:b/>
          <w:sz w:val="24"/>
          <w:szCs w:val="24"/>
          <w:lang w:val="sq-AL"/>
        </w:rPr>
        <w:t>operacional</w:t>
      </w:r>
      <w:proofErr w:type="spellEnd"/>
      <w:r w:rsidRPr="004D53EC">
        <w:rPr>
          <w:sz w:val="24"/>
          <w:szCs w:val="24"/>
          <w:lang w:val="sq-AL"/>
        </w:rPr>
        <w:t xml:space="preserve">, pesë zyrtarë të autoritetit doganor u certifikuan nga Agjencia e BE-së për Bashkëpunim në Zbatimin e Ligjit, si përdorues dhe trajnerë të </w:t>
      </w:r>
      <w:proofErr w:type="spellStart"/>
      <w:r w:rsidRPr="004D53EC">
        <w:rPr>
          <w:sz w:val="24"/>
          <w:szCs w:val="24"/>
          <w:lang w:val="sq-AL"/>
        </w:rPr>
        <w:t>të</w:t>
      </w:r>
      <w:proofErr w:type="spellEnd"/>
      <w:r w:rsidRPr="004D53EC">
        <w:rPr>
          <w:sz w:val="24"/>
          <w:szCs w:val="24"/>
          <w:lang w:val="sq-AL"/>
        </w:rPr>
        <w:t xml:space="preserve"> aplikacionit të sigurt të rrjetit të shkëmbimit të informacionit. Sistemi INES+ (kontrolli inteligjent i trafikut) është përdorur për administrimin e rasteve të shkeljes së të drejtave të pronësisë intelektuale, me synimin për të rritur luftën kundër importeve të produkteve të falsifikuara. Në fund të vitit 2022, 38 nga 41 shërbime doganore ishin të </w:t>
      </w:r>
      <w:proofErr w:type="spellStart"/>
      <w:r w:rsidRPr="004D53EC">
        <w:rPr>
          <w:sz w:val="24"/>
          <w:szCs w:val="24"/>
          <w:lang w:val="sq-AL"/>
        </w:rPr>
        <w:t>aksesueshme</w:t>
      </w:r>
      <w:proofErr w:type="spellEnd"/>
      <w:r w:rsidRPr="004D53EC">
        <w:rPr>
          <w:sz w:val="24"/>
          <w:szCs w:val="24"/>
          <w:lang w:val="sq-AL"/>
        </w:rPr>
        <w:t xml:space="preserve"> </w:t>
      </w:r>
      <w:proofErr w:type="spellStart"/>
      <w:r w:rsidRPr="004D53EC">
        <w:rPr>
          <w:sz w:val="24"/>
          <w:szCs w:val="24"/>
          <w:lang w:val="sq-AL"/>
        </w:rPr>
        <w:t>online</w:t>
      </w:r>
      <w:proofErr w:type="spellEnd"/>
      <w:r w:rsidRPr="004D53EC">
        <w:rPr>
          <w:sz w:val="24"/>
          <w:szCs w:val="24"/>
          <w:lang w:val="sq-AL"/>
        </w:rPr>
        <w:t xml:space="preserve"> nëpërmjet portalit e-Albania.</w:t>
      </w:r>
    </w:p>
    <w:p w14:paraId="485567BA" w14:textId="77777777" w:rsidR="006C790B" w:rsidRPr="004D53EC" w:rsidRDefault="006C790B" w:rsidP="006C790B">
      <w:pPr>
        <w:spacing w:before="120"/>
        <w:ind w:left="980" w:right="976"/>
        <w:jc w:val="both"/>
        <w:rPr>
          <w:sz w:val="24"/>
          <w:szCs w:val="24"/>
          <w:lang w:val="sq-AL"/>
        </w:rPr>
      </w:pPr>
      <w:r w:rsidRPr="004D53EC">
        <w:rPr>
          <w:sz w:val="24"/>
          <w:szCs w:val="24"/>
          <w:lang w:val="sq-AL"/>
        </w:rPr>
        <w:t xml:space="preserve">Për sa i përket </w:t>
      </w:r>
      <w:r w:rsidRPr="004D53EC">
        <w:rPr>
          <w:b/>
          <w:sz w:val="24"/>
          <w:szCs w:val="24"/>
          <w:lang w:val="sq-AL"/>
        </w:rPr>
        <w:t>parandalimit të korrupsionit</w:t>
      </w:r>
      <w:r w:rsidRPr="004D53EC">
        <w:rPr>
          <w:sz w:val="24"/>
          <w:szCs w:val="24"/>
          <w:lang w:val="sq-AL"/>
        </w:rPr>
        <w:t xml:space="preserve">, </w:t>
      </w:r>
      <w:bookmarkStart w:id="93" w:name="Cluster_4:_The_Green_agenda_and_sustaina"/>
      <w:bookmarkStart w:id="94" w:name="_bookmark53"/>
      <w:bookmarkEnd w:id="93"/>
      <w:bookmarkEnd w:id="94"/>
      <w:r w:rsidRPr="004D53EC">
        <w:rPr>
          <w:sz w:val="24"/>
          <w:szCs w:val="24"/>
          <w:lang w:val="sq-AL"/>
        </w:rPr>
        <w:t>një strukturë e re organizative doganore hyri në fuqi në maj 2022 për të trajtuar sfidat e konstatuara, siç janë linjat e raportimit të koordinatorit kundër korrupsionit. Në maj 2023, Dogana botoi një “libër jeshil” ku raportohet mbi progresin në vitin 2022 dhe theksohen prioritetet për vitin e ardhshëm.</w:t>
      </w:r>
    </w:p>
    <w:p w14:paraId="0F792EFA" w14:textId="77777777" w:rsidR="006C790B" w:rsidRPr="004D53EC" w:rsidRDefault="006C790B" w:rsidP="006C790B">
      <w:pPr>
        <w:spacing w:before="120"/>
        <w:ind w:left="980" w:right="976"/>
        <w:jc w:val="both"/>
        <w:rPr>
          <w:sz w:val="24"/>
          <w:szCs w:val="24"/>
          <w:lang w:val="sq-AL"/>
        </w:rPr>
      </w:pPr>
    </w:p>
    <w:p w14:paraId="370BEF95" w14:textId="77777777" w:rsidR="006C790B" w:rsidRPr="004D53EC" w:rsidRDefault="006C790B" w:rsidP="006C790B">
      <w:pPr>
        <w:spacing w:before="120"/>
        <w:ind w:left="980" w:right="976"/>
        <w:jc w:val="both"/>
        <w:rPr>
          <w:b/>
          <w:sz w:val="19"/>
          <w:szCs w:val="24"/>
          <w:lang w:val="sq-AL"/>
        </w:rPr>
      </w:pPr>
      <w:r w:rsidRPr="004D53EC">
        <w:rPr>
          <w:b/>
          <w:sz w:val="19"/>
          <w:szCs w:val="24"/>
          <w:lang w:val="sq-AL"/>
        </w:rPr>
        <w:t>GRUP 4: AGJENDA E GJELBËR DHE KONEKTIVITETI I QËNDRUESHËM</w:t>
      </w:r>
    </w:p>
    <w:p w14:paraId="5FF2FAE6" w14:textId="77777777" w:rsidR="006C790B" w:rsidRPr="004D53EC" w:rsidRDefault="006C790B" w:rsidP="006C790B">
      <w:pPr>
        <w:spacing w:before="120"/>
        <w:ind w:left="980" w:right="976"/>
        <w:jc w:val="both"/>
        <w:rPr>
          <w:sz w:val="24"/>
          <w:szCs w:val="24"/>
          <w:lang w:val="sq-AL"/>
        </w:rPr>
      </w:pPr>
      <w:r w:rsidRPr="004D53EC">
        <w:rPr>
          <w:sz w:val="24"/>
          <w:szCs w:val="24"/>
          <w:lang w:val="sq-AL"/>
        </w:rPr>
        <w:t>Ky grup mbulon: politikën e transportit (Kapitulli 14); energjinë (Kapitulli 15); rrjetet trans-evropiane (Kapitulli 21); dhe mjedisin dhe ndryshimet klimatike (Kapitulli 27). Shqipëria ka përgatitje mesatare dhe të mirë për energjinë. Ajo ka një përgatitje të mjaftueshme në fushën e transportit, rrjetet trans-evropiane, mjedisit dhe ndryshimeve klimatike. Vendi ka bërë përparim të mirë në fushën e energjisë dhe rrjeteve trans-evropiane, veçanërisht në reformën e tregut të energjisë elektrike dhe në zhvillimin e rrjeteve të transportit dhe energjisë. Është bërë përparim i kufizuar në fushat e transportit dhe mjedisit dhe ndryshimeve klimatike</w:t>
      </w:r>
    </w:p>
    <w:p w14:paraId="0790263F" w14:textId="77777777" w:rsidR="006C790B" w:rsidRPr="004D53EC" w:rsidRDefault="006C790B" w:rsidP="006C790B">
      <w:pPr>
        <w:keepNext/>
        <w:keepLines/>
        <w:spacing w:before="40"/>
        <w:jc w:val="both"/>
        <w:outlineLvl w:val="2"/>
        <w:rPr>
          <w:rFonts w:eastAsiaTheme="majorEastAsia" w:cstheme="majorBidi"/>
          <w:b/>
          <w:bCs/>
          <w:color w:val="000000" w:themeColor="text1"/>
          <w:sz w:val="24"/>
          <w:szCs w:val="24"/>
          <w:lang w:val="sq-AL"/>
        </w:rPr>
      </w:pPr>
      <w:r w:rsidRPr="004D53EC">
        <w:rPr>
          <w:rFonts w:eastAsiaTheme="majorEastAsia" w:cstheme="majorBidi"/>
          <w:color w:val="000000" w:themeColor="text1"/>
          <w:sz w:val="24"/>
          <w:szCs w:val="24"/>
          <w:lang w:val="sq-AL"/>
        </w:rPr>
        <w:t>.</w:t>
      </w:r>
    </w:p>
    <w:p w14:paraId="4017E673" w14:textId="77777777" w:rsidR="006C790B" w:rsidRPr="004D53EC" w:rsidRDefault="006C790B" w:rsidP="006C790B">
      <w:pPr>
        <w:spacing w:before="120"/>
        <w:ind w:left="979" w:right="976"/>
        <w:jc w:val="both"/>
        <w:rPr>
          <w:sz w:val="24"/>
          <w:szCs w:val="24"/>
          <w:lang w:val="sq-AL"/>
        </w:rPr>
      </w:pPr>
      <w:r w:rsidRPr="004D53EC">
        <w:rPr>
          <w:sz w:val="24"/>
          <w:szCs w:val="24"/>
          <w:lang w:val="sq-AL"/>
        </w:rPr>
        <w:t xml:space="preserve">Trajtimi i çështjeve të ndryshimeve klimatike duke forcuar politikat e </w:t>
      </w:r>
      <w:proofErr w:type="spellStart"/>
      <w:r w:rsidRPr="004D53EC">
        <w:rPr>
          <w:sz w:val="24"/>
          <w:szCs w:val="24"/>
          <w:lang w:val="sq-AL"/>
        </w:rPr>
        <w:t>tranzicionit</w:t>
      </w:r>
      <w:proofErr w:type="spellEnd"/>
      <w:r w:rsidRPr="004D53EC">
        <w:rPr>
          <w:sz w:val="24"/>
          <w:szCs w:val="24"/>
          <w:lang w:val="sq-AL"/>
        </w:rPr>
        <w:t xml:space="preserve"> të gjelbër, duke ndjekur përpjekjet për gjenerimin e qëndrueshëm të energjisë ujore dhe duke siguruar </w:t>
      </w:r>
      <w:proofErr w:type="spellStart"/>
      <w:r w:rsidRPr="004D53EC">
        <w:rPr>
          <w:sz w:val="24"/>
          <w:szCs w:val="24"/>
          <w:lang w:val="sq-AL"/>
        </w:rPr>
        <w:t>konektivitete</w:t>
      </w:r>
      <w:proofErr w:type="spellEnd"/>
      <w:r w:rsidRPr="004D53EC">
        <w:rPr>
          <w:sz w:val="24"/>
          <w:szCs w:val="24"/>
          <w:lang w:val="sq-AL"/>
        </w:rPr>
        <w:t xml:space="preserve"> të qëndrueshme, përbëjnë prioritete themelore për integrimin ekonomik brenda rajonit dhe me Bashkimin Evropian. Ky grup dhe reformat në fjalë kanë lidhje të rëndësishme me Programin e Reformës Ekonomike të Shqipërisë, Planin Ekonomik dhe Investues të Komisionit dhe Agjendën e Gjelbër për Ballkanin Perëndimor.</w:t>
      </w:r>
    </w:p>
    <w:p w14:paraId="6FF0A004" w14:textId="77777777" w:rsidR="006C790B" w:rsidRPr="004D53EC" w:rsidRDefault="006C790B" w:rsidP="006C790B">
      <w:pPr>
        <w:spacing w:before="120"/>
        <w:ind w:left="979" w:right="976"/>
        <w:jc w:val="both"/>
        <w:rPr>
          <w:sz w:val="24"/>
          <w:szCs w:val="24"/>
          <w:lang w:val="sq-AL"/>
        </w:rPr>
      </w:pPr>
    </w:p>
    <w:p w14:paraId="7D37BC46" w14:textId="77777777" w:rsidR="006C790B" w:rsidRPr="004D53EC" w:rsidRDefault="006C790B" w:rsidP="006C790B">
      <w:pPr>
        <w:spacing w:before="120"/>
        <w:ind w:left="1040"/>
        <w:jc w:val="both"/>
        <w:outlineLvl w:val="0"/>
        <w:rPr>
          <w:b/>
          <w:bCs/>
          <w:sz w:val="24"/>
          <w:szCs w:val="24"/>
          <w:lang w:val="sq-AL"/>
        </w:rPr>
      </w:pPr>
      <w:bookmarkStart w:id="95" w:name="Chapter_14:_Transport"/>
      <w:bookmarkStart w:id="96" w:name="_bookmark54"/>
      <w:bookmarkEnd w:id="95"/>
      <w:bookmarkEnd w:id="96"/>
      <w:r w:rsidRPr="004D53EC">
        <w:rPr>
          <w:b/>
          <w:bCs/>
          <w:sz w:val="24"/>
          <w:szCs w:val="24"/>
          <w:lang w:val="sq-AL"/>
        </w:rPr>
        <w:t>Kapitulli 14: Transporti</w:t>
      </w:r>
    </w:p>
    <w:p w14:paraId="5E3ECF53" w14:textId="77777777" w:rsidR="006C790B" w:rsidRPr="004D53EC" w:rsidRDefault="006C790B" w:rsidP="006C790B">
      <w:pPr>
        <w:spacing w:before="120"/>
        <w:ind w:left="980" w:right="977"/>
        <w:jc w:val="both"/>
        <w:rPr>
          <w:i/>
          <w:sz w:val="24"/>
          <w:lang w:val="sq-AL"/>
        </w:rPr>
      </w:pPr>
      <w:r w:rsidRPr="004D53EC">
        <w:rPr>
          <w:i/>
          <w:sz w:val="24"/>
          <w:lang w:val="sq-AL"/>
        </w:rPr>
        <w:t>BE-ja ka rregulla të përbashkëta për standardet teknike dhe të sigurisë, masat që forcojnë sigurinë, standardet sociale, ndihmën shtetërore dhe liberalizimin e tregut për transportin rrugor, hekurudhor, rrugët ujore të brendshme, transportin e kombinuar, aviacionin dhe transportin detar.</w:t>
      </w:r>
    </w:p>
    <w:p w14:paraId="2AA493C5" w14:textId="77777777" w:rsidR="006C790B" w:rsidRPr="004D53EC" w:rsidRDefault="006C790B" w:rsidP="006C790B">
      <w:pPr>
        <w:spacing w:before="6"/>
        <w:rPr>
          <w:i/>
          <w:sz w:val="10"/>
          <w:szCs w:val="24"/>
          <w:lang w:val="sq-AL"/>
        </w:rPr>
      </w:pP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4"/>
      </w:tblGrid>
      <w:tr w:rsidR="006C790B" w:rsidRPr="004D53EC" w14:paraId="0A1F66A4" w14:textId="77777777" w:rsidTr="005760FF">
        <w:trPr>
          <w:trHeight w:val="5104"/>
        </w:trPr>
        <w:tc>
          <w:tcPr>
            <w:tcW w:w="9254" w:type="dxa"/>
            <w:shd w:val="clear" w:color="auto" w:fill="D9D9D9"/>
          </w:tcPr>
          <w:p w14:paraId="06C5C6A2" w14:textId="77777777" w:rsidR="006C790B" w:rsidRPr="004D53EC" w:rsidRDefault="006C790B" w:rsidP="006C790B">
            <w:pPr>
              <w:spacing w:before="19"/>
              <w:ind w:left="113" w:right="100"/>
              <w:jc w:val="both"/>
              <w:rPr>
                <w:sz w:val="24"/>
                <w:lang w:val="sq-AL"/>
              </w:rPr>
            </w:pPr>
            <w:r w:rsidRPr="004D53EC">
              <w:rPr>
                <w:sz w:val="24"/>
                <w:lang w:val="sq-AL"/>
              </w:rPr>
              <w:lastRenderedPageBreak/>
              <w:t xml:space="preserve">Shqipëria ka </w:t>
            </w:r>
            <w:r w:rsidRPr="004D53EC">
              <w:rPr>
                <w:b/>
                <w:sz w:val="24"/>
                <w:lang w:val="sq-AL"/>
              </w:rPr>
              <w:t>përgatitje të mjaftueshme</w:t>
            </w:r>
            <w:r w:rsidRPr="004D53EC">
              <w:rPr>
                <w:sz w:val="24"/>
                <w:lang w:val="sq-AL"/>
              </w:rPr>
              <w:t xml:space="preserve"> në fushën e politikave të transportit, por </w:t>
            </w:r>
            <w:r w:rsidRPr="004D53EC">
              <w:rPr>
                <w:b/>
                <w:sz w:val="24"/>
                <w:lang w:val="sq-AL"/>
              </w:rPr>
              <w:t>progresi</w:t>
            </w:r>
            <w:r w:rsidRPr="004D53EC">
              <w:rPr>
                <w:sz w:val="24"/>
                <w:lang w:val="sq-AL"/>
              </w:rPr>
              <w:t xml:space="preserve"> ka qenë i </w:t>
            </w:r>
            <w:r w:rsidRPr="004D53EC">
              <w:rPr>
                <w:b/>
                <w:sz w:val="24"/>
                <w:lang w:val="sq-AL"/>
              </w:rPr>
              <w:t>kufizuar</w:t>
            </w:r>
            <w:r w:rsidRPr="004D53EC">
              <w:rPr>
                <w:sz w:val="24"/>
                <w:lang w:val="sq-AL"/>
              </w:rPr>
              <w:t xml:space="preserve"> gjatë periudhës së raportimit. Rekomandimet e vitit të kaluar janë trajtuar pjesërisht, duke pasur progres të mirë në miratimin e legjislacionit zbatues në sektorin </w:t>
            </w:r>
            <w:proofErr w:type="spellStart"/>
            <w:r w:rsidRPr="004D53EC">
              <w:rPr>
                <w:sz w:val="24"/>
                <w:lang w:val="sq-AL"/>
              </w:rPr>
              <w:t>retail</w:t>
            </w:r>
            <w:proofErr w:type="spellEnd"/>
            <w:r w:rsidRPr="004D53EC">
              <w:rPr>
                <w:sz w:val="24"/>
                <w:lang w:val="sq-AL"/>
              </w:rPr>
              <w:t xml:space="preserve"> dhe duke marrë masa të mëtejshme për të përmirësuar cilësinë dhe </w:t>
            </w:r>
            <w:proofErr w:type="spellStart"/>
            <w:r w:rsidRPr="004D53EC">
              <w:rPr>
                <w:sz w:val="24"/>
                <w:lang w:val="sq-AL"/>
              </w:rPr>
              <w:t>performancën</w:t>
            </w:r>
            <w:proofErr w:type="spellEnd"/>
            <w:r w:rsidRPr="004D53EC">
              <w:rPr>
                <w:sz w:val="24"/>
                <w:lang w:val="sq-AL"/>
              </w:rPr>
              <w:t xml:space="preserve"> e mjeteve lundruese nën flamurin shqiptar. Shqipëria ka plotësuar rreth 80% të masave të Udhërrëfyesit për përmirësimin e </w:t>
            </w:r>
            <w:proofErr w:type="spellStart"/>
            <w:r w:rsidRPr="004D53EC">
              <w:rPr>
                <w:sz w:val="24"/>
                <w:lang w:val="sq-AL"/>
              </w:rPr>
              <w:t>performancës</w:t>
            </w:r>
            <w:proofErr w:type="spellEnd"/>
            <w:r w:rsidRPr="004D53EC">
              <w:rPr>
                <w:sz w:val="24"/>
                <w:lang w:val="sq-AL"/>
              </w:rPr>
              <w:t xml:space="preserve"> së flotës shqiptare.</w:t>
            </w:r>
          </w:p>
          <w:p w14:paraId="6C61F510" w14:textId="77777777" w:rsidR="006C790B" w:rsidRPr="004D53EC" w:rsidRDefault="006C790B" w:rsidP="006C790B">
            <w:pPr>
              <w:spacing w:before="19"/>
              <w:ind w:left="113" w:right="100"/>
              <w:jc w:val="both"/>
              <w:rPr>
                <w:sz w:val="24"/>
                <w:lang w:val="sq-AL"/>
              </w:rPr>
            </w:pPr>
          </w:p>
          <w:p w14:paraId="05035A35" w14:textId="77777777" w:rsidR="006C790B" w:rsidRPr="004D53EC" w:rsidRDefault="006C790B" w:rsidP="006C790B">
            <w:pPr>
              <w:spacing w:before="120"/>
              <w:ind w:left="113" w:right="101"/>
              <w:jc w:val="both"/>
              <w:rPr>
                <w:sz w:val="24"/>
                <w:lang w:val="sq-AL"/>
              </w:rPr>
            </w:pPr>
            <w:r w:rsidRPr="004D53EC">
              <w:rPr>
                <w:sz w:val="24"/>
                <w:lang w:val="sq-AL"/>
              </w:rPr>
              <w:t xml:space="preserve">Duhet të vazhdojnë përpjekjet për të harmonizuar më tej legjislacionin dhe për të nxjerrë flotën që lundron me flamur shqiptar nga lista e zezë e Memorandumit të Mirëkuptimit të Parisit për kontrollin nga shteti </w:t>
            </w:r>
            <w:proofErr w:type="spellStart"/>
            <w:r w:rsidRPr="004D53EC">
              <w:rPr>
                <w:sz w:val="24"/>
                <w:lang w:val="sq-AL"/>
              </w:rPr>
              <w:t>portual</w:t>
            </w:r>
            <w:proofErr w:type="spellEnd"/>
            <w:r w:rsidRPr="004D53EC">
              <w:rPr>
                <w:sz w:val="24"/>
                <w:lang w:val="sq-AL"/>
              </w:rPr>
              <w:t>. Rekomandimet e vitit të kaluar mbeten pjesërisht të vlefshme.</w:t>
            </w:r>
          </w:p>
          <w:p w14:paraId="6CA84C3D" w14:textId="77777777" w:rsidR="006C790B" w:rsidRPr="004D53EC" w:rsidRDefault="006C790B" w:rsidP="006C790B">
            <w:pPr>
              <w:spacing w:before="119"/>
              <w:ind w:left="113"/>
              <w:jc w:val="both"/>
              <w:rPr>
                <w:sz w:val="24"/>
                <w:lang w:val="sq-AL"/>
              </w:rPr>
            </w:pPr>
            <w:r w:rsidRPr="004D53EC">
              <w:rPr>
                <w:sz w:val="24"/>
                <w:lang w:val="sq-AL"/>
              </w:rPr>
              <w:t>Në vitin e ardhshëm, Shqipëria duhet</w:t>
            </w:r>
            <w:r w:rsidRPr="004D53EC">
              <w:rPr>
                <w:spacing w:val="-2"/>
                <w:sz w:val="24"/>
                <w:lang w:val="sq-AL"/>
              </w:rPr>
              <w:t>:</w:t>
            </w:r>
          </w:p>
          <w:p w14:paraId="0F81A7B7" w14:textId="77777777" w:rsidR="006C790B" w:rsidRPr="004D53EC" w:rsidRDefault="006C790B" w:rsidP="006C790B">
            <w:pPr>
              <w:spacing w:before="120"/>
              <w:ind w:left="473" w:right="103" w:hanging="360"/>
              <w:rPr>
                <w:sz w:val="24"/>
                <w:lang w:val="sq-AL"/>
              </w:rPr>
            </w:pPr>
            <w:r w:rsidRPr="004D53EC">
              <w:rPr>
                <w:rFonts w:ascii="Symbol" w:hAnsi="Symbol"/>
                <w:sz w:val="24"/>
                <w:lang w:val="sq-AL"/>
              </w:rPr>
              <w:t></w:t>
            </w:r>
            <w:r w:rsidRPr="004D53EC">
              <w:rPr>
                <w:spacing w:val="40"/>
                <w:sz w:val="24"/>
                <w:lang w:val="sq-AL"/>
              </w:rPr>
              <w:t xml:space="preserve"> </w:t>
            </w:r>
            <w:r w:rsidRPr="004D53EC">
              <w:rPr>
                <w:sz w:val="24"/>
                <w:lang w:val="sq-AL"/>
              </w:rPr>
              <w:t>të miratojë Strategjisë e re Kombëtare të Transportit 2021-2025 dhe të përgatisë e miratojë Strategjinë e re të Sigurisë Rrugore në përputhje me Planin e Veprimit për Sigurinë Rrugore të Komunitetit të Transportit;</w:t>
            </w:r>
          </w:p>
          <w:p w14:paraId="7C0BCC27" w14:textId="77777777" w:rsidR="006C790B" w:rsidRPr="004D53EC" w:rsidRDefault="006C790B" w:rsidP="006C790B">
            <w:pPr>
              <w:spacing w:before="120"/>
              <w:ind w:left="473" w:right="127" w:hanging="360"/>
              <w:rPr>
                <w:sz w:val="24"/>
                <w:lang w:val="sq-AL"/>
              </w:rPr>
            </w:pPr>
            <w:r w:rsidRPr="004D53EC">
              <w:rPr>
                <w:rFonts w:ascii="Symbol" w:hAnsi="Symbol"/>
                <w:sz w:val="24"/>
                <w:lang w:val="sq-AL"/>
              </w:rPr>
              <w:t></w:t>
            </w:r>
            <w:r w:rsidRPr="004D53EC">
              <w:rPr>
                <w:spacing w:val="40"/>
                <w:sz w:val="24"/>
                <w:lang w:val="sq-AL"/>
              </w:rPr>
              <w:t xml:space="preserve"> të </w:t>
            </w:r>
            <w:r w:rsidRPr="004D53EC">
              <w:rPr>
                <w:sz w:val="24"/>
                <w:lang w:val="sq-AL"/>
              </w:rPr>
              <w:t>zbatojë legjislacionin për reformën e sektorit hekurudhor në përputhje me Planin e Veprimit të Komunitetit të Transportit Hekurudhor;</w:t>
            </w:r>
          </w:p>
          <w:p w14:paraId="6BA3E89B" w14:textId="77777777" w:rsidR="006C790B" w:rsidRPr="004D53EC" w:rsidRDefault="006C790B" w:rsidP="006C790B">
            <w:pPr>
              <w:spacing w:before="134" w:line="276" w:lineRule="exact"/>
              <w:ind w:left="473" w:right="127" w:hanging="360"/>
              <w:rPr>
                <w:sz w:val="24"/>
                <w:lang w:val="sq-AL"/>
              </w:rPr>
            </w:pPr>
            <w:r w:rsidRPr="004D53EC">
              <w:rPr>
                <w:rFonts w:ascii="Symbol" w:hAnsi="Symbol"/>
                <w:sz w:val="24"/>
                <w:lang w:val="sq-AL"/>
              </w:rPr>
              <w:t></w:t>
            </w:r>
            <w:r w:rsidRPr="004D53EC">
              <w:rPr>
                <w:spacing w:val="40"/>
                <w:sz w:val="24"/>
                <w:lang w:val="sq-AL"/>
              </w:rPr>
              <w:t xml:space="preserve"> </w:t>
            </w:r>
            <w:r w:rsidRPr="004D53EC">
              <w:rPr>
                <w:sz w:val="24"/>
                <w:lang w:val="sq-AL"/>
              </w:rPr>
              <w:t xml:space="preserve">të përshpejtojë masat konkrete për përmirësimin e </w:t>
            </w:r>
            <w:proofErr w:type="spellStart"/>
            <w:r w:rsidRPr="004D53EC">
              <w:rPr>
                <w:sz w:val="24"/>
                <w:lang w:val="sq-AL"/>
              </w:rPr>
              <w:t>performancës</w:t>
            </w:r>
            <w:proofErr w:type="spellEnd"/>
            <w:r w:rsidRPr="004D53EC">
              <w:rPr>
                <w:sz w:val="24"/>
                <w:lang w:val="sq-AL"/>
              </w:rPr>
              <w:t xml:space="preserve"> së mjeteve të transportit detar me flamur shqiptar </w:t>
            </w:r>
            <w:proofErr w:type="spellStart"/>
            <w:r w:rsidRPr="004D53EC">
              <w:rPr>
                <w:sz w:val="24"/>
                <w:lang w:val="sq-AL"/>
              </w:rPr>
              <w:t>accelerate</w:t>
            </w:r>
            <w:proofErr w:type="spellEnd"/>
            <w:r w:rsidRPr="004D53EC">
              <w:rPr>
                <w:sz w:val="24"/>
                <w:lang w:val="sq-AL"/>
              </w:rPr>
              <w:t>.</w:t>
            </w:r>
          </w:p>
        </w:tc>
      </w:tr>
    </w:tbl>
    <w:p w14:paraId="71B15D71" w14:textId="77777777" w:rsidR="006C790B" w:rsidRPr="004D53EC" w:rsidRDefault="006C790B" w:rsidP="006C790B">
      <w:pPr>
        <w:spacing w:before="121"/>
        <w:ind w:left="979" w:right="976"/>
        <w:jc w:val="both"/>
        <w:rPr>
          <w:color w:val="000000" w:themeColor="text1"/>
          <w:sz w:val="24"/>
          <w:szCs w:val="24"/>
          <w:lang w:val="sq-AL"/>
        </w:rPr>
      </w:pPr>
      <w:r w:rsidRPr="004D53EC">
        <w:rPr>
          <w:color w:val="000000" w:themeColor="text1"/>
          <w:sz w:val="24"/>
          <w:szCs w:val="24"/>
          <w:lang w:val="sq-AL"/>
        </w:rPr>
        <w:t xml:space="preserve">Për sa i përket </w:t>
      </w:r>
      <w:proofErr w:type="spellStart"/>
      <w:r w:rsidRPr="004D53EC">
        <w:rPr>
          <w:i/>
          <w:color w:val="000000" w:themeColor="text1"/>
          <w:sz w:val="24"/>
          <w:szCs w:val="24"/>
          <w:lang w:val="sq-AL"/>
        </w:rPr>
        <w:t>acquis</w:t>
      </w:r>
      <w:proofErr w:type="spellEnd"/>
      <w:r w:rsidRPr="004D53EC">
        <w:rPr>
          <w:color w:val="000000" w:themeColor="text1"/>
          <w:sz w:val="24"/>
          <w:szCs w:val="24"/>
          <w:lang w:val="sq-AL"/>
        </w:rPr>
        <w:t xml:space="preserve"> </w:t>
      </w:r>
      <w:r w:rsidRPr="004D53EC">
        <w:rPr>
          <w:b/>
          <w:color w:val="000000" w:themeColor="text1"/>
          <w:sz w:val="24"/>
          <w:szCs w:val="24"/>
          <w:lang w:val="sq-AL"/>
        </w:rPr>
        <w:t>të përgjithshëm të transportit</w:t>
      </w:r>
      <w:r w:rsidRPr="004D53EC">
        <w:rPr>
          <w:color w:val="000000" w:themeColor="text1"/>
          <w:sz w:val="24"/>
          <w:szCs w:val="24"/>
          <w:lang w:val="sq-AL"/>
        </w:rPr>
        <w:t xml:space="preserve">, Strategjia e re Kombëtare e Transportit dhe Plani i saj i Veprimit për 2021-2025 duhet të miratohen. </w:t>
      </w:r>
    </w:p>
    <w:p w14:paraId="3C5ABD46" w14:textId="77777777" w:rsidR="006C790B" w:rsidRPr="004D53EC" w:rsidRDefault="006C790B" w:rsidP="006C790B">
      <w:pPr>
        <w:spacing w:before="121"/>
        <w:ind w:left="979" w:right="976"/>
        <w:jc w:val="both"/>
        <w:rPr>
          <w:sz w:val="24"/>
          <w:szCs w:val="24"/>
          <w:lang w:val="sq-AL"/>
        </w:rPr>
      </w:pPr>
      <w:r w:rsidRPr="004D53EC">
        <w:rPr>
          <w:sz w:val="24"/>
          <w:szCs w:val="24"/>
          <w:lang w:val="sq-AL"/>
        </w:rPr>
        <w:t xml:space="preserve">Për harmonizimin e politikës së transportit me detyrimet e shërbimeve publike dhe </w:t>
      </w:r>
      <w:proofErr w:type="spellStart"/>
      <w:r w:rsidRPr="004D53EC">
        <w:rPr>
          <w:i/>
          <w:sz w:val="24"/>
          <w:szCs w:val="24"/>
          <w:lang w:val="sq-AL"/>
        </w:rPr>
        <w:t>acquis</w:t>
      </w:r>
      <w:proofErr w:type="spellEnd"/>
      <w:r w:rsidRPr="004D53EC">
        <w:rPr>
          <w:sz w:val="24"/>
          <w:szCs w:val="24"/>
          <w:lang w:val="sq-AL"/>
        </w:rPr>
        <w:t xml:space="preserve"> të BE-së për kontratat e shërbimeve publike, udhëzimet mbeten për t'u miratuar për harmonizimin e mëtejshëm me </w:t>
      </w:r>
      <w:proofErr w:type="spellStart"/>
      <w:r w:rsidRPr="004D53EC">
        <w:rPr>
          <w:sz w:val="24"/>
          <w:szCs w:val="24"/>
          <w:lang w:val="sq-AL"/>
        </w:rPr>
        <w:t>acquis</w:t>
      </w:r>
      <w:proofErr w:type="spellEnd"/>
      <w:r w:rsidRPr="004D53EC">
        <w:rPr>
          <w:sz w:val="24"/>
          <w:szCs w:val="24"/>
          <w:lang w:val="sq-AL"/>
        </w:rPr>
        <w:t xml:space="preserve"> për shërbimet e transportit publik të pasagjerëve. Kërkohen më shumë përpjekje për të zbatuar plotësisht Direktivën e sistemeve inteligjente të transportit (ITS), për të nxitur </w:t>
      </w:r>
      <w:proofErr w:type="spellStart"/>
      <w:r w:rsidRPr="004D53EC">
        <w:rPr>
          <w:sz w:val="24"/>
          <w:szCs w:val="24"/>
          <w:lang w:val="sq-AL"/>
        </w:rPr>
        <w:t>multimodalitetin</w:t>
      </w:r>
      <w:proofErr w:type="spellEnd"/>
      <w:r w:rsidRPr="004D53EC">
        <w:rPr>
          <w:sz w:val="24"/>
          <w:szCs w:val="24"/>
          <w:lang w:val="sq-AL"/>
        </w:rPr>
        <w:t xml:space="preserve"> dhe për të zbatuar ligjet përkatëse kombëtare në përputhje me planet e veprimit të Komunitetit të Transportit. Shqipëria vazhdoi përgatitjen e një strategjie kombëtare të ITS për transportin hekurudhor dhe detar. Pajisjet e ITS-së për rrugët janë prokuruar dhe do të instalohen në ambientet e reja, të cilat janë në ndërtim e sipër. Për </w:t>
      </w:r>
      <w:proofErr w:type="spellStart"/>
      <w:r w:rsidRPr="004D53EC">
        <w:rPr>
          <w:sz w:val="24"/>
          <w:szCs w:val="24"/>
          <w:lang w:val="sq-AL"/>
        </w:rPr>
        <w:t>aglomeratat</w:t>
      </w:r>
      <w:proofErr w:type="spellEnd"/>
      <w:r w:rsidRPr="004D53EC">
        <w:rPr>
          <w:sz w:val="24"/>
          <w:szCs w:val="24"/>
          <w:lang w:val="sq-AL"/>
        </w:rPr>
        <w:t xml:space="preserve"> më të mëdha të transportit, duhet të zhvillohen plane të qëndrueshme të lëvizshmërisë urbane që respektojnë standardet mjedisore dhe sociale duke ndjekur praktikën e BE-së.</w:t>
      </w:r>
    </w:p>
    <w:p w14:paraId="001BFEC6" w14:textId="77777777" w:rsidR="006C790B" w:rsidRPr="004D53EC" w:rsidRDefault="006C790B" w:rsidP="006C790B">
      <w:pPr>
        <w:spacing w:before="62"/>
        <w:ind w:left="980" w:right="977"/>
        <w:jc w:val="both"/>
        <w:rPr>
          <w:sz w:val="24"/>
          <w:szCs w:val="24"/>
          <w:lang w:val="sq-AL"/>
        </w:rPr>
      </w:pPr>
      <w:r w:rsidRPr="004D53EC">
        <w:rPr>
          <w:sz w:val="24"/>
          <w:szCs w:val="24"/>
          <w:lang w:val="sq-AL"/>
        </w:rPr>
        <w:t>Shqipëria vazhdoi të marrë pjesë aktive në punën e Traktatit të Komunitetit të Transportit (TCT). Megjithatë, ajo ka vënë në zbatim me një ritëm të ngadaltë pesë planet e veprimit TCT dhe strategjinë e lëvizshmërisë së qëndrueshme dhe inteligjente për Ballkanin Perëndimor.</w:t>
      </w:r>
    </w:p>
    <w:p w14:paraId="4D09AB53" w14:textId="77777777" w:rsidR="006C790B" w:rsidRPr="004D53EC" w:rsidRDefault="006C790B" w:rsidP="006C790B">
      <w:pPr>
        <w:spacing w:before="120"/>
        <w:ind w:left="979" w:right="976"/>
        <w:jc w:val="both"/>
        <w:rPr>
          <w:sz w:val="24"/>
          <w:szCs w:val="24"/>
          <w:lang w:val="sq-AL"/>
        </w:rPr>
      </w:pPr>
      <w:r w:rsidRPr="004D53EC">
        <w:rPr>
          <w:sz w:val="24"/>
          <w:szCs w:val="24"/>
          <w:lang w:val="sq-AL"/>
        </w:rPr>
        <w:t xml:space="preserve">Kapacitetet administrative duhet të forcohen në të gjithë sektorin e transportit, veçanërisht në sektorin hekurudhor. Që nga janari 2023, Autoriteti Shqiptar i Aviacionit Civil ka ngritur një strukturë të re organizative, me synim përmbushjen e detyrave dhe funksioneve të tij. Për të plotësuar reformën e Autoritetit Rrugor Shqiptar lipset që legjislacioni të përditësohet. Në dhjetor 2022, qeveria miratoi strukturën dhe organikën e Autoritetit Kombëtar të Hetimit për Aksidentet dhe Incidentet Hekurudhore dhe Detare. Fondet e </w:t>
      </w:r>
      <w:proofErr w:type="spellStart"/>
      <w:r w:rsidRPr="004D53EC">
        <w:rPr>
          <w:sz w:val="24"/>
          <w:szCs w:val="24"/>
          <w:lang w:val="sq-AL"/>
        </w:rPr>
        <w:t>disponueshme</w:t>
      </w:r>
      <w:proofErr w:type="spellEnd"/>
      <w:r w:rsidRPr="004D53EC">
        <w:rPr>
          <w:sz w:val="24"/>
          <w:szCs w:val="24"/>
          <w:lang w:val="sq-AL"/>
        </w:rPr>
        <w:t xml:space="preserve"> për mirëmbajtjen e infrastrukturës rrugore dhe hekurudhore mbeten të pamjaftueshme, duke rezultuar në përkeqësim të vazhdueshëm të kushteve të infrastrukturës. Kërkohen përpjekje të vazhdueshme për zbatimin e planeve të mirëmbajtjes së hekurudhave për periudhën 2018-2022.</w:t>
      </w:r>
    </w:p>
    <w:p w14:paraId="06FE6E3E" w14:textId="77777777" w:rsidR="006C790B" w:rsidRPr="004D53EC" w:rsidRDefault="006C790B" w:rsidP="006C790B">
      <w:pPr>
        <w:spacing w:before="120"/>
        <w:ind w:left="979" w:right="977"/>
        <w:jc w:val="both"/>
        <w:rPr>
          <w:sz w:val="24"/>
          <w:szCs w:val="24"/>
          <w:lang w:val="sq-AL"/>
        </w:rPr>
      </w:pPr>
      <w:r w:rsidRPr="004D53EC">
        <w:rPr>
          <w:sz w:val="24"/>
          <w:szCs w:val="24"/>
          <w:lang w:val="sq-AL"/>
        </w:rPr>
        <w:t>Gjatë ripërtëritjes së porteve në Shqipëri duhet t'i kushtohet vëmendje parandalimit të korrupsionit, si një mundësi për të depërtuar në zinxhirin e transportit dhe logjistikës me rrjetet kriminale.</w:t>
      </w:r>
    </w:p>
    <w:p w14:paraId="69D7EF47" w14:textId="77777777" w:rsidR="006C790B" w:rsidRPr="004D53EC" w:rsidRDefault="006C790B" w:rsidP="006C790B">
      <w:pPr>
        <w:spacing w:before="120"/>
        <w:ind w:left="980" w:right="977"/>
        <w:jc w:val="both"/>
        <w:rPr>
          <w:sz w:val="24"/>
          <w:szCs w:val="24"/>
          <w:lang w:val="sq-AL"/>
        </w:rPr>
      </w:pPr>
      <w:r w:rsidRPr="004D53EC">
        <w:rPr>
          <w:sz w:val="24"/>
          <w:szCs w:val="24"/>
          <w:lang w:val="sq-AL"/>
        </w:rPr>
        <w:lastRenderedPageBreak/>
        <w:t xml:space="preserve">Në </w:t>
      </w:r>
      <w:r w:rsidRPr="004D53EC">
        <w:rPr>
          <w:b/>
          <w:sz w:val="24"/>
          <w:szCs w:val="24"/>
          <w:lang w:val="sq-AL"/>
        </w:rPr>
        <w:t>transportin rrugor</w:t>
      </w:r>
      <w:r w:rsidRPr="004D53EC">
        <w:rPr>
          <w:sz w:val="24"/>
          <w:szCs w:val="24"/>
          <w:lang w:val="sq-AL"/>
        </w:rPr>
        <w:t xml:space="preserve">, kërkohen përpjekje të mëtejshme për ta harmonizuar me </w:t>
      </w:r>
      <w:proofErr w:type="spellStart"/>
      <w:r w:rsidRPr="004D53EC">
        <w:rPr>
          <w:sz w:val="24"/>
          <w:szCs w:val="24"/>
          <w:lang w:val="sq-AL"/>
        </w:rPr>
        <w:t>acquis</w:t>
      </w:r>
      <w:proofErr w:type="spellEnd"/>
      <w:r w:rsidRPr="004D53EC">
        <w:rPr>
          <w:sz w:val="24"/>
          <w:szCs w:val="24"/>
          <w:lang w:val="sq-AL"/>
        </w:rPr>
        <w:t xml:space="preserve"> për sistemet elektronike të tarifave rrugore dhe zbatimin e tarifave rrugore. Siguria rrugore mbetet një shqetësim serioz, viktimat janë mbi mesataren e BE-së. Kërkohet ende punë për të zgjidhur mospërputhjen midis statistikave kombëtare dhe vlerësimit më të lartë të bërë nga OBSH-ja. Shqipëria duhet të akordojë burime të mjaftueshme financiare për të krijuar një sistem të dhënash për aksidentet rrugore në përputhje me bazën e të dhënave të kujdesit. Duhet të bëhen përpjekje të mëtejshme për të përmirësuar mekanizmin e koordinimit ndërinstitucional, përfshirë krijimin e një agjencie për sigurinë e trafikut rrugor. Shqipëria duhet gjithashtu të bëjë përpjekje të mëtejshme për të harmonizuar me </w:t>
      </w:r>
      <w:proofErr w:type="spellStart"/>
      <w:r w:rsidRPr="004D53EC">
        <w:rPr>
          <w:i/>
          <w:sz w:val="24"/>
          <w:szCs w:val="24"/>
          <w:lang w:val="sq-AL"/>
        </w:rPr>
        <w:t>acquis</w:t>
      </w:r>
      <w:proofErr w:type="spellEnd"/>
      <w:r w:rsidRPr="004D53EC">
        <w:rPr>
          <w:sz w:val="24"/>
          <w:szCs w:val="24"/>
          <w:lang w:val="sq-AL"/>
        </w:rPr>
        <w:t xml:space="preserve"> të BE-së për legjislacionin e transportit social, veçanërisht me Direktivën për vendosjen e drejtuesve të mjeteve në sektorin e transportit rrugor.</w:t>
      </w:r>
    </w:p>
    <w:p w14:paraId="1C035DD2" w14:textId="77777777" w:rsidR="006C790B" w:rsidRPr="004D53EC" w:rsidRDefault="006C790B" w:rsidP="006C790B">
      <w:pPr>
        <w:spacing w:before="120"/>
        <w:ind w:left="980" w:right="976"/>
        <w:jc w:val="both"/>
        <w:rPr>
          <w:sz w:val="24"/>
          <w:szCs w:val="24"/>
          <w:lang w:val="sq-AL"/>
        </w:rPr>
      </w:pPr>
      <w:r w:rsidRPr="004D53EC">
        <w:rPr>
          <w:sz w:val="24"/>
          <w:szCs w:val="24"/>
          <w:lang w:val="sq-AL"/>
        </w:rPr>
        <w:t xml:space="preserve">Shqipëria ka përfunduar harmonizimin e legjislacionit të saj për testet periodike të inspektimit, por duhet ta përforcojë më tej kapacitetin e saj të inspektimit. Janë unifikuar rregullat e qarkullimit të skuterëve elektrikë dhe biçikletave, për të forcuar sigurinë rrugore të automjeteve të kësaj kategorie të re në rrugë. Janë bërë disa përpjekje në lidhje me edukimin për sigurinë rrugore. Janë ndërmarrë veprime për sigurinë rrugore, duke përfshirë </w:t>
      </w:r>
      <w:proofErr w:type="spellStart"/>
      <w:r w:rsidRPr="004D53EC">
        <w:rPr>
          <w:sz w:val="24"/>
          <w:szCs w:val="24"/>
          <w:lang w:val="sq-AL"/>
        </w:rPr>
        <w:t>sinjalistikën</w:t>
      </w:r>
      <w:proofErr w:type="spellEnd"/>
      <w:r w:rsidRPr="004D53EC">
        <w:rPr>
          <w:sz w:val="24"/>
          <w:szCs w:val="24"/>
          <w:lang w:val="sq-AL"/>
        </w:rPr>
        <w:t xml:space="preserve"> rrugore, për të përmirësuar sigurinë në seksionet dhe kryqëzimet rrugore. Ka përfunduar tenderi për ndërtimin e qendrës së monitorimit të trafikut dhe instalimin e ITS për 200 km rrjet kryesor rrugor dhe pritet të jetë funksional në vitin 2024. Shqipëria është pjesërisht në harmoni me Direktivën 2008/96/KE për menaxhimin e sigurisë së infrastrukturës rrugore.</w:t>
      </w:r>
    </w:p>
    <w:p w14:paraId="483311C3" w14:textId="77777777" w:rsidR="006C790B" w:rsidRPr="004D53EC" w:rsidRDefault="006C790B" w:rsidP="006C790B">
      <w:pPr>
        <w:spacing w:before="120"/>
        <w:ind w:left="980" w:right="976"/>
        <w:jc w:val="both"/>
        <w:rPr>
          <w:sz w:val="24"/>
          <w:szCs w:val="24"/>
          <w:lang w:val="sq-AL"/>
        </w:rPr>
      </w:pPr>
    </w:p>
    <w:p w14:paraId="6A3D42D3" w14:textId="77777777" w:rsidR="006C790B" w:rsidRPr="004D53EC" w:rsidRDefault="006C790B" w:rsidP="006C790B">
      <w:pPr>
        <w:spacing w:before="119"/>
        <w:ind w:left="980" w:right="976"/>
        <w:jc w:val="both"/>
        <w:rPr>
          <w:sz w:val="24"/>
          <w:szCs w:val="24"/>
          <w:lang w:val="sq-AL"/>
        </w:rPr>
      </w:pPr>
      <w:r w:rsidRPr="004D53EC">
        <w:rPr>
          <w:sz w:val="24"/>
          <w:szCs w:val="24"/>
          <w:lang w:val="sq-AL"/>
        </w:rPr>
        <w:t xml:space="preserve">Për sa i përket </w:t>
      </w:r>
      <w:r w:rsidRPr="004D53EC">
        <w:rPr>
          <w:b/>
          <w:sz w:val="24"/>
          <w:szCs w:val="24"/>
          <w:lang w:val="sq-AL"/>
        </w:rPr>
        <w:t>transportit hekurudhor</w:t>
      </w:r>
      <w:r w:rsidRPr="004D53EC">
        <w:rPr>
          <w:sz w:val="24"/>
          <w:szCs w:val="24"/>
          <w:lang w:val="sq-AL"/>
        </w:rPr>
        <w:t xml:space="preserve">, Autoriteti i Sigurisë Hekurudhore filloi veprimtarinë e tij në shtator 2023 duke shfuqizuar Drejtorinë e Inspektimit Hekurudhor, por ky autoritet nuk funksionon ende plotësisht pasi procesi për punësimin e personelit është në vazhdim e sipër. Autoriteti </w:t>
      </w:r>
      <w:proofErr w:type="spellStart"/>
      <w:r w:rsidRPr="004D53EC">
        <w:rPr>
          <w:sz w:val="24"/>
          <w:szCs w:val="24"/>
          <w:lang w:val="sq-AL"/>
        </w:rPr>
        <w:t>Rregullativ</w:t>
      </w:r>
      <w:proofErr w:type="spellEnd"/>
      <w:r w:rsidRPr="004D53EC">
        <w:rPr>
          <w:sz w:val="24"/>
          <w:szCs w:val="24"/>
          <w:lang w:val="sq-AL"/>
        </w:rPr>
        <w:t xml:space="preserve"> i Hekurudhave nuk është ende funksional dhe vërtetimet dhe autorizimet e sigurisë nuk mund të lëshohen sipas </w:t>
      </w:r>
      <w:proofErr w:type="spellStart"/>
      <w:r w:rsidRPr="004D53EC">
        <w:rPr>
          <w:i/>
          <w:sz w:val="24"/>
          <w:szCs w:val="24"/>
          <w:lang w:val="sq-AL"/>
        </w:rPr>
        <w:t>acquis</w:t>
      </w:r>
      <w:proofErr w:type="spellEnd"/>
      <w:r w:rsidRPr="004D53EC">
        <w:rPr>
          <w:sz w:val="24"/>
          <w:szCs w:val="24"/>
          <w:lang w:val="sq-AL"/>
        </w:rPr>
        <w:t xml:space="preserve"> të BE-së. Shqipëria duhet të sigurojë funksionimin e plotë të rrjetit hekurudhor dhe të plotësojë kuadrin institucional për katër kompanitë e reja hekurudhore: menaxherin e infrastrukturës, operacionet e transportit të pasagjerëve, operacionet dhe mirëmbajtjen e transportit të mallrave, bazuar në ligjin e miratuar në korrik 2021.</w:t>
      </w:r>
    </w:p>
    <w:p w14:paraId="4B398273" w14:textId="77777777" w:rsidR="006C790B" w:rsidRPr="004D53EC" w:rsidRDefault="006C790B" w:rsidP="006C790B">
      <w:pPr>
        <w:spacing w:before="120"/>
        <w:ind w:left="980" w:right="976"/>
        <w:jc w:val="both"/>
        <w:rPr>
          <w:sz w:val="24"/>
          <w:szCs w:val="24"/>
          <w:lang w:val="sq-AL"/>
        </w:rPr>
      </w:pPr>
      <w:r w:rsidRPr="004D53EC">
        <w:rPr>
          <w:sz w:val="24"/>
          <w:szCs w:val="24"/>
          <w:lang w:val="sq-AL"/>
        </w:rPr>
        <w:t xml:space="preserve">Shqipëria gjithashtu duhet të finalizojë dhe miratojë kuadrin strategjik për zbatimin e ITS-së në rrjetin kryesor hekurudhor. Shqipëria publikoi Deklaratën e saj të Rrjetit në vitin 2022, e cila duhet të mbulojë edhe pjesën e rrjetit që ndodhet në zonat </w:t>
      </w:r>
      <w:proofErr w:type="spellStart"/>
      <w:r w:rsidRPr="004D53EC">
        <w:rPr>
          <w:sz w:val="24"/>
          <w:szCs w:val="24"/>
          <w:lang w:val="sq-AL"/>
        </w:rPr>
        <w:t>portuale</w:t>
      </w:r>
      <w:proofErr w:type="spellEnd"/>
      <w:r w:rsidRPr="004D53EC">
        <w:rPr>
          <w:sz w:val="24"/>
          <w:szCs w:val="24"/>
          <w:lang w:val="sq-AL"/>
        </w:rPr>
        <w:t xml:space="preserve">. Shqipëria duhet të përfundojë krijimin e regjistrit elektronik të automjeteve dhe të sistemit të menaxhimit të </w:t>
      </w:r>
      <w:proofErr w:type="spellStart"/>
      <w:r w:rsidRPr="004D53EC">
        <w:rPr>
          <w:sz w:val="24"/>
          <w:szCs w:val="24"/>
          <w:lang w:val="sq-AL"/>
        </w:rPr>
        <w:t>aseteve</w:t>
      </w:r>
      <w:proofErr w:type="spellEnd"/>
      <w:r w:rsidRPr="004D53EC">
        <w:rPr>
          <w:sz w:val="24"/>
          <w:szCs w:val="24"/>
          <w:lang w:val="sq-AL"/>
        </w:rPr>
        <w:t xml:space="preserve"> të infrastrukturës hekurudhore (RIAMS). Për drejtuesit e trenave, Shqipëria miratoi Udhëzuesin për trajnimin profesional në qendrat e formimit profesional të personelit hekurudhor, i cili ushtron funksione sigurie, kushtet dhe procedurat për testimin, licencimin dhe certifikimin e makinistëve. Ky udhëzues përputhet pjesërisht me </w:t>
      </w:r>
      <w:proofErr w:type="spellStart"/>
      <w:r w:rsidRPr="004D53EC">
        <w:rPr>
          <w:i/>
          <w:sz w:val="24"/>
          <w:szCs w:val="24"/>
          <w:lang w:val="sq-AL"/>
        </w:rPr>
        <w:t>acquis</w:t>
      </w:r>
      <w:proofErr w:type="spellEnd"/>
      <w:r w:rsidRPr="004D53EC">
        <w:rPr>
          <w:sz w:val="24"/>
          <w:szCs w:val="24"/>
          <w:lang w:val="sq-AL"/>
        </w:rPr>
        <w:t xml:space="preserve"> të BE-së.</w:t>
      </w:r>
    </w:p>
    <w:p w14:paraId="784E61E5" w14:textId="77777777" w:rsidR="006C790B" w:rsidRPr="004D53EC" w:rsidRDefault="006C790B" w:rsidP="006C790B">
      <w:pPr>
        <w:spacing w:before="120"/>
        <w:ind w:left="979" w:right="976"/>
        <w:jc w:val="both"/>
        <w:rPr>
          <w:sz w:val="24"/>
          <w:szCs w:val="24"/>
          <w:lang w:val="sq-AL"/>
        </w:rPr>
      </w:pPr>
      <w:r w:rsidRPr="004D53EC">
        <w:rPr>
          <w:sz w:val="24"/>
          <w:szCs w:val="24"/>
          <w:lang w:val="sq-AL"/>
        </w:rPr>
        <w:t xml:space="preserve">Në </w:t>
      </w:r>
      <w:r w:rsidRPr="004D53EC">
        <w:rPr>
          <w:b/>
          <w:sz w:val="24"/>
          <w:szCs w:val="24"/>
          <w:lang w:val="sq-AL"/>
        </w:rPr>
        <w:t>transportin detar</w:t>
      </w:r>
      <w:r w:rsidRPr="004D53EC">
        <w:rPr>
          <w:sz w:val="24"/>
          <w:szCs w:val="24"/>
          <w:lang w:val="sq-AL"/>
        </w:rPr>
        <w:t xml:space="preserve">, kërkohen përpjekje të vazhdueshme për të përmirësuar ndjeshëm cilësinë e flotës me flamur shqiptar dhe për të reduktuar shkallën e ndalimit të anijeve me flamur shqiptar, në mënyrë që Shqipëria të mos jetë më në listën e zezë të vende me </w:t>
      </w:r>
      <w:proofErr w:type="spellStart"/>
      <w:r w:rsidRPr="004D53EC">
        <w:rPr>
          <w:sz w:val="24"/>
          <w:szCs w:val="24"/>
          <w:lang w:val="sq-AL"/>
        </w:rPr>
        <w:t>performancë</w:t>
      </w:r>
      <w:proofErr w:type="spellEnd"/>
      <w:r w:rsidRPr="004D53EC">
        <w:rPr>
          <w:sz w:val="24"/>
          <w:szCs w:val="24"/>
          <w:lang w:val="sq-AL"/>
        </w:rPr>
        <w:t xml:space="preserve"> të dobët. Gjatë vitit të kaluar Shqipëria përmirësoi pozicionin e saj në Memorandumin e Mirëkuptimit të Parisit për Kontrollin e Shtetit </w:t>
      </w:r>
      <w:proofErr w:type="spellStart"/>
      <w:r w:rsidRPr="004D53EC">
        <w:rPr>
          <w:sz w:val="24"/>
          <w:szCs w:val="24"/>
          <w:lang w:val="sq-AL"/>
        </w:rPr>
        <w:t>Portual</w:t>
      </w:r>
      <w:proofErr w:type="spellEnd"/>
      <w:r w:rsidRPr="004D53EC">
        <w:rPr>
          <w:sz w:val="24"/>
          <w:szCs w:val="24"/>
          <w:lang w:val="sq-AL"/>
        </w:rPr>
        <w:t>, duke u ngjitur nga rreziku shumë i lartë në atë të moderuar, por ajo është ende në listën e zezë.</w:t>
      </w:r>
    </w:p>
    <w:p w14:paraId="720E9283" w14:textId="77777777" w:rsidR="006C790B" w:rsidRPr="004D53EC" w:rsidRDefault="006C790B" w:rsidP="006C790B">
      <w:pPr>
        <w:spacing w:before="120"/>
        <w:ind w:left="979" w:right="976"/>
        <w:jc w:val="both"/>
        <w:rPr>
          <w:sz w:val="24"/>
          <w:szCs w:val="24"/>
          <w:lang w:val="sq-AL"/>
        </w:rPr>
      </w:pPr>
      <w:r w:rsidRPr="004D53EC">
        <w:rPr>
          <w:sz w:val="24"/>
          <w:szCs w:val="24"/>
          <w:lang w:val="sq-AL"/>
        </w:rPr>
        <w:t xml:space="preserve">Ndërsa Shqipëria ka plotësuar rreth 80% të masave të udhërrëfyesit për përmirësimin e </w:t>
      </w:r>
      <w:proofErr w:type="spellStart"/>
      <w:r w:rsidRPr="004D53EC">
        <w:rPr>
          <w:sz w:val="24"/>
          <w:szCs w:val="24"/>
          <w:lang w:val="sq-AL"/>
        </w:rPr>
        <w:t>performancës</w:t>
      </w:r>
      <w:proofErr w:type="spellEnd"/>
      <w:r w:rsidRPr="004D53EC">
        <w:rPr>
          <w:sz w:val="24"/>
          <w:szCs w:val="24"/>
          <w:lang w:val="sq-AL"/>
        </w:rPr>
        <w:t xml:space="preserve"> së flotës shqiptare, ajo duhet të përafrohet plotësisht me </w:t>
      </w:r>
      <w:proofErr w:type="spellStart"/>
      <w:r w:rsidRPr="004D53EC">
        <w:rPr>
          <w:sz w:val="24"/>
          <w:szCs w:val="24"/>
          <w:lang w:val="sq-AL"/>
        </w:rPr>
        <w:t>acquis</w:t>
      </w:r>
      <w:proofErr w:type="spellEnd"/>
      <w:r w:rsidRPr="004D53EC">
        <w:rPr>
          <w:sz w:val="24"/>
          <w:szCs w:val="24"/>
          <w:lang w:val="sq-AL"/>
        </w:rPr>
        <w:t xml:space="preserve"> të BE-së për sistemin e monitorimit dhe informacionit të trafikut të anijeve (VTMIS), bazuar në kuadrin strategjik. për zbatimin e ITS-në në rrjetin kryesor detar. Shqipëria ka bërë përparim të </w:t>
      </w:r>
      <w:r w:rsidRPr="004D53EC">
        <w:rPr>
          <w:sz w:val="24"/>
          <w:szCs w:val="24"/>
          <w:lang w:val="sq-AL"/>
        </w:rPr>
        <w:lastRenderedPageBreak/>
        <w:t xml:space="preserve">konsiderueshëm në lidhje me zbatimin e Rregullores së BE-së për Shërbimet </w:t>
      </w:r>
      <w:proofErr w:type="spellStart"/>
      <w:r w:rsidRPr="004D53EC">
        <w:rPr>
          <w:sz w:val="24"/>
          <w:szCs w:val="24"/>
          <w:lang w:val="sq-AL"/>
        </w:rPr>
        <w:t>Portuale</w:t>
      </w:r>
      <w:proofErr w:type="spellEnd"/>
      <w:r w:rsidRPr="004D53EC">
        <w:rPr>
          <w:sz w:val="24"/>
          <w:szCs w:val="24"/>
          <w:lang w:val="sq-AL"/>
        </w:rPr>
        <w:t xml:space="preserve"> dhe po bëhen përpjekje për të arritur përputhjen e plotë të kuadrit të saj ligjor deri në vitin 2025. Nuk ka ende zhvillime të reja në lidhje me </w:t>
      </w:r>
      <w:r w:rsidRPr="004D53EC">
        <w:rPr>
          <w:b/>
          <w:sz w:val="24"/>
          <w:szCs w:val="24"/>
          <w:lang w:val="sq-AL"/>
        </w:rPr>
        <w:t>transportin ujor të brendshëm</w:t>
      </w:r>
      <w:r w:rsidRPr="004D53EC">
        <w:rPr>
          <w:sz w:val="24"/>
          <w:szCs w:val="24"/>
          <w:lang w:val="sq-AL"/>
        </w:rPr>
        <w:t xml:space="preserve">, i cili është i kufizuar në dy liqene të përbashkëta me vendet fqinje dhe i rregulluar me marrëveshje dypalëshe. Për sa i përket </w:t>
      </w:r>
      <w:r w:rsidRPr="004D53EC">
        <w:rPr>
          <w:b/>
          <w:sz w:val="24"/>
          <w:szCs w:val="24"/>
          <w:lang w:val="sq-AL"/>
        </w:rPr>
        <w:t>aviacionit</w:t>
      </w:r>
      <w:r w:rsidRPr="004D53EC">
        <w:rPr>
          <w:sz w:val="24"/>
          <w:szCs w:val="24"/>
          <w:lang w:val="sq-AL"/>
        </w:rPr>
        <w:t xml:space="preserve">, për të përmbushur kërkesat për fazën e parë kalimtare sipas Marrëveshjes për Zonën e Përbashkët Evropiane të Aviacionit (ECAA), Shqipëria ende duhet të trajtojë gjetjet e ngritura nga Agjencia e Sigurisë së Aviacionit të BE-së (EASA) gjatë inspektimit të saj të standardizimit në vitin 2022 për menaxhimin e trafikut ajror (ATM) dhe shërbimet e </w:t>
      </w:r>
      <w:proofErr w:type="spellStart"/>
      <w:r w:rsidRPr="004D53EC">
        <w:rPr>
          <w:sz w:val="24"/>
          <w:szCs w:val="24"/>
          <w:lang w:val="sq-AL"/>
        </w:rPr>
        <w:t>navigimit</w:t>
      </w:r>
      <w:proofErr w:type="spellEnd"/>
      <w:r w:rsidRPr="004D53EC">
        <w:rPr>
          <w:sz w:val="24"/>
          <w:szCs w:val="24"/>
          <w:lang w:val="sq-AL"/>
        </w:rPr>
        <w:t xml:space="preserve"> ajror (ANS).</w:t>
      </w:r>
    </w:p>
    <w:p w14:paraId="3417A367" w14:textId="77777777" w:rsidR="006C790B" w:rsidRPr="004D53EC" w:rsidRDefault="006C790B" w:rsidP="006C790B">
      <w:pPr>
        <w:spacing w:before="120"/>
        <w:ind w:left="980" w:right="977"/>
        <w:jc w:val="both"/>
        <w:rPr>
          <w:sz w:val="24"/>
          <w:szCs w:val="24"/>
          <w:lang w:val="sq-AL"/>
        </w:rPr>
      </w:pPr>
      <w:r w:rsidRPr="004D53EC">
        <w:rPr>
          <w:sz w:val="24"/>
          <w:szCs w:val="24"/>
          <w:lang w:val="sq-AL"/>
        </w:rPr>
        <w:t xml:space="preserve">Autoriteti Shqiptar i Aviacionit Civil ka një strukturë të re që nga janari 2023, e cila synon përmirësimin e funksionimit të tij. Aktualisht, detyrat e mbikëqyrjes mbulohen nga personeli i jashtëm. Urdhra të rinj ministrorë janë nxjerrë për miratimin e programit kombëtar të kontrollit të cilësisë së sigurisë së aviacionit civil dhe për programin kombëtar të trajnimit për sigurinë e aviacionit civil. Përafrimi me </w:t>
      </w:r>
      <w:proofErr w:type="spellStart"/>
      <w:r w:rsidRPr="004D53EC">
        <w:rPr>
          <w:i/>
          <w:sz w:val="24"/>
          <w:szCs w:val="24"/>
          <w:lang w:val="sq-AL"/>
        </w:rPr>
        <w:t>acquis</w:t>
      </w:r>
      <w:proofErr w:type="spellEnd"/>
      <w:r w:rsidRPr="004D53EC">
        <w:rPr>
          <w:sz w:val="24"/>
          <w:szCs w:val="24"/>
          <w:lang w:val="sq-AL"/>
        </w:rPr>
        <w:t xml:space="preserve"> të BE-së për ATM/ANS nuk është ende i plotë dhe, pasi rregullat përkatëse të jenë harmonizuar zyrtarisht, zbatimi do të jetë i paplotë. Legjislacioni për të drejtat e pasagjerëve është kryesisht në përputhje me legjislacionin e BE-së.</w:t>
      </w:r>
    </w:p>
    <w:p w14:paraId="09E46AFB" w14:textId="77777777" w:rsidR="006C790B" w:rsidRPr="004D53EC" w:rsidRDefault="006C790B" w:rsidP="006C790B">
      <w:pPr>
        <w:spacing w:before="119"/>
        <w:ind w:left="980" w:right="976"/>
        <w:jc w:val="both"/>
        <w:rPr>
          <w:sz w:val="24"/>
          <w:szCs w:val="24"/>
          <w:lang w:val="sq-AL"/>
        </w:rPr>
      </w:pPr>
      <w:r w:rsidRPr="004D53EC">
        <w:rPr>
          <w:sz w:val="24"/>
          <w:szCs w:val="24"/>
          <w:lang w:val="sq-AL"/>
        </w:rPr>
        <w:t xml:space="preserve">Për </w:t>
      </w:r>
      <w:r w:rsidRPr="004D53EC">
        <w:rPr>
          <w:b/>
          <w:sz w:val="24"/>
          <w:szCs w:val="24"/>
          <w:lang w:val="sq-AL"/>
        </w:rPr>
        <w:t>transportin e kombinuar</w:t>
      </w:r>
      <w:r w:rsidRPr="004D53EC">
        <w:rPr>
          <w:sz w:val="24"/>
          <w:szCs w:val="24"/>
          <w:lang w:val="sq-AL"/>
        </w:rPr>
        <w:t xml:space="preserve">, Shqipëria nuk është në harmoni me direktivën përkatëse të BE-së dhe nuk ka dhënë ende referenca për legjislacionin kombëtar që është harmonizuar me </w:t>
      </w:r>
      <w:proofErr w:type="spellStart"/>
      <w:r w:rsidRPr="004D53EC">
        <w:rPr>
          <w:sz w:val="24"/>
          <w:szCs w:val="24"/>
          <w:lang w:val="sq-AL"/>
        </w:rPr>
        <w:t>acquis</w:t>
      </w:r>
      <w:proofErr w:type="spellEnd"/>
      <w:r w:rsidRPr="004D53EC">
        <w:rPr>
          <w:sz w:val="24"/>
          <w:szCs w:val="24"/>
          <w:lang w:val="sq-AL"/>
        </w:rPr>
        <w:t xml:space="preserve"> të BE-së. Strategjia kombëtare e transportit 2021-2025, e cila përfshin masat </w:t>
      </w:r>
      <w:proofErr w:type="spellStart"/>
      <w:r w:rsidRPr="004D53EC">
        <w:rPr>
          <w:sz w:val="24"/>
          <w:szCs w:val="24"/>
          <w:lang w:val="sq-AL"/>
        </w:rPr>
        <w:t>prioritare</w:t>
      </w:r>
      <w:proofErr w:type="spellEnd"/>
      <w:r w:rsidRPr="004D53EC">
        <w:rPr>
          <w:sz w:val="24"/>
          <w:szCs w:val="24"/>
          <w:lang w:val="sq-AL"/>
        </w:rPr>
        <w:t xml:space="preserve"> për transportin </w:t>
      </w:r>
      <w:proofErr w:type="spellStart"/>
      <w:r w:rsidRPr="004D53EC">
        <w:rPr>
          <w:sz w:val="24"/>
          <w:szCs w:val="24"/>
          <w:lang w:val="sq-AL"/>
        </w:rPr>
        <w:t>intermodal</w:t>
      </w:r>
      <w:proofErr w:type="spellEnd"/>
      <w:r w:rsidRPr="004D53EC">
        <w:rPr>
          <w:sz w:val="24"/>
          <w:szCs w:val="24"/>
          <w:lang w:val="sq-AL"/>
        </w:rPr>
        <w:t xml:space="preserve"> dhe të kombinuar, nuk është miratuar ende.</w:t>
      </w:r>
    </w:p>
    <w:p w14:paraId="1AE8DA61" w14:textId="77777777" w:rsidR="006C790B" w:rsidRPr="004D53EC" w:rsidRDefault="006C790B" w:rsidP="000857D8">
      <w:pPr>
        <w:spacing w:before="120"/>
        <w:ind w:left="980" w:right="1000"/>
        <w:jc w:val="both"/>
        <w:rPr>
          <w:sz w:val="24"/>
          <w:szCs w:val="24"/>
          <w:lang w:val="sq-AL"/>
        </w:rPr>
      </w:pPr>
      <w:r w:rsidRPr="004D53EC">
        <w:rPr>
          <w:sz w:val="24"/>
          <w:szCs w:val="24"/>
          <w:lang w:val="sq-AL"/>
        </w:rPr>
        <w:t xml:space="preserve">Shqipëria duhet të shtojë përpjekjet për të </w:t>
      </w:r>
      <w:proofErr w:type="spellStart"/>
      <w:r w:rsidRPr="004D53EC">
        <w:rPr>
          <w:sz w:val="24"/>
          <w:szCs w:val="24"/>
          <w:lang w:val="sq-AL"/>
        </w:rPr>
        <w:t>linjëzuar</w:t>
      </w:r>
      <w:proofErr w:type="spellEnd"/>
      <w:r w:rsidRPr="004D53EC">
        <w:rPr>
          <w:sz w:val="24"/>
          <w:szCs w:val="24"/>
          <w:lang w:val="sq-AL"/>
        </w:rPr>
        <w:t xml:space="preserve"> dhe zbatuar legjislacionin e BE-së </w:t>
      </w:r>
      <w:r w:rsidRPr="004D53EC">
        <w:rPr>
          <w:b/>
          <w:sz w:val="24"/>
          <w:szCs w:val="24"/>
          <w:lang w:val="sq-AL"/>
        </w:rPr>
        <w:t>për të drejtat e pasagjerëve</w:t>
      </w:r>
      <w:r w:rsidRPr="004D53EC">
        <w:rPr>
          <w:spacing w:val="-2"/>
          <w:sz w:val="24"/>
          <w:szCs w:val="24"/>
          <w:lang w:val="sq-AL"/>
        </w:rPr>
        <w:t>.</w:t>
      </w:r>
    </w:p>
    <w:p w14:paraId="720E81BE" w14:textId="77777777" w:rsidR="006C790B" w:rsidRPr="004D53EC" w:rsidRDefault="006C790B" w:rsidP="006C790B">
      <w:pPr>
        <w:spacing w:before="120"/>
        <w:ind w:left="1040"/>
        <w:outlineLvl w:val="0"/>
        <w:rPr>
          <w:b/>
          <w:bCs/>
          <w:sz w:val="24"/>
          <w:szCs w:val="24"/>
          <w:lang w:val="sq-AL"/>
        </w:rPr>
      </w:pPr>
      <w:bookmarkStart w:id="97" w:name="Chapter_15:_Energy"/>
      <w:bookmarkStart w:id="98" w:name="_bookmark55"/>
      <w:bookmarkEnd w:id="97"/>
      <w:bookmarkEnd w:id="98"/>
      <w:r w:rsidRPr="004D53EC">
        <w:rPr>
          <w:b/>
          <w:bCs/>
          <w:sz w:val="24"/>
          <w:szCs w:val="24"/>
          <w:lang w:val="sq-AL"/>
        </w:rPr>
        <w:t>Kapitulli 15: Energjia</w:t>
      </w:r>
    </w:p>
    <w:p w14:paraId="3194534E" w14:textId="77777777" w:rsidR="006C790B" w:rsidRPr="004D53EC" w:rsidRDefault="006C790B" w:rsidP="006C790B">
      <w:pPr>
        <w:spacing w:before="120"/>
        <w:ind w:left="980" w:right="976"/>
        <w:jc w:val="both"/>
        <w:rPr>
          <w:i/>
          <w:sz w:val="24"/>
          <w:lang w:val="sq-AL"/>
        </w:rPr>
      </w:pPr>
      <w:r w:rsidRPr="004D53EC">
        <w:rPr>
          <w:i/>
          <w:sz w:val="24"/>
          <w:lang w:val="sq-AL"/>
        </w:rPr>
        <w:t xml:space="preserve">Politika energjetike e BE-së mbulon furnizimin me energji, infrastrukturën, tregun e brendshëm të energjisë, konsumatorët, energjinë e </w:t>
      </w:r>
      <w:proofErr w:type="spellStart"/>
      <w:r w:rsidRPr="004D53EC">
        <w:rPr>
          <w:i/>
          <w:sz w:val="24"/>
          <w:lang w:val="sq-AL"/>
        </w:rPr>
        <w:t>rinovueshme</w:t>
      </w:r>
      <w:proofErr w:type="spellEnd"/>
      <w:r w:rsidRPr="004D53EC">
        <w:rPr>
          <w:i/>
          <w:sz w:val="24"/>
          <w:lang w:val="sq-AL"/>
        </w:rPr>
        <w:t>, efikasitetin e energjisë, energjinë bërthamore dhe sigurinë bërthamore dhe mbrojtjen nga rrezatimi.</w:t>
      </w:r>
    </w:p>
    <w:p w14:paraId="224CA5CA" w14:textId="77777777" w:rsidR="006C790B" w:rsidRPr="004D53EC" w:rsidRDefault="006C790B" w:rsidP="006C790B">
      <w:pPr>
        <w:spacing w:before="6"/>
        <w:rPr>
          <w:i/>
          <w:sz w:val="10"/>
          <w:szCs w:val="24"/>
          <w:lang w:val="sq-AL"/>
        </w:rPr>
      </w:pP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4"/>
      </w:tblGrid>
      <w:tr w:rsidR="006C790B" w:rsidRPr="004D53EC" w14:paraId="00DD0F4C" w14:textId="77777777" w:rsidTr="005760FF">
        <w:trPr>
          <w:trHeight w:val="2467"/>
        </w:trPr>
        <w:tc>
          <w:tcPr>
            <w:tcW w:w="9194" w:type="dxa"/>
            <w:tcBorders>
              <w:bottom w:val="nil"/>
            </w:tcBorders>
            <w:shd w:val="clear" w:color="auto" w:fill="D9D9D9"/>
          </w:tcPr>
          <w:p w14:paraId="7180F0AD" w14:textId="4965BA5A" w:rsidR="006C790B" w:rsidRPr="004D53EC" w:rsidRDefault="006C790B" w:rsidP="006C790B">
            <w:pPr>
              <w:spacing w:before="19"/>
              <w:ind w:left="113" w:right="40"/>
              <w:jc w:val="both"/>
              <w:rPr>
                <w:sz w:val="24"/>
                <w:lang w:val="sq-AL"/>
              </w:rPr>
            </w:pPr>
            <w:r w:rsidRPr="004D53EC">
              <w:rPr>
                <w:sz w:val="24"/>
                <w:lang w:val="sq-AL"/>
              </w:rPr>
              <w:t xml:space="preserve">Shqipëria ka një nivel </w:t>
            </w:r>
            <w:proofErr w:type="spellStart"/>
            <w:r w:rsidRPr="004D53EC">
              <w:rPr>
                <w:sz w:val="24"/>
                <w:lang w:val="sq-AL"/>
              </w:rPr>
              <w:t>mesatat</w:t>
            </w:r>
            <w:proofErr w:type="spellEnd"/>
            <w:r w:rsidRPr="004D53EC">
              <w:rPr>
                <w:sz w:val="24"/>
                <w:lang w:val="sq-AL"/>
              </w:rPr>
              <w:t xml:space="preserve"> dhe të mirë përgatitje në fushën e energjisë.</w:t>
            </w:r>
            <w:r w:rsidR="004D53EC">
              <w:rPr>
                <w:sz w:val="24"/>
                <w:lang w:val="sq-AL"/>
              </w:rPr>
              <w:t xml:space="preserve"> </w:t>
            </w:r>
            <w:r w:rsidRPr="004D53EC">
              <w:rPr>
                <w:sz w:val="24"/>
                <w:lang w:val="sq-AL"/>
              </w:rPr>
              <w:t xml:space="preserve">Në periudhën e raportimit, ka pasur përparim të mirë në reformimin e tregjeve të energjisë elektrike të ditës në vijim dhe brenda ditës dhe ka pasur progres në zhvillimin e ankandeve për projektet e burimeve të </w:t>
            </w:r>
            <w:proofErr w:type="spellStart"/>
            <w:r w:rsidRPr="004D53EC">
              <w:rPr>
                <w:sz w:val="24"/>
                <w:lang w:val="sq-AL"/>
              </w:rPr>
              <w:t>rinovueshme</w:t>
            </w:r>
            <w:proofErr w:type="spellEnd"/>
            <w:r w:rsidRPr="004D53EC">
              <w:rPr>
                <w:sz w:val="24"/>
                <w:lang w:val="sq-AL"/>
              </w:rPr>
              <w:t>.</w:t>
            </w:r>
          </w:p>
          <w:p w14:paraId="7A9E02D2" w14:textId="77777777" w:rsidR="006C790B" w:rsidRPr="004D53EC" w:rsidRDefault="006C790B" w:rsidP="006C790B">
            <w:pPr>
              <w:spacing w:before="120"/>
              <w:ind w:left="113" w:right="40"/>
              <w:jc w:val="both"/>
              <w:rPr>
                <w:sz w:val="24"/>
                <w:lang w:val="sq-AL"/>
              </w:rPr>
            </w:pPr>
            <w:r w:rsidRPr="004D53EC">
              <w:rPr>
                <w:sz w:val="24"/>
                <w:lang w:val="sq-AL"/>
              </w:rPr>
              <w:t xml:space="preserve">Është arritur përparim i kufizuar në sektorët e gazit dhe linjat rajonale të </w:t>
            </w:r>
            <w:proofErr w:type="spellStart"/>
            <w:r w:rsidRPr="004D53EC">
              <w:rPr>
                <w:sz w:val="24"/>
                <w:lang w:val="sq-AL"/>
              </w:rPr>
              <w:t>interkonjeksionit</w:t>
            </w:r>
            <w:proofErr w:type="spellEnd"/>
            <w:r w:rsidRPr="004D53EC">
              <w:rPr>
                <w:sz w:val="24"/>
                <w:lang w:val="sq-AL"/>
              </w:rPr>
              <w:t xml:space="preserve">. Në kuadrin e krizës globale të energjisë, këto përpjekje, si dhe masat për </w:t>
            </w:r>
            <w:proofErr w:type="spellStart"/>
            <w:r w:rsidRPr="004D53EC">
              <w:rPr>
                <w:sz w:val="24"/>
                <w:lang w:val="sq-AL"/>
              </w:rPr>
              <w:t>efiçencën</w:t>
            </w:r>
            <w:proofErr w:type="spellEnd"/>
            <w:r w:rsidRPr="004D53EC">
              <w:rPr>
                <w:sz w:val="24"/>
                <w:lang w:val="sq-AL"/>
              </w:rPr>
              <w:t xml:space="preserve"> e energjisë, duhet të përshpejtohen, duke marrë parasysh angazhimet e Shqipërisë sipas Marrëveshjes së Parisit dhe nevojën për t'u angazhuar në </w:t>
            </w:r>
            <w:proofErr w:type="spellStart"/>
            <w:r w:rsidRPr="004D53EC">
              <w:rPr>
                <w:sz w:val="24"/>
                <w:lang w:val="sq-AL"/>
              </w:rPr>
              <w:t>tranzicionin</w:t>
            </w:r>
            <w:proofErr w:type="spellEnd"/>
            <w:r w:rsidRPr="004D53EC">
              <w:rPr>
                <w:sz w:val="24"/>
                <w:lang w:val="sq-AL"/>
              </w:rPr>
              <w:t xml:space="preserve"> e energjisë së pastër, në përputhje me </w:t>
            </w:r>
            <w:proofErr w:type="spellStart"/>
            <w:r w:rsidRPr="004D53EC">
              <w:rPr>
                <w:sz w:val="24"/>
                <w:lang w:val="sq-AL"/>
              </w:rPr>
              <w:t>Axhendën</w:t>
            </w:r>
            <w:proofErr w:type="spellEnd"/>
            <w:r w:rsidRPr="004D53EC">
              <w:rPr>
                <w:sz w:val="24"/>
                <w:lang w:val="sq-AL"/>
              </w:rPr>
              <w:t xml:space="preserve"> e Gjelbër për Ballkanin Perëndimor.</w:t>
            </w:r>
          </w:p>
          <w:p w14:paraId="1ADF3ABC" w14:textId="77777777" w:rsidR="006C790B" w:rsidRPr="004D53EC" w:rsidRDefault="006C790B" w:rsidP="006C790B">
            <w:pPr>
              <w:spacing w:before="120"/>
              <w:ind w:left="113" w:right="40"/>
              <w:jc w:val="both"/>
              <w:rPr>
                <w:sz w:val="24"/>
                <w:lang w:val="sq-AL"/>
              </w:rPr>
            </w:pPr>
          </w:p>
        </w:tc>
      </w:tr>
    </w:tbl>
    <w:p w14:paraId="3BA097A6" w14:textId="77777777" w:rsidR="006C790B" w:rsidRPr="004D53EC" w:rsidRDefault="006C790B" w:rsidP="006C790B">
      <w:pPr>
        <w:jc w:val="both"/>
        <w:rPr>
          <w:sz w:val="24"/>
          <w:lang w:val="sq-AL"/>
        </w:rPr>
        <w:sectPr w:rsidR="006C790B" w:rsidRPr="004D53EC">
          <w:pgSz w:w="11910" w:h="16840"/>
          <w:pgMar w:top="1360" w:right="460" w:bottom="1480" w:left="460" w:header="0" w:footer="1248" w:gutter="0"/>
          <w:cols w:space="720"/>
        </w:sectPr>
      </w:pP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4"/>
      </w:tblGrid>
      <w:tr w:rsidR="006C790B" w:rsidRPr="004D53EC" w14:paraId="2FECF7CF" w14:textId="77777777" w:rsidTr="005760FF">
        <w:trPr>
          <w:trHeight w:val="5794"/>
        </w:trPr>
        <w:tc>
          <w:tcPr>
            <w:tcW w:w="9194" w:type="dxa"/>
            <w:tcBorders>
              <w:top w:val="nil"/>
            </w:tcBorders>
          </w:tcPr>
          <w:p w14:paraId="1AE68843" w14:textId="77777777" w:rsidR="006C790B" w:rsidRPr="004D53EC" w:rsidRDefault="006C790B" w:rsidP="006C790B">
            <w:pPr>
              <w:ind w:left="113" w:right="40"/>
              <w:jc w:val="both"/>
              <w:rPr>
                <w:sz w:val="24"/>
                <w:lang w:val="sq-AL"/>
              </w:rPr>
            </w:pPr>
            <w:r w:rsidRPr="004D53EC">
              <w:rPr>
                <w:sz w:val="24"/>
                <w:lang w:val="sq-AL"/>
              </w:rPr>
              <w:lastRenderedPageBreak/>
              <w:t xml:space="preserve">Shqipëria duhet të miratojë të gjithë legjislacionin zbatues që mungon për </w:t>
            </w:r>
            <w:proofErr w:type="spellStart"/>
            <w:r w:rsidRPr="004D53EC">
              <w:rPr>
                <w:sz w:val="24"/>
                <w:lang w:val="sq-AL"/>
              </w:rPr>
              <w:t>efiçencën</w:t>
            </w:r>
            <w:proofErr w:type="spellEnd"/>
            <w:r w:rsidRPr="004D53EC">
              <w:rPr>
                <w:sz w:val="24"/>
                <w:lang w:val="sq-AL"/>
              </w:rPr>
              <w:t xml:space="preserve"> e energjisë. Nuk janë vendosur mekanizma të rinj financimi për efikasitetin e energjisë. Roli, kapacitetet dhe operacionet e agjencisë së efikasitetit të energjisë duhet të forcohen më tej. Shqipëria ka miratuar objektiva të reja për energjinë dhe klimën për vitin 2030</w:t>
            </w:r>
            <w:r w:rsidRPr="004D53EC">
              <w:rPr>
                <w:lang w:val="sq-AL"/>
              </w:rPr>
              <mc:AlternateContent>
                <mc:Choice Requires="wpg">
                  <w:drawing>
                    <wp:anchor distT="0" distB="0" distL="0" distR="0" simplePos="0" relativeHeight="251678720" behindDoc="1" locked="0" layoutInCell="1" allowOverlap="1" wp14:anchorId="30EB8AFB" wp14:editId="573F7D4C">
                      <wp:simplePos x="0" y="0"/>
                      <wp:positionH relativeFrom="column">
                        <wp:posOffset>41148</wp:posOffset>
                      </wp:positionH>
                      <wp:positionV relativeFrom="paragraph">
                        <wp:posOffset>-214</wp:posOffset>
                      </wp:positionV>
                      <wp:extent cx="5794375" cy="3679825"/>
                      <wp:effectExtent l="0" t="0" r="0" b="0"/>
                      <wp:wrapNone/>
                      <wp:docPr id="281"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4375" cy="3679825"/>
                                <a:chOff x="0" y="0"/>
                                <a:chExt cx="5794375" cy="3679825"/>
                              </a:xfrm>
                            </wpg:grpSpPr>
                            <wps:wsp>
                              <wps:cNvPr id="282" name="Graphic 282"/>
                              <wps:cNvSpPr/>
                              <wps:spPr>
                                <a:xfrm>
                                  <a:off x="0" y="0"/>
                                  <a:ext cx="5794375" cy="3679825"/>
                                </a:xfrm>
                                <a:custGeom>
                                  <a:avLst/>
                                  <a:gdLst/>
                                  <a:ahLst/>
                                  <a:cxnLst/>
                                  <a:rect l="l" t="t" r="r" b="b"/>
                                  <a:pathLst>
                                    <a:path w="5794375" h="3679825">
                                      <a:moveTo>
                                        <a:pt x="5794248" y="3054108"/>
                                      </a:moveTo>
                                      <a:lnTo>
                                        <a:pt x="0" y="3054108"/>
                                      </a:lnTo>
                                      <a:lnTo>
                                        <a:pt x="0" y="3305556"/>
                                      </a:lnTo>
                                      <a:lnTo>
                                        <a:pt x="0" y="3492246"/>
                                      </a:lnTo>
                                      <a:lnTo>
                                        <a:pt x="0" y="3679698"/>
                                      </a:lnTo>
                                      <a:lnTo>
                                        <a:pt x="5794248" y="3679698"/>
                                      </a:lnTo>
                                      <a:lnTo>
                                        <a:pt x="5794248" y="3492246"/>
                                      </a:lnTo>
                                      <a:lnTo>
                                        <a:pt x="5794248" y="3305556"/>
                                      </a:lnTo>
                                      <a:lnTo>
                                        <a:pt x="5794248" y="3054108"/>
                                      </a:lnTo>
                                      <a:close/>
                                    </a:path>
                                    <a:path w="5794375" h="3679825">
                                      <a:moveTo>
                                        <a:pt x="5794248" y="2528328"/>
                                      </a:moveTo>
                                      <a:lnTo>
                                        <a:pt x="0" y="2528328"/>
                                      </a:lnTo>
                                      <a:lnTo>
                                        <a:pt x="0" y="2703576"/>
                                      </a:lnTo>
                                      <a:lnTo>
                                        <a:pt x="0" y="2878836"/>
                                      </a:lnTo>
                                      <a:lnTo>
                                        <a:pt x="0" y="3054096"/>
                                      </a:lnTo>
                                      <a:lnTo>
                                        <a:pt x="5794248" y="3054096"/>
                                      </a:lnTo>
                                      <a:lnTo>
                                        <a:pt x="5794248" y="2878836"/>
                                      </a:lnTo>
                                      <a:lnTo>
                                        <a:pt x="5794248" y="2703576"/>
                                      </a:lnTo>
                                      <a:lnTo>
                                        <a:pt x="5794248" y="2528328"/>
                                      </a:lnTo>
                                      <a:close/>
                                    </a:path>
                                    <a:path w="5794375" h="3679825">
                                      <a:moveTo>
                                        <a:pt x="5794248" y="2177808"/>
                                      </a:moveTo>
                                      <a:lnTo>
                                        <a:pt x="0" y="2177808"/>
                                      </a:lnTo>
                                      <a:lnTo>
                                        <a:pt x="0" y="2353056"/>
                                      </a:lnTo>
                                      <a:lnTo>
                                        <a:pt x="0" y="2528316"/>
                                      </a:lnTo>
                                      <a:lnTo>
                                        <a:pt x="5794248" y="2528316"/>
                                      </a:lnTo>
                                      <a:lnTo>
                                        <a:pt x="5794248" y="2353056"/>
                                      </a:lnTo>
                                      <a:lnTo>
                                        <a:pt x="5794248" y="2177808"/>
                                      </a:lnTo>
                                      <a:close/>
                                    </a:path>
                                    <a:path w="5794375" h="3679825">
                                      <a:moveTo>
                                        <a:pt x="5794248" y="1389900"/>
                                      </a:moveTo>
                                      <a:lnTo>
                                        <a:pt x="0" y="1389900"/>
                                      </a:lnTo>
                                      <a:lnTo>
                                        <a:pt x="0" y="1565148"/>
                                      </a:lnTo>
                                      <a:lnTo>
                                        <a:pt x="0" y="1816608"/>
                                      </a:lnTo>
                                      <a:lnTo>
                                        <a:pt x="0" y="2003298"/>
                                      </a:lnTo>
                                      <a:lnTo>
                                        <a:pt x="0" y="2177796"/>
                                      </a:lnTo>
                                      <a:lnTo>
                                        <a:pt x="5794248" y="2177796"/>
                                      </a:lnTo>
                                      <a:lnTo>
                                        <a:pt x="5794248" y="2003298"/>
                                      </a:lnTo>
                                      <a:lnTo>
                                        <a:pt x="5794248" y="1816608"/>
                                      </a:lnTo>
                                      <a:lnTo>
                                        <a:pt x="5794248" y="1565148"/>
                                      </a:lnTo>
                                      <a:lnTo>
                                        <a:pt x="5794248" y="1389900"/>
                                      </a:lnTo>
                                      <a:close/>
                                    </a:path>
                                    <a:path w="5794375" h="3679825">
                                      <a:moveTo>
                                        <a:pt x="5794248" y="777252"/>
                                      </a:moveTo>
                                      <a:lnTo>
                                        <a:pt x="0" y="777252"/>
                                      </a:lnTo>
                                      <a:lnTo>
                                        <a:pt x="0" y="952500"/>
                                      </a:lnTo>
                                      <a:lnTo>
                                        <a:pt x="0" y="1203960"/>
                                      </a:lnTo>
                                      <a:lnTo>
                                        <a:pt x="0" y="1389888"/>
                                      </a:lnTo>
                                      <a:lnTo>
                                        <a:pt x="5794248" y="1389888"/>
                                      </a:lnTo>
                                      <a:lnTo>
                                        <a:pt x="5794248" y="1203960"/>
                                      </a:lnTo>
                                      <a:lnTo>
                                        <a:pt x="5794248" y="952500"/>
                                      </a:lnTo>
                                      <a:lnTo>
                                        <a:pt x="5794248" y="777252"/>
                                      </a:lnTo>
                                      <a:close/>
                                    </a:path>
                                    <a:path w="5794375" h="3679825">
                                      <a:moveTo>
                                        <a:pt x="5794248" y="350532"/>
                                      </a:moveTo>
                                      <a:lnTo>
                                        <a:pt x="0" y="350532"/>
                                      </a:lnTo>
                                      <a:lnTo>
                                        <a:pt x="0" y="525780"/>
                                      </a:lnTo>
                                      <a:lnTo>
                                        <a:pt x="0" y="777240"/>
                                      </a:lnTo>
                                      <a:lnTo>
                                        <a:pt x="5794248" y="777240"/>
                                      </a:lnTo>
                                      <a:lnTo>
                                        <a:pt x="5794248" y="525780"/>
                                      </a:lnTo>
                                      <a:lnTo>
                                        <a:pt x="5794248" y="350532"/>
                                      </a:lnTo>
                                      <a:close/>
                                    </a:path>
                                    <a:path w="5794375" h="3679825">
                                      <a:moveTo>
                                        <a:pt x="5794248" y="0"/>
                                      </a:moveTo>
                                      <a:lnTo>
                                        <a:pt x="0" y="0"/>
                                      </a:lnTo>
                                      <a:lnTo>
                                        <a:pt x="0" y="175260"/>
                                      </a:lnTo>
                                      <a:lnTo>
                                        <a:pt x="0" y="350520"/>
                                      </a:lnTo>
                                      <a:lnTo>
                                        <a:pt x="5794248" y="350520"/>
                                      </a:lnTo>
                                      <a:lnTo>
                                        <a:pt x="5794248" y="175260"/>
                                      </a:lnTo>
                                      <a:lnTo>
                                        <a:pt x="5794248"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72FE1F08" id="Group 281" o:spid="_x0000_s1026" style="position:absolute;margin-left:3.25pt;margin-top:0;width:456.25pt;height:289.75pt;z-index:-251637760;mso-wrap-distance-left:0;mso-wrap-distance-right:0" coordsize="57943,36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">
                      <v:shape id="Graphic 282" o:spid="_x0000_s1027" style="position:absolute;width:57943;height:36798;visibility:visible;mso-wrap-style:square;v-text-anchor:top" coordsize="5794375,3679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" path="m5794248,3054108l,3054108r,251448l,3492246r,187452l5794248,3679698r,-187452l5794248,3305556r,-251448xem5794248,2528328l,2528328r,175248l,2878836r,175260l5794248,3054096r,-175260l5794248,2703576r,-175248xem5794248,2177808l,2177808r,175248l,2528316r5794248,l5794248,2353056r,-175248xem5794248,1389900l,1389900r,175248l,1816608r,186690l,2177796r5794248,l5794248,2003298r,-186690l5794248,1565148r,-175248xem5794248,777252l,777252,,952500r,251460l,1389888r5794248,l5794248,1203960r,-251460l5794248,777252xem5794248,350532l,350532,,525780,,777240r5794248,l5794248,525780r,-175248xem5794248,l,,,175260,,350520r5794248,l5794248,175260,5794248,xe" fillcolor="#d9d9d9" stroked="f">
                        <v:path arrowok="t"/>
                      </v:shape>
                    </v:group>
                  </w:pict>
                </mc:Fallback>
              </mc:AlternateContent>
            </w:r>
            <w:r w:rsidRPr="004D53EC">
              <w:rPr>
                <w:sz w:val="24"/>
                <w:lang w:val="sq-AL"/>
              </w:rPr>
              <w:t>.</w:t>
            </w:r>
          </w:p>
          <w:p w14:paraId="19061FD3" w14:textId="77777777" w:rsidR="006C790B" w:rsidRPr="004D53EC" w:rsidRDefault="006C790B" w:rsidP="006C790B">
            <w:pPr>
              <w:spacing w:before="120"/>
              <w:ind w:left="113" w:right="41"/>
              <w:jc w:val="both"/>
              <w:rPr>
                <w:sz w:val="24"/>
                <w:lang w:val="sq-AL"/>
              </w:rPr>
            </w:pPr>
            <w:r w:rsidRPr="004D53EC">
              <w:rPr>
                <w:sz w:val="24"/>
                <w:lang w:val="sq-AL"/>
              </w:rPr>
              <w:t>Rekomandimet e vitit të kaluar nuk janë përmbushur, dhe mbeten të vlefshme. Në vitin e ardhshëm Shqipëria duhet veçanërisht:</w:t>
            </w:r>
          </w:p>
          <w:p w14:paraId="1AFF9EF2" w14:textId="77777777" w:rsidR="006C790B" w:rsidRPr="004D53EC" w:rsidRDefault="006C790B" w:rsidP="006C790B">
            <w:pPr>
              <w:spacing w:before="120"/>
              <w:ind w:left="473" w:right="41" w:hanging="360"/>
              <w:jc w:val="both"/>
              <w:rPr>
                <w:sz w:val="24"/>
                <w:lang w:val="sq-AL"/>
              </w:rPr>
            </w:pPr>
            <w:r w:rsidRPr="004D53EC">
              <w:rPr>
                <w:rFonts w:ascii="Symbol" w:hAnsi="Symbol"/>
                <w:sz w:val="24"/>
                <w:lang w:val="sq-AL"/>
              </w:rPr>
              <w:t></w:t>
            </w:r>
            <w:r w:rsidRPr="004D53EC">
              <w:rPr>
                <w:spacing w:val="40"/>
                <w:sz w:val="24"/>
                <w:lang w:val="sq-AL"/>
              </w:rPr>
              <w:t xml:space="preserve"> </w:t>
            </w:r>
            <w:r w:rsidRPr="004D53EC">
              <w:rPr>
                <w:sz w:val="24"/>
                <w:lang w:val="sq-AL"/>
              </w:rPr>
              <w:t xml:space="preserve">të sigurojë </w:t>
            </w:r>
            <w:proofErr w:type="spellStart"/>
            <w:r w:rsidRPr="004D53EC">
              <w:rPr>
                <w:sz w:val="24"/>
                <w:lang w:val="sq-AL"/>
              </w:rPr>
              <w:t>akses</w:t>
            </w:r>
            <w:proofErr w:type="spellEnd"/>
            <w:r w:rsidRPr="004D53EC">
              <w:rPr>
                <w:sz w:val="24"/>
                <w:lang w:val="sq-AL"/>
              </w:rPr>
              <w:t xml:space="preserve"> të plotë në tregun e liberalizuar për të gjithë klientët e lidhur me 20 </w:t>
            </w:r>
            <w:proofErr w:type="spellStart"/>
            <w:r w:rsidRPr="004D53EC">
              <w:rPr>
                <w:sz w:val="24"/>
                <w:lang w:val="sq-AL"/>
              </w:rPr>
              <w:t>kV</w:t>
            </w:r>
            <w:proofErr w:type="spellEnd"/>
            <w:r w:rsidRPr="004D53EC">
              <w:rPr>
                <w:sz w:val="24"/>
                <w:lang w:val="sq-AL"/>
              </w:rPr>
              <w:t xml:space="preserve"> në vitin 2022, të zgjerojë në mënyrë progresive këtë </w:t>
            </w:r>
            <w:proofErr w:type="spellStart"/>
            <w:r w:rsidRPr="004D53EC">
              <w:rPr>
                <w:sz w:val="24"/>
                <w:lang w:val="sq-AL"/>
              </w:rPr>
              <w:t>akses</w:t>
            </w:r>
            <w:proofErr w:type="spellEnd"/>
            <w:r w:rsidRPr="004D53EC">
              <w:rPr>
                <w:sz w:val="24"/>
                <w:lang w:val="sq-AL"/>
              </w:rPr>
              <w:t xml:space="preserve"> për të gjithë klientët dhe të shesë dhe blejë energji elektrike për të mbuluar humbjet e shpërndarjes në bursën e energjisë ALPEX;</w:t>
            </w:r>
          </w:p>
          <w:p w14:paraId="5B8173B8" w14:textId="77777777" w:rsidR="006C790B" w:rsidRPr="004D53EC" w:rsidRDefault="006C790B" w:rsidP="006C790B">
            <w:pPr>
              <w:spacing w:before="120"/>
              <w:ind w:left="473" w:right="41" w:hanging="360"/>
              <w:jc w:val="both"/>
              <w:rPr>
                <w:sz w:val="24"/>
                <w:lang w:val="sq-AL"/>
              </w:rPr>
            </w:pPr>
            <w:r w:rsidRPr="004D53EC">
              <w:rPr>
                <w:rFonts w:ascii="Symbol" w:hAnsi="Symbol"/>
                <w:sz w:val="24"/>
                <w:lang w:val="sq-AL"/>
              </w:rPr>
              <w:t></w:t>
            </w:r>
            <w:r w:rsidRPr="004D53EC">
              <w:rPr>
                <w:spacing w:val="40"/>
                <w:sz w:val="24"/>
                <w:lang w:val="sq-AL"/>
              </w:rPr>
              <w:t xml:space="preserve"> </w:t>
            </w:r>
            <w:r w:rsidRPr="004D53EC">
              <w:rPr>
                <w:sz w:val="24"/>
                <w:lang w:val="sq-AL"/>
              </w:rPr>
              <w:t xml:space="preserve">të përditësojë dhe zbatojë Planin Kombëtar të Energjisë dhe Klimës 2020-2030 (NECP), si pjesë e udhërrëfyesit të </w:t>
            </w:r>
            <w:proofErr w:type="spellStart"/>
            <w:r w:rsidRPr="004D53EC">
              <w:rPr>
                <w:sz w:val="24"/>
                <w:lang w:val="sq-AL"/>
              </w:rPr>
              <w:t>dekarbonizimit</w:t>
            </w:r>
            <w:proofErr w:type="spellEnd"/>
            <w:r w:rsidRPr="004D53EC">
              <w:rPr>
                <w:sz w:val="24"/>
                <w:lang w:val="sq-AL"/>
              </w:rPr>
              <w:t xml:space="preserve"> 2030, dhe të sigurojë që operatori shqiptar i energjisë së </w:t>
            </w:r>
            <w:proofErr w:type="spellStart"/>
            <w:r w:rsidRPr="004D53EC">
              <w:rPr>
                <w:sz w:val="24"/>
                <w:lang w:val="sq-AL"/>
              </w:rPr>
              <w:t>rinovueshme</w:t>
            </w:r>
            <w:proofErr w:type="spellEnd"/>
            <w:r w:rsidRPr="004D53EC">
              <w:rPr>
                <w:sz w:val="24"/>
                <w:lang w:val="sq-AL"/>
              </w:rPr>
              <w:t xml:space="preserve"> të jetë funksional deri në fund të vitit 2023; të forcojë kapacitetin e Agjencisë për </w:t>
            </w:r>
            <w:proofErr w:type="spellStart"/>
            <w:r w:rsidRPr="004D53EC">
              <w:rPr>
                <w:sz w:val="24"/>
                <w:lang w:val="sq-AL"/>
              </w:rPr>
              <w:t>Efiçiencën</w:t>
            </w:r>
            <w:proofErr w:type="spellEnd"/>
            <w:r w:rsidRPr="004D53EC">
              <w:rPr>
                <w:sz w:val="24"/>
                <w:lang w:val="sq-AL"/>
              </w:rPr>
              <w:t xml:space="preserve"> e Energjisë dhe të vazhdojë hartimin dhe miratimin e legjislacionit zbatues, duke përfshirë krijimin e skemës së detyrimit për </w:t>
            </w:r>
            <w:proofErr w:type="spellStart"/>
            <w:r w:rsidRPr="004D53EC">
              <w:rPr>
                <w:sz w:val="24"/>
                <w:lang w:val="sq-AL"/>
              </w:rPr>
              <w:t>efiçiencën</w:t>
            </w:r>
            <w:proofErr w:type="spellEnd"/>
            <w:r w:rsidRPr="004D53EC">
              <w:rPr>
                <w:sz w:val="24"/>
                <w:lang w:val="sq-AL"/>
              </w:rPr>
              <w:t xml:space="preserve"> e energjisë dhe miratimin e rregulloreve për etiketimin. Të vazhdojë me vlerësimin gjithëpërfshirës të potencialit të </w:t>
            </w:r>
            <w:proofErr w:type="spellStart"/>
            <w:r w:rsidRPr="004D53EC">
              <w:rPr>
                <w:sz w:val="24"/>
                <w:lang w:val="sq-AL"/>
              </w:rPr>
              <w:t>bashkëgjenerimit</w:t>
            </w:r>
            <w:proofErr w:type="spellEnd"/>
            <w:r w:rsidRPr="004D53EC">
              <w:rPr>
                <w:sz w:val="24"/>
                <w:lang w:val="sq-AL"/>
              </w:rPr>
              <w:t xml:space="preserve"> me </w:t>
            </w:r>
            <w:proofErr w:type="spellStart"/>
            <w:r w:rsidRPr="004D53EC">
              <w:rPr>
                <w:sz w:val="24"/>
                <w:lang w:val="sq-AL"/>
              </w:rPr>
              <w:t>efiçencë</w:t>
            </w:r>
            <w:proofErr w:type="spellEnd"/>
            <w:r w:rsidRPr="004D53EC">
              <w:rPr>
                <w:sz w:val="24"/>
                <w:lang w:val="sq-AL"/>
              </w:rPr>
              <w:t xml:space="preserve"> të lartë dhe ngrohjes qendrore, në përputhje me detyrimet e tij sipas Direktivës së </w:t>
            </w:r>
            <w:proofErr w:type="spellStart"/>
            <w:r w:rsidRPr="004D53EC">
              <w:rPr>
                <w:sz w:val="24"/>
                <w:lang w:val="sq-AL"/>
              </w:rPr>
              <w:t>Efiçiencës</w:t>
            </w:r>
            <w:proofErr w:type="spellEnd"/>
            <w:r w:rsidRPr="004D53EC">
              <w:rPr>
                <w:sz w:val="24"/>
                <w:lang w:val="sq-AL"/>
              </w:rPr>
              <w:t xml:space="preserve"> së Energjisë;</w:t>
            </w:r>
          </w:p>
          <w:p w14:paraId="10413077" w14:textId="77777777" w:rsidR="006C790B" w:rsidRPr="004D53EC" w:rsidRDefault="006C790B" w:rsidP="006C790B">
            <w:pPr>
              <w:spacing w:before="118" w:line="270" w:lineRule="atLeast"/>
              <w:ind w:left="473" w:right="40" w:hanging="360"/>
              <w:jc w:val="both"/>
              <w:rPr>
                <w:sz w:val="24"/>
                <w:lang w:val="sq-AL"/>
              </w:rPr>
            </w:pPr>
            <w:r w:rsidRPr="004D53EC">
              <w:rPr>
                <w:rFonts w:ascii="Symbol" w:hAnsi="Symbol"/>
                <w:sz w:val="24"/>
                <w:lang w:val="sq-AL"/>
              </w:rPr>
              <w:t></w:t>
            </w:r>
            <w:r w:rsidRPr="004D53EC">
              <w:rPr>
                <w:sz w:val="24"/>
                <w:lang w:val="sq-AL"/>
              </w:rPr>
              <w:t xml:space="preserve"> të zhvendosë dhe zbatojë Paketën e Integrimit të Energjisë Elektrike të miratuar nga Këshilli Ministror i Komunitetit të Energjisë në dhjetor 2022.</w:t>
            </w:r>
          </w:p>
        </w:tc>
      </w:tr>
    </w:tbl>
    <w:p w14:paraId="52A1A88D" w14:textId="77777777" w:rsidR="006C790B" w:rsidRPr="004D53EC" w:rsidRDefault="006C790B" w:rsidP="006C790B">
      <w:pPr>
        <w:pStyle w:val="BodyText"/>
        <w:spacing w:before="143"/>
        <w:ind w:right="977"/>
        <w:rPr>
          <w:lang w:val="sq-AL"/>
        </w:rPr>
      </w:pPr>
      <w:r w:rsidRPr="004D53EC">
        <w:rPr>
          <w:lang w:val="sq-AL" w:bidi="sq-AL"/>
        </w:rPr>
        <w:t xml:space="preserve">Sa i përket </w:t>
      </w:r>
      <w:r w:rsidRPr="004D53EC">
        <w:rPr>
          <w:b/>
          <w:lang w:val="sq-AL" w:bidi="sq-AL"/>
        </w:rPr>
        <w:t>sigurisë së furnizimit</w:t>
      </w:r>
      <w:r w:rsidRPr="004D53EC">
        <w:rPr>
          <w:lang w:val="sq-AL" w:bidi="sq-AL"/>
        </w:rPr>
        <w:t xml:space="preserve">, Shqipëria ka ende përgatitje mesatare, por legjislacioni i saj për rezervat e naftës nuk është ende në linjë me </w:t>
      </w:r>
      <w:proofErr w:type="spellStart"/>
      <w:r w:rsidRPr="004D53EC">
        <w:rPr>
          <w:i/>
          <w:lang w:val="sq-AL" w:bidi="sq-AL"/>
        </w:rPr>
        <w:t>acquis</w:t>
      </w:r>
      <w:proofErr w:type="spellEnd"/>
      <w:r w:rsidRPr="004D53EC">
        <w:rPr>
          <w:i/>
          <w:lang w:val="sq-AL" w:bidi="sq-AL"/>
        </w:rPr>
        <w:t>-në</w:t>
      </w:r>
      <w:r w:rsidRPr="004D53EC">
        <w:rPr>
          <w:lang w:val="sq-AL" w:bidi="sq-AL"/>
        </w:rPr>
        <w:t xml:space="preserve"> e BE-së. Duhet të miratohen dy rregullore për përafrimin e modelit aktual për industrinë me </w:t>
      </w:r>
      <w:proofErr w:type="spellStart"/>
      <w:r w:rsidRPr="004D53EC">
        <w:rPr>
          <w:i/>
          <w:lang w:val="sq-AL" w:bidi="sq-AL"/>
        </w:rPr>
        <w:t>acquis</w:t>
      </w:r>
      <w:proofErr w:type="spellEnd"/>
      <w:r w:rsidRPr="004D53EC">
        <w:rPr>
          <w:i/>
          <w:lang w:val="sq-AL" w:bidi="sq-AL"/>
        </w:rPr>
        <w:t>-në</w:t>
      </w:r>
      <w:r w:rsidRPr="004D53EC">
        <w:rPr>
          <w:lang w:val="sq-AL" w:bidi="sq-AL"/>
        </w:rPr>
        <w:t xml:space="preserve"> e BE-së, të përgatitura në bashkëpunim me Komunitetin e Energjisë. Ka nevojë për progres për ngritjen e një organi qendror për mbajtjen e rezervave të naftës. Shqipëria duhet të përafrohet me </w:t>
      </w:r>
      <w:proofErr w:type="spellStart"/>
      <w:r w:rsidRPr="004D53EC">
        <w:rPr>
          <w:i/>
          <w:lang w:val="sq-AL" w:bidi="sq-AL"/>
        </w:rPr>
        <w:t>acquis</w:t>
      </w:r>
      <w:proofErr w:type="spellEnd"/>
      <w:r w:rsidRPr="004D53EC">
        <w:rPr>
          <w:i/>
          <w:lang w:val="sq-AL" w:bidi="sq-AL"/>
        </w:rPr>
        <w:t>-në</w:t>
      </w:r>
      <w:r w:rsidRPr="004D53EC">
        <w:rPr>
          <w:lang w:val="sq-AL" w:bidi="sq-AL"/>
        </w:rPr>
        <w:t xml:space="preserve"> për rezervat minimale të naftës bruto dhe produkteve të naftës në nevojshme për sigurinë e furnizimit. Për më tepër, modeli i Shqipërisë për rezervat e naftës për emergjenca nuk është ndryshuar ende.</w:t>
      </w:r>
    </w:p>
    <w:p w14:paraId="1ECC120D" w14:textId="77777777" w:rsidR="006C790B" w:rsidRPr="004D53EC" w:rsidRDefault="006C790B" w:rsidP="006C790B">
      <w:pPr>
        <w:pStyle w:val="BodyText"/>
        <w:rPr>
          <w:lang w:val="sq-AL"/>
        </w:rPr>
      </w:pPr>
      <w:r w:rsidRPr="004D53EC">
        <w:rPr>
          <w:lang w:val="sq-AL" w:bidi="sq-AL"/>
        </w:rPr>
        <w:t xml:space="preserve">Në dhjetor të vitit 2022, qeveria miratoi planin kombëtar të veprimit për përgjigjen ndaj krizës energjetike. Ky plan ndjek një sërë masash të marra nga qeveria gjatë situatës së emergjencës për furnizimin me energji elektrike, në fuqi deri më 31 dhjetor 2023. Plani u përqendrua në familjet e cenueshme dhe NVM-të gjatë dimrit 2022-2023, ndërkohë që vijuan reformat për qëndrueshmërinë e energjisë dhe rezistencën e godinave përmes burimeve të </w:t>
      </w:r>
      <w:proofErr w:type="spellStart"/>
      <w:r w:rsidRPr="004D53EC">
        <w:rPr>
          <w:lang w:val="sq-AL" w:bidi="sq-AL"/>
        </w:rPr>
        <w:t>diversifikuara</w:t>
      </w:r>
      <w:proofErr w:type="spellEnd"/>
      <w:r w:rsidRPr="004D53EC">
        <w:rPr>
          <w:lang w:val="sq-AL" w:bidi="sq-AL"/>
        </w:rPr>
        <w:t xml:space="preserve"> të energjisë.</w:t>
      </w:r>
    </w:p>
    <w:p w14:paraId="15DD349F" w14:textId="77777777" w:rsidR="006C790B" w:rsidRPr="004D53EC" w:rsidRDefault="006C790B" w:rsidP="006C790B">
      <w:pPr>
        <w:pStyle w:val="BodyText"/>
        <w:spacing w:before="119"/>
        <w:rPr>
          <w:lang w:val="sq-AL"/>
        </w:rPr>
      </w:pPr>
      <w:r w:rsidRPr="004D53EC">
        <w:rPr>
          <w:lang w:val="sq-AL" w:bidi="sq-AL"/>
        </w:rPr>
        <w:t xml:space="preserve">Sistemi shqiptar i energjisë elektrike është lidhur me sisteme në Greqi dhe Malin e Zi që prej vitit 2014. Bursa Shqiptare e Energjisë u themelua në tetor të vitit 2020 dhe ka organizuar ankandin e parë të ditës në avancë për furnizimin me energji elektrike më 12 prill 2023. Ajo synon të nxisë më shumë investime në energji të </w:t>
      </w:r>
      <w:proofErr w:type="spellStart"/>
      <w:r w:rsidRPr="004D53EC">
        <w:rPr>
          <w:lang w:val="sq-AL" w:bidi="sq-AL"/>
        </w:rPr>
        <w:t>rinovueshme</w:t>
      </w:r>
      <w:proofErr w:type="spellEnd"/>
      <w:r w:rsidRPr="004D53EC">
        <w:rPr>
          <w:lang w:val="sq-AL" w:bidi="sq-AL"/>
        </w:rPr>
        <w:t>, të garantojë shitjen e energjisë elektrike dhe të plotësojë mangësitë në prodhim. Në vitin 2022, humbjet e energjisë elektrike gjatë shpërndarjes në rrjetin elektrik vijuan të ishin në nivelin e 19,7%, duke pësuar rënie të lehtë (0,3%) krahasuar me vitin 2021. Paketa e Integrimit të Energjisë nuk është miratuar ende.</w:t>
      </w:r>
    </w:p>
    <w:p w14:paraId="62387E91" w14:textId="77777777" w:rsidR="006C790B" w:rsidRPr="004D53EC" w:rsidRDefault="006C790B" w:rsidP="006C790B">
      <w:pPr>
        <w:pStyle w:val="BodyText"/>
        <w:rPr>
          <w:lang w:val="sq-AL"/>
        </w:rPr>
      </w:pPr>
      <w:r w:rsidRPr="004D53EC">
        <w:rPr>
          <w:lang w:val="sq-AL" w:bidi="sq-AL"/>
        </w:rPr>
        <w:t xml:space="preserve">Shqipëria synon të lidhë termocentralin e Vlorës me Gazsjellësin Trans Adriatik (TAP) përmes një tubacioni të gazit natyror, si dhe përmes një terminali për LNG, me qëllim përmirësimin e sigurisë së energjisë për vendin dhe rajonin. Marrëveshjet paraprake për furnizimin me gaz janë nënshkruar, por gjatë periudhës së raportimit nuk ka progres sa i përket zhvillimit të infrastrukturës së gazit për qëllimet e vendit. Këto plane kanë ngritur shqetësime në shoqërinë </w:t>
      </w:r>
      <w:r w:rsidRPr="004D53EC">
        <w:rPr>
          <w:lang w:val="sq-AL" w:bidi="sq-AL"/>
        </w:rPr>
        <w:lastRenderedPageBreak/>
        <w:t xml:space="preserve">civile, veçanërisht sa i përket mbrojtjes së Gjirit të Vlorës. </w:t>
      </w:r>
      <w:proofErr w:type="spellStart"/>
      <w:r w:rsidRPr="004D53EC">
        <w:rPr>
          <w:lang w:val="sq-AL" w:bidi="sq-AL"/>
        </w:rPr>
        <w:t>Albgaz</w:t>
      </w:r>
      <w:proofErr w:type="spellEnd"/>
      <w:r w:rsidRPr="004D53EC">
        <w:rPr>
          <w:lang w:val="sq-AL" w:bidi="sq-AL"/>
        </w:rPr>
        <w:t xml:space="preserve"> është licencuar dhe certifikuar nga Enti Rregullator i Energjisë (ERE) si operator i kombinuar transmetimi dhe shpërndarjeje gazi. Megjithatë disa</w:t>
      </w:r>
    </w:p>
    <w:p w14:paraId="71C6808F" w14:textId="77777777" w:rsidR="006C790B" w:rsidRPr="004D53EC" w:rsidRDefault="006C790B" w:rsidP="006C790B">
      <w:pPr>
        <w:pStyle w:val="BodyText"/>
        <w:spacing w:before="62"/>
        <w:rPr>
          <w:lang w:val="sq-AL"/>
        </w:rPr>
      </w:pPr>
      <w:r w:rsidRPr="004D53EC">
        <w:rPr>
          <w:lang w:val="sq-AL" w:bidi="sq-AL"/>
        </w:rPr>
        <w:t xml:space="preserve">kushte certifikimi nuk janë përmbushur ende. </w:t>
      </w:r>
      <w:proofErr w:type="spellStart"/>
      <w:r w:rsidRPr="004D53EC">
        <w:rPr>
          <w:lang w:val="sq-AL" w:bidi="sq-AL"/>
        </w:rPr>
        <w:t>Albgaz</w:t>
      </w:r>
      <w:proofErr w:type="spellEnd"/>
      <w:r w:rsidRPr="004D53EC">
        <w:rPr>
          <w:lang w:val="sq-AL" w:bidi="sq-AL"/>
        </w:rPr>
        <w:t xml:space="preserve"> ka status vëzhguesi në Rrjetin Evropian të Operatorëve të Sistemeve të Transmetimit për Gazin (ENTSO-G).</w:t>
      </w:r>
    </w:p>
    <w:p w14:paraId="673ED01A" w14:textId="77777777" w:rsidR="006C790B" w:rsidRPr="004D53EC" w:rsidRDefault="006C790B" w:rsidP="006C790B">
      <w:pPr>
        <w:pStyle w:val="BodyText"/>
        <w:rPr>
          <w:lang w:val="sq-AL"/>
        </w:rPr>
      </w:pPr>
      <w:r w:rsidRPr="004D53EC">
        <w:rPr>
          <w:lang w:val="sq-AL" w:bidi="sq-AL"/>
        </w:rPr>
        <w:t xml:space="preserve">Lidhur me </w:t>
      </w:r>
      <w:r w:rsidRPr="004D53EC">
        <w:rPr>
          <w:b/>
          <w:lang w:val="sq-AL" w:bidi="sq-AL"/>
        </w:rPr>
        <w:t>tregun e brendshëm të energjisë</w:t>
      </w:r>
      <w:r w:rsidRPr="004D53EC">
        <w:rPr>
          <w:lang w:val="sq-AL" w:bidi="sq-AL"/>
        </w:rPr>
        <w:t xml:space="preserve">, </w:t>
      </w:r>
      <w:proofErr w:type="spellStart"/>
      <w:r w:rsidRPr="004D53EC">
        <w:rPr>
          <w:lang w:val="sq-AL" w:bidi="sq-AL"/>
        </w:rPr>
        <w:t>transpozimi</w:t>
      </w:r>
      <w:proofErr w:type="spellEnd"/>
      <w:r w:rsidRPr="004D53EC">
        <w:rPr>
          <w:lang w:val="sq-AL" w:bidi="sq-AL"/>
        </w:rPr>
        <w:t xml:space="preserve"> dhe zbatimi i paketës së integrimit të energjisë elektrike të sapo miratuar nuk është kryer ende. Operatori i sistemit të transmetimit është i ndarë (</w:t>
      </w:r>
      <w:proofErr w:type="spellStart"/>
      <w:r w:rsidRPr="004D53EC">
        <w:rPr>
          <w:lang w:val="sq-AL" w:bidi="sq-AL"/>
        </w:rPr>
        <w:t>unbundled</w:t>
      </w:r>
      <w:proofErr w:type="spellEnd"/>
      <w:r w:rsidRPr="004D53EC">
        <w:rPr>
          <w:lang w:val="sq-AL" w:bidi="sq-AL"/>
        </w:rPr>
        <w:t>) dhe i certifikuar. Ndarja ligjore e operatorit të sistemit të shpërndarjes nga dega e furnizimit u përfundua përmes ristrukturimit të ish OSHEE-së në një shoqëri me tre degë të licencuara përkatësisht si ofruesi i shërbimit universal (FSHU), furnizuesi i tregut të lirë (FTL) dhe operatori i sistemit të shpërndarjes (OSSH).</w:t>
      </w:r>
    </w:p>
    <w:p w14:paraId="6FC273D9" w14:textId="77777777" w:rsidR="006C790B" w:rsidRPr="004D53EC" w:rsidRDefault="006C790B" w:rsidP="006C790B">
      <w:pPr>
        <w:pStyle w:val="BodyText"/>
        <w:rPr>
          <w:lang w:val="sq-AL"/>
        </w:rPr>
      </w:pPr>
      <w:r w:rsidRPr="004D53EC">
        <w:rPr>
          <w:lang w:val="sq-AL" w:bidi="sq-AL"/>
        </w:rPr>
        <w:t>Në dhjetor të vitit 2022, ERE miratoi kontratën për ofrimin e shërbimeve të zyrtarit të përputhshmërisë për operatorin e sistemit të shpërndarjes, që ishte masa e fundit e nevojshme për sigurimin e ndarjes funksionale të operatorit të sistemit të shpërndarjes. Komuniteti i Energjisë mbylli çështjen e shkeljes ECS-4/17 për mungesën e ndarjes së sistemit të shpërndarjes në vitin 2023. Me futjen në funksion të Bursës Shqiptare të Energjisë në prill të vitit 2023, ndarja e pozicionon Shqipërinë më mirë për të zhvilluar më tej tregun e vet të energjisë. Tregu i të njëjtës ditë nuk është krijuar ende. Nevojiten përpjekje të mëtejshme për përforcimin e kapaciteteve administrative të Entit Rregullator të Energjisë (ERE).</w:t>
      </w:r>
    </w:p>
    <w:p w14:paraId="11E33615" w14:textId="77777777" w:rsidR="006C790B" w:rsidRPr="004D53EC" w:rsidRDefault="006C790B" w:rsidP="006C790B">
      <w:pPr>
        <w:pStyle w:val="BodyText"/>
        <w:rPr>
          <w:lang w:val="sq-AL"/>
        </w:rPr>
      </w:pPr>
      <w:r w:rsidRPr="004D53EC">
        <w:rPr>
          <w:b/>
          <w:lang w:val="sq-AL" w:bidi="sq-AL"/>
        </w:rPr>
        <w:t>Çmimet e energjisë</w:t>
      </w:r>
      <w:r w:rsidRPr="004D53EC">
        <w:rPr>
          <w:lang w:val="sq-AL" w:bidi="sq-AL"/>
        </w:rPr>
        <w:t xml:space="preserve"> nuk janë të </w:t>
      </w:r>
      <w:proofErr w:type="spellStart"/>
      <w:r w:rsidRPr="004D53EC">
        <w:rPr>
          <w:lang w:val="sq-AL" w:bidi="sq-AL"/>
        </w:rPr>
        <w:t>liberalizuara</w:t>
      </w:r>
      <w:proofErr w:type="spellEnd"/>
      <w:r w:rsidRPr="004D53EC">
        <w:rPr>
          <w:lang w:val="sq-AL" w:bidi="sq-AL"/>
        </w:rPr>
        <w:t xml:space="preserve"> plotësisht. Të gjithë konsumatorët e lidhur me 35kV përfitojnë nga tregu i parregulluar. Hapi vijues (</w:t>
      </w:r>
      <w:proofErr w:type="spellStart"/>
      <w:r w:rsidRPr="004D53EC">
        <w:rPr>
          <w:lang w:val="sq-AL" w:bidi="sq-AL"/>
        </w:rPr>
        <w:t>derregullimi</w:t>
      </w:r>
      <w:proofErr w:type="spellEnd"/>
      <w:r w:rsidRPr="004D53EC">
        <w:rPr>
          <w:lang w:val="sq-AL" w:bidi="sq-AL"/>
        </w:rPr>
        <w:t xml:space="preserve"> i furnizimit në të gjitha nivelet e tensionit përveç 0,4 </w:t>
      </w:r>
      <w:proofErr w:type="spellStart"/>
      <w:r w:rsidRPr="004D53EC">
        <w:rPr>
          <w:lang w:val="sq-AL" w:bidi="sq-AL"/>
        </w:rPr>
        <w:t>kV</w:t>
      </w:r>
      <w:proofErr w:type="spellEnd"/>
      <w:r w:rsidRPr="004D53EC">
        <w:rPr>
          <w:lang w:val="sq-AL" w:bidi="sq-AL"/>
        </w:rPr>
        <w:t xml:space="preserve">) nuk ka përfunduar ende. Duke marrë në konsideratë krizën energjetike, në vitin 2021 u vu në zbatim një mekanizëm </w:t>
      </w:r>
      <w:proofErr w:type="spellStart"/>
      <w:r w:rsidRPr="004D53EC">
        <w:rPr>
          <w:lang w:val="sq-AL" w:bidi="sq-AL"/>
        </w:rPr>
        <w:t>tranzicioni</w:t>
      </w:r>
      <w:proofErr w:type="spellEnd"/>
      <w:r w:rsidRPr="004D53EC">
        <w:rPr>
          <w:lang w:val="sq-AL" w:bidi="sq-AL"/>
        </w:rPr>
        <w:t xml:space="preserve"> për t'i lejuar Korporatës </w:t>
      </w:r>
      <w:proofErr w:type="spellStart"/>
      <w:r w:rsidRPr="004D53EC">
        <w:rPr>
          <w:lang w:val="sq-AL" w:bidi="sq-AL"/>
        </w:rPr>
        <w:t>Elektroenergjetik</w:t>
      </w:r>
      <w:proofErr w:type="spellEnd"/>
      <w:r w:rsidRPr="004D53EC">
        <w:rPr>
          <w:lang w:val="sq-AL" w:bidi="sq-AL"/>
        </w:rPr>
        <w:t xml:space="preserve"> Shqiptare (KESH) të blinte energji jashtë vendit dhe të përcaktonte një çmim tavan për konsumatorët, zbatimi i të cilit është shtyrë deri në dhjetor të vitit 2023.</w:t>
      </w:r>
    </w:p>
    <w:p w14:paraId="549E8CFC" w14:textId="77777777" w:rsidR="006C790B" w:rsidRPr="004D53EC" w:rsidRDefault="006C790B" w:rsidP="006C790B">
      <w:pPr>
        <w:pStyle w:val="BodyText"/>
        <w:ind w:right="977"/>
        <w:rPr>
          <w:lang w:val="sq-AL"/>
        </w:rPr>
      </w:pPr>
      <w:r w:rsidRPr="004D53EC">
        <w:rPr>
          <w:lang w:val="sq-AL" w:bidi="sq-AL"/>
        </w:rPr>
        <w:t xml:space="preserve">Kuadri ligjor i ERE-s është në linjë me </w:t>
      </w:r>
      <w:proofErr w:type="spellStart"/>
      <w:r w:rsidRPr="004D53EC">
        <w:rPr>
          <w:i/>
          <w:lang w:val="sq-AL" w:bidi="sq-AL"/>
        </w:rPr>
        <w:t>acquis</w:t>
      </w:r>
      <w:proofErr w:type="spellEnd"/>
      <w:r w:rsidRPr="004D53EC">
        <w:rPr>
          <w:i/>
          <w:lang w:val="sq-AL" w:bidi="sq-AL"/>
        </w:rPr>
        <w:t>-në</w:t>
      </w:r>
      <w:r w:rsidRPr="004D53EC">
        <w:rPr>
          <w:lang w:val="sq-AL" w:bidi="sq-AL"/>
        </w:rPr>
        <w:t xml:space="preserve"> e BE-së, përveç të drejtës së rregullatorit për përcaktimin e masave për nxitjen e konkurrencës, që i kërkojnë operatorëve të sistemit të transmetimit dhe shpërndarjes të ndryshojnë termat dhe kushtet e tyre, dhe rritjes së nivelit të sanksioneve që ERE mund të caktojë. ERE duhet ende të zhvillojë kapacitetet e veta për trajtimin e mangësive në tregjet e energjisë.</w:t>
      </w:r>
    </w:p>
    <w:p w14:paraId="619372B7" w14:textId="77777777" w:rsidR="006C790B" w:rsidRPr="004D53EC" w:rsidRDefault="006C790B" w:rsidP="006C790B">
      <w:pPr>
        <w:pStyle w:val="BodyText"/>
        <w:spacing w:before="119"/>
        <w:ind w:right="979"/>
        <w:rPr>
          <w:lang w:val="sq-AL"/>
        </w:rPr>
      </w:pPr>
      <w:r w:rsidRPr="004D53EC">
        <w:rPr>
          <w:lang w:val="sq-AL" w:bidi="sq-AL"/>
        </w:rPr>
        <w:t xml:space="preserve">Legjislacioni shqiptar është pjesërisht i përafruar me direktivën për licencimin e </w:t>
      </w:r>
      <w:r w:rsidRPr="004D53EC">
        <w:rPr>
          <w:b/>
          <w:lang w:val="sq-AL" w:bidi="sq-AL"/>
        </w:rPr>
        <w:t>hidrokarbureve.</w:t>
      </w:r>
      <w:r w:rsidRPr="004D53EC">
        <w:rPr>
          <w:lang w:val="sq-AL" w:bidi="sq-AL"/>
        </w:rPr>
        <w:t xml:space="preserve"> Ai nuk është përafruar me Direktivën për sigurinë e instalimeve të naftës dhe gazit në det.</w:t>
      </w:r>
    </w:p>
    <w:p w14:paraId="70A4C825" w14:textId="77777777" w:rsidR="006C790B" w:rsidRPr="004D53EC" w:rsidRDefault="006C790B" w:rsidP="006C790B">
      <w:pPr>
        <w:pStyle w:val="BodyText"/>
        <w:ind w:right="977"/>
        <w:rPr>
          <w:lang w:val="sq-AL"/>
        </w:rPr>
      </w:pPr>
      <w:r w:rsidRPr="004D53EC">
        <w:rPr>
          <w:lang w:val="sq-AL" w:bidi="sq-AL"/>
        </w:rPr>
        <w:t>Shqipëria duhet të përditësojë dhe të zbatojë planin kombëtar të energjisë dhe klimës (PKEK) të miratuar në vitin 2021, në përputhje me synimet për klimën dhe energjinë për vitin 2030.</w:t>
      </w:r>
    </w:p>
    <w:p w14:paraId="7C9F2255" w14:textId="77777777" w:rsidR="006C790B" w:rsidRPr="004D53EC" w:rsidRDefault="006C790B" w:rsidP="006C790B">
      <w:pPr>
        <w:pStyle w:val="BodyText"/>
        <w:rPr>
          <w:lang w:val="sq-AL"/>
        </w:rPr>
      </w:pPr>
      <w:r w:rsidRPr="004D53EC">
        <w:rPr>
          <w:lang w:val="sq-AL" w:bidi="sq-AL"/>
        </w:rPr>
        <w:t xml:space="preserve">Sa i përket </w:t>
      </w:r>
      <w:r w:rsidRPr="004D53EC">
        <w:rPr>
          <w:b/>
          <w:lang w:val="sq-AL" w:bidi="sq-AL"/>
        </w:rPr>
        <w:t xml:space="preserve">energjisë së </w:t>
      </w:r>
      <w:proofErr w:type="spellStart"/>
      <w:r w:rsidRPr="004D53EC">
        <w:rPr>
          <w:b/>
          <w:lang w:val="sq-AL" w:bidi="sq-AL"/>
        </w:rPr>
        <w:t>rinovueshme</w:t>
      </w:r>
      <w:proofErr w:type="spellEnd"/>
      <w:r w:rsidRPr="004D53EC">
        <w:rPr>
          <w:b/>
          <w:lang w:val="sq-AL" w:bidi="sq-AL"/>
        </w:rPr>
        <w:t>,</w:t>
      </w:r>
      <w:r w:rsidRPr="004D53EC">
        <w:rPr>
          <w:lang w:val="sq-AL" w:bidi="sq-AL"/>
        </w:rPr>
        <w:t xml:space="preserve"> skema e mbështetjes për tarifën "</w:t>
      </w:r>
      <w:proofErr w:type="spellStart"/>
      <w:r w:rsidRPr="004D53EC">
        <w:rPr>
          <w:lang w:val="sq-AL" w:bidi="sq-AL"/>
        </w:rPr>
        <w:t>feed</w:t>
      </w:r>
      <w:proofErr w:type="spellEnd"/>
      <w:r w:rsidRPr="004D53EC">
        <w:rPr>
          <w:lang w:val="sq-AL" w:bidi="sq-AL"/>
        </w:rPr>
        <w:t>-in" (FIT) është transformuar në kontratë diference (</w:t>
      </w:r>
      <w:proofErr w:type="spellStart"/>
      <w:r w:rsidRPr="004D53EC">
        <w:rPr>
          <w:lang w:val="sq-AL" w:bidi="sq-AL"/>
        </w:rPr>
        <w:t>CfD</w:t>
      </w:r>
      <w:proofErr w:type="spellEnd"/>
      <w:r w:rsidRPr="004D53EC">
        <w:rPr>
          <w:lang w:val="sq-AL" w:bidi="sq-AL"/>
        </w:rPr>
        <w:t xml:space="preserve">) për prodhuesit e mëdhenj, mbi bazën e së cilës do të konvertohen edhe marrëveshjet aktuale për blerjen e energjisë (PPA). Duhet të krijohet një operator i energjisë së </w:t>
      </w:r>
      <w:proofErr w:type="spellStart"/>
      <w:r w:rsidRPr="004D53EC">
        <w:rPr>
          <w:lang w:val="sq-AL" w:bidi="sq-AL"/>
        </w:rPr>
        <w:t>rinovueshme</w:t>
      </w:r>
      <w:proofErr w:type="spellEnd"/>
      <w:r w:rsidRPr="004D53EC">
        <w:rPr>
          <w:lang w:val="sq-AL" w:bidi="sq-AL"/>
        </w:rPr>
        <w:t xml:space="preserve"> (OER). Në vitin 2021 u miratua një metodologji për përcaktimin e çmimit për konsumatorët me kapacitet të instaluar deri në 500 </w:t>
      </w:r>
      <w:proofErr w:type="spellStart"/>
      <w:r w:rsidRPr="004D53EC">
        <w:rPr>
          <w:lang w:val="sq-AL" w:bidi="sq-AL"/>
        </w:rPr>
        <w:t>kW</w:t>
      </w:r>
      <w:proofErr w:type="spellEnd"/>
      <w:r w:rsidRPr="004D53EC">
        <w:rPr>
          <w:lang w:val="sq-AL" w:bidi="sq-AL"/>
        </w:rPr>
        <w:t xml:space="preserve">, që do të vihet në zbatim brenda vitit 2023. Agjencia përgjegjëse për energjinë e </w:t>
      </w:r>
      <w:proofErr w:type="spellStart"/>
      <w:r w:rsidRPr="004D53EC">
        <w:rPr>
          <w:lang w:val="sq-AL" w:bidi="sq-AL"/>
        </w:rPr>
        <w:t>rinovueshme</w:t>
      </w:r>
      <w:proofErr w:type="spellEnd"/>
      <w:r w:rsidRPr="004D53EC">
        <w:rPr>
          <w:lang w:val="sq-AL" w:bidi="sq-AL"/>
        </w:rPr>
        <w:t xml:space="preserve"> nuk është ngritur ende. Ky rol ndahet me Ministrisë së Industrisë dhe Energjisë (MIE) dhe Agjencisë Kombëtare të Burimeve Natyrore.</w:t>
      </w:r>
    </w:p>
    <w:p w14:paraId="7FF5107C" w14:textId="77777777" w:rsidR="006C790B" w:rsidRPr="004D53EC" w:rsidRDefault="006C790B" w:rsidP="006C790B">
      <w:pPr>
        <w:pStyle w:val="BodyText"/>
        <w:ind w:right="979"/>
        <w:rPr>
          <w:lang w:val="sq-AL"/>
        </w:rPr>
      </w:pPr>
      <w:r w:rsidRPr="004D53EC">
        <w:rPr>
          <w:lang w:val="sq-AL" w:bidi="sq-AL"/>
        </w:rPr>
        <w:t xml:space="preserve">Shqipëria arriti synimin e saj prej 39% energji të </w:t>
      </w:r>
      <w:proofErr w:type="spellStart"/>
      <w:r w:rsidRPr="004D53EC">
        <w:rPr>
          <w:lang w:val="sq-AL" w:bidi="sq-AL"/>
        </w:rPr>
        <w:t>rinovueshme</w:t>
      </w:r>
      <w:proofErr w:type="spellEnd"/>
      <w:r w:rsidRPr="004D53EC">
        <w:rPr>
          <w:lang w:val="sq-AL" w:bidi="sq-AL"/>
        </w:rPr>
        <w:t xml:space="preserve"> në raport me konsumin e përgjithshëm të energjisë për vitin 2022, bazuar në planin i konsoliduar kombëtar i veprimit për energjinë e </w:t>
      </w:r>
      <w:proofErr w:type="spellStart"/>
      <w:r w:rsidRPr="004D53EC">
        <w:rPr>
          <w:lang w:val="sq-AL" w:bidi="sq-AL"/>
        </w:rPr>
        <w:t>rinovueshme</w:t>
      </w:r>
      <w:proofErr w:type="spellEnd"/>
      <w:r w:rsidRPr="004D53EC">
        <w:rPr>
          <w:lang w:val="sq-AL" w:bidi="sq-AL"/>
        </w:rPr>
        <w:t xml:space="preserve"> (PKKVER). Zbatimi i dy impianteve </w:t>
      </w:r>
      <w:proofErr w:type="spellStart"/>
      <w:r w:rsidRPr="004D53EC">
        <w:rPr>
          <w:lang w:val="sq-AL" w:bidi="sq-AL"/>
        </w:rPr>
        <w:t>fotovoltaike</w:t>
      </w:r>
      <w:proofErr w:type="spellEnd"/>
      <w:r w:rsidRPr="004D53EC">
        <w:rPr>
          <w:lang w:val="sq-AL" w:bidi="sq-AL"/>
        </w:rPr>
        <w:t xml:space="preserve"> me energji diellore me kapacitet të instaluar gjithsej prej 240 MW vijon (Karavasta 140 MW dhe </w:t>
      </w:r>
      <w:proofErr w:type="spellStart"/>
      <w:r w:rsidRPr="004D53EC">
        <w:rPr>
          <w:lang w:val="sq-AL" w:bidi="sq-AL"/>
        </w:rPr>
        <w:t>Spitallë</w:t>
      </w:r>
      <w:proofErr w:type="spellEnd"/>
      <w:r w:rsidRPr="004D53EC">
        <w:rPr>
          <w:lang w:val="sq-AL" w:bidi="sq-AL"/>
        </w:rPr>
        <w:t xml:space="preserve"> </w:t>
      </w:r>
      <w:r w:rsidRPr="004D53EC">
        <w:rPr>
          <w:lang w:val="sq-AL" w:bidi="sq-AL"/>
        </w:rPr>
        <w:lastRenderedPageBreak/>
        <w:t>100 MW).</w:t>
      </w:r>
    </w:p>
    <w:p w14:paraId="1E5BCF01" w14:textId="55DCFB74" w:rsidR="006C790B" w:rsidRPr="004D53EC" w:rsidRDefault="006C790B" w:rsidP="0032048B">
      <w:pPr>
        <w:pStyle w:val="BodyText"/>
        <w:ind w:right="977"/>
        <w:rPr>
          <w:lang w:val="sq-AL"/>
        </w:rPr>
      </w:pPr>
      <w:r w:rsidRPr="004D53EC">
        <w:rPr>
          <w:lang w:val="sq-AL" w:bidi="sq-AL"/>
        </w:rPr>
        <w:t xml:space="preserve">Në vitin 2021 u shpall një ankand për parqe </w:t>
      </w:r>
      <w:proofErr w:type="spellStart"/>
      <w:r w:rsidRPr="004D53EC">
        <w:rPr>
          <w:lang w:val="sq-AL" w:bidi="sq-AL"/>
        </w:rPr>
        <w:t>eolike</w:t>
      </w:r>
      <w:proofErr w:type="spellEnd"/>
      <w:r w:rsidRPr="004D53EC">
        <w:rPr>
          <w:lang w:val="sq-AL" w:bidi="sq-AL"/>
        </w:rPr>
        <w:t xml:space="preserve"> me kapacitet të instaluar nga 10 MW deri 75 MW. Kontratat e fazës së parë u nënshkruan në qershor të vitit 2023, ndërsa në korrik të vitit 2023, tre ofertuesve iu akorduan gjithsej 222.5 MW kapacitet. Duhet të organizohen më shumë ankande me qëllim përshpejtimin e prodhimit të energjisë elektrike të </w:t>
      </w:r>
      <w:proofErr w:type="spellStart"/>
      <w:r w:rsidRPr="004D53EC">
        <w:rPr>
          <w:lang w:val="sq-AL" w:bidi="sq-AL"/>
        </w:rPr>
        <w:t>rinovueshme</w:t>
      </w:r>
      <w:proofErr w:type="spellEnd"/>
      <w:r w:rsidRPr="004D53EC">
        <w:rPr>
          <w:lang w:val="sq-AL" w:bidi="sq-AL"/>
        </w:rPr>
        <w:t xml:space="preserve"> dhe lehtësimin e kalimit nga </w:t>
      </w:r>
      <w:proofErr w:type="spellStart"/>
      <w:r w:rsidRPr="004D53EC">
        <w:rPr>
          <w:lang w:val="sq-AL" w:bidi="sq-AL"/>
        </w:rPr>
        <w:t>hidroenergjetika</w:t>
      </w:r>
      <w:proofErr w:type="spellEnd"/>
      <w:r w:rsidRPr="004D53EC">
        <w:rPr>
          <w:lang w:val="sq-AL" w:bidi="sq-AL"/>
        </w:rPr>
        <w:t xml:space="preserve"> në burime të tjera të </w:t>
      </w:r>
      <w:proofErr w:type="spellStart"/>
      <w:r w:rsidRPr="004D53EC">
        <w:rPr>
          <w:lang w:val="sq-AL" w:bidi="sq-AL"/>
        </w:rPr>
        <w:t>rinovueshme</w:t>
      </w:r>
      <w:proofErr w:type="spellEnd"/>
      <w:r w:rsidRPr="004D53EC">
        <w:rPr>
          <w:lang w:val="sq-AL" w:bidi="sq-AL"/>
        </w:rPr>
        <w:t>.</w:t>
      </w:r>
    </w:p>
    <w:p w14:paraId="43212B69" w14:textId="77777777" w:rsidR="006C790B" w:rsidRPr="004D53EC" w:rsidRDefault="006C790B" w:rsidP="006C790B">
      <w:pPr>
        <w:pStyle w:val="BodyText"/>
        <w:rPr>
          <w:lang w:val="sq-AL"/>
        </w:rPr>
      </w:pPr>
      <w:r w:rsidRPr="004D53EC">
        <w:rPr>
          <w:lang w:val="sq-AL" w:bidi="sq-AL"/>
        </w:rPr>
        <w:t xml:space="preserve">Ligji për burimet e energjisë së </w:t>
      </w:r>
      <w:proofErr w:type="spellStart"/>
      <w:r w:rsidRPr="004D53EC">
        <w:rPr>
          <w:lang w:val="sq-AL" w:bidi="sq-AL"/>
        </w:rPr>
        <w:t>rinovueshme</w:t>
      </w:r>
      <w:proofErr w:type="spellEnd"/>
      <w:r w:rsidRPr="004D53EC">
        <w:rPr>
          <w:lang w:val="sq-AL" w:bidi="sq-AL"/>
        </w:rPr>
        <w:t xml:space="preserve"> (BER) që është i përafruar me Direktivën e Energjisë së </w:t>
      </w:r>
      <w:proofErr w:type="spellStart"/>
      <w:r w:rsidRPr="004D53EC">
        <w:rPr>
          <w:lang w:val="sq-AL" w:bidi="sq-AL"/>
        </w:rPr>
        <w:t>Rinovueshme</w:t>
      </w:r>
      <w:proofErr w:type="spellEnd"/>
      <w:r w:rsidRPr="004D53EC">
        <w:rPr>
          <w:lang w:val="sq-AL" w:bidi="sq-AL"/>
        </w:rPr>
        <w:t xml:space="preserve"> (BE) 2018/2001, u miratua në mars të vitit 2023. Ligji sjell një sërë risish në sektorin energjisë elektrike, përfshirë të drejtën e një komuniteti të energjisë së </w:t>
      </w:r>
      <w:proofErr w:type="spellStart"/>
      <w:r w:rsidRPr="004D53EC">
        <w:rPr>
          <w:lang w:val="sq-AL" w:bidi="sq-AL"/>
        </w:rPr>
        <w:t>rinovueshme</w:t>
      </w:r>
      <w:proofErr w:type="spellEnd"/>
      <w:r w:rsidRPr="004D53EC">
        <w:rPr>
          <w:lang w:val="sq-AL" w:bidi="sq-AL"/>
        </w:rPr>
        <w:t xml:space="preserve"> për të prodhuar, konsumuar dhe shitur energji të </w:t>
      </w:r>
      <w:proofErr w:type="spellStart"/>
      <w:r w:rsidRPr="004D53EC">
        <w:rPr>
          <w:lang w:val="sq-AL" w:bidi="sq-AL"/>
        </w:rPr>
        <w:t>rinovueshme</w:t>
      </w:r>
      <w:proofErr w:type="spellEnd"/>
      <w:r w:rsidRPr="004D53EC">
        <w:rPr>
          <w:lang w:val="sq-AL" w:bidi="sq-AL"/>
        </w:rPr>
        <w:t>, si dhe për të ofruar agregim, duke përfshirë edhe marrëveshjet e blerjes së energjisë elektrike. Ai shfuqizon skemat mbështetëse me tarifa "</w:t>
      </w:r>
      <w:proofErr w:type="spellStart"/>
      <w:r w:rsidRPr="004D53EC">
        <w:rPr>
          <w:lang w:val="sq-AL" w:bidi="sq-AL"/>
        </w:rPr>
        <w:t>feed</w:t>
      </w:r>
      <w:proofErr w:type="spellEnd"/>
      <w:r w:rsidRPr="004D53EC">
        <w:rPr>
          <w:lang w:val="sq-AL" w:bidi="sq-AL"/>
        </w:rPr>
        <w:t xml:space="preserve">-in", duke bërë që të gjitha masat mbështetëse të ofrohen përmes procedurave konkurruese. Ligji për </w:t>
      </w:r>
      <w:proofErr w:type="spellStart"/>
      <w:r w:rsidRPr="004D53EC">
        <w:rPr>
          <w:lang w:val="sq-AL" w:bidi="sq-AL"/>
        </w:rPr>
        <w:t>bio</w:t>
      </w:r>
      <w:proofErr w:type="spellEnd"/>
      <w:r w:rsidRPr="004D53EC">
        <w:rPr>
          <w:lang w:val="sq-AL" w:bidi="sq-AL"/>
        </w:rPr>
        <w:t>-energjinë nuk është miratuar ende.</w:t>
      </w:r>
    </w:p>
    <w:p w14:paraId="6A8B3103" w14:textId="77777777" w:rsidR="006C790B" w:rsidRPr="004D53EC" w:rsidRDefault="006C790B" w:rsidP="006C790B">
      <w:pPr>
        <w:pStyle w:val="BodyText"/>
        <w:ind w:left="979" w:right="977"/>
        <w:rPr>
          <w:lang w:val="sq-AL"/>
        </w:rPr>
      </w:pPr>
      <w:r w:rsidRPr="004D53EC">
        <w:rPr>
          <w:lang w:val="sq-AL" w:bidi="sq-AL"/>
        </w:rPr>
        <w:t xml:space="preserve">Shqipëria varet thuajse ekskluzivisht nga burimet hidrike për prodhimin e energjisë elektrike, duke e bërë vendin të cenueshëm nga ndryshimet klimatike. Vendi është importues neto në masën prej 30% në vit, duke qenë se energjia elektrike nga burimet hidrike nuk mjafton për mbulimin e nevojave. Duhet të bëhet progres për </w:t>
      </w:r>
      <w:proofErr w:type="spellStart"/>
      <w:r w:rsidRPr="004D53EC">
        <w:rPr>
          <w:lang w:val="sq-AL" w:bidi="sq-AL"/>
        </w:rPr>
        <w:t>interkoneksionin</w:t>
      </w:r>
      <w:proofErr w:type="spellEnd"/>
      <w:r w:rsidRPr="004D53EC">
        <w:rPr>
          <w:lang w:val="sq-AL" w:bidi="sq-AL"/>
        </w:rPr>
        <w:t xml:space="preserve"> energjetik me vendet fqinje dhe krijimin e një tregu të integruar rajonal të energjisë, me qëllim përforcimin e sigurisë së furnizimit dhe krijimin e mundësive për zhvillimin dhe tregtimin e energjisë së gjelbër. Zhvillimi i burimeve diellore dhe të erës të shumta të vendit do të përmirësonte konsiderueshëm sigurinë energjetike të Shqipërisë dhe do të pakësonte </w:t>
      </w:r>
      <w:proofErr w:type="spellStart"/>
      <w:r w:rsidRPr="004D53EC">
        <w:rPr>
          <w:lang w:val="sq-AL" w:bidi="sq-AL"/>
        </w:rPr>
        <w:t>cenueshmërinë</w:t>
      </w:r>
      <w:proofErr w:type="spellEnd"/>
      <w:r w:rsidRPr="004D53EC">
        <w:rPr>
          <w:lang w:val="sq-AL" w:bidi="sq-AL"/>
        </w:rPr>
        <w:t xml:space="preserve"> e vendit nga ndikimet e ndryshimeve klimatike. Shqipëria planifikon të përdorë më shumë energji diellore dhe të </w:t>
      </w:r>
      <w:proofErr w:type="spellStart"/>
      <w:r w:rsidRPr="004D53EC">
        <w:rPr>
          <w:lang w:val="sq-AL" w:bidi="sq-AL"/>
        </w:rPr>
        <w:t>rinovueshme</w:t>
      </w:r>
      <w:proofErr w:type="spellEnd"/>
      <w:r w:rsidRPr="004D53EC">
        <w:rPr>
          <w:lang w:val="sq-AL" w:bidi="sq-AL"/>
        </w:rPr>
        <w:t xml:space="preserve"> nga era, dhe kjo prirje duhet të nxitet, bazuar në pikësynimet për energjinë dhe klimën të përcaktuar në PKEK 2030.</w:t>
      </w:r>
    </w:p>
    <w:p w14:paraId="78E42012" w14:textId="77777777" w:rsidR="006C790B" w:rsidRPr="004D53EC" w:rsidRDefault="006C790B" w:rsidP="006C790B">
      <w:pPr>
        <w:pStyle w:val="BodyText"/>
        <w:ind w:left="979"/>
        <w:rPr>
          <w:lang w:val="sq-AL"/>
        </w:rPr>
      </w:pPr>
      <w:r w:rsidRPr="004D53EC">
        <w:rPr>
          <w:lang w:val="sq-AL" w:bidi="sq-AL"/>
        </w:rPr>
        <w:t xml:space="preserve">Kontratat </w:t>
      </w:r>
      <w:proofErr w:type="spellStart"/>
      <w:r w:rsidRPr="004D53EC">
        <w:rPr>
          <w:lang w:val="sq-AL" w:bidi="sq-AL"/>
        </w:rPr>
        <w:t>koncesionare</w:t>
      </w:r>
      <w:proofErr w:type="spellEnd"/>
      <w:r w:rsidRPr="004D53EC">
        <w:rPr>
          <w:lang w:val="sq-AL" w:bidi="sq-AL"/>
        </w:rPr>
        <w:t xml:space="preserve"> për hidrocentrale (HEC) nuk janë të qëndrueshme për Shqipërinë. Centralet e vogla kanë ndikim të konsiderueshëm mbi </w:t>
      </w:r>
      <w:proofErr w:type="spellStart"/>
      <w:r w:rsidRPr="004D53EC">
        <w:rPr>
          <w:lang w:val="sq-AL" w:bidi="sq-AL"/>
        </w:rPr>
        <w:t>biodiversitetin</w:t>
      </w:r>
      <w:proofErr w:type="spellEnd"/>
      <w:r w:rsidRPr="004D53EC">
        <w:rPr>
          <w:lang w:val="sq-AL" w:bidi="sq-AL"/>
        </w:rPr>
        <w:t xml:space="preserve"> dhe komunitetet vendore, veçanërisht në zonat e mbrojtura, kur ndodhen rreth 100 koncesione/investime private. Planet për hidrocentralet janë kundërshtuar nga shoqëria civile gjatë konsultimeve publike, duke vënë në dyshim rregullsinë e proceseve të dhënies me koncesion dhe vlefshmërinë e vlerësimeve të ndikimit në mjedis (VNM).</w:t>
      </w:r>
    </w:p>
    <w:p w14:paraId="62AF4687" w14:textId="77777777" w:rsidR="006C790B" w:rsidRPr="004D53EC" w:rsidRDefault="006C790B" w:rsidP="006C790B">
      <w:pPr>
        <w:pStyle w:val="BodyText"/>
        <w:ind w:left="979"/>
        <w:rPr>
          <w:lang w:val="sq-AL"/>
        </w:rPr>
      </w:pPr>
      <w:r w:rsidRPr="004D53EC">
        <w:rPr>
          <w:lang w:val="sq-AL" w:bidi="sq-AL"/>
        </w:rPr>
        <w:t xml:space="preserve">Për më tepër, nuk janë kryer vlerësime mjedisore strategjike (VMS). Një hidrocentral i madh në </w:t>
      </w:r>
      <w:proofErr w:type="spellStart"/>
      <w:r w:rsidRPr="004D53EC">
        <w:rPr>
          <w:lang w:val="sq-AL" w:bidi="sq-AL"/>
        </w:rPr>
        <w:t>Skavicë</w:t>
      </w:r>
      <w:proofErr w:type="spellEnd"/>
      <w:r w:rsidRPr="004D53EC">
        <w:rPr>
          <w:lang w:val="sq-AL" w:bidi="sq-AL"/>
        </w:rPr>
        <w:t xml:space="preserve"> mbi Lumin Drin ngriti shqetësime nga komunitetet vendore dhe aktivistët mjedisorë. Organizatat e shoqërisë civile pretendojnë se nuk janë kryer konsultime të përshtatshme për këtë central gjatë procesit të vendimmarrjes dhe se nuk është dhënë asnjë informacion mbi planin e zhvendosjes. Këto investime duhet të jenë në përmbushje të plotë të legjislacionit vendas dhe </w:t>
      </w:r>
      <w:proofErr w:type="spellStart"/>
      <w:r w:rsidRPr="004D53EC">
        <w:rPr>
          <w:i/>
          <w:lang w:val="sq-AL" w:bidi="sq-AL"/>
        </w:rPr>
        <w:t>acquis</w:t>
      </w:r>
      <w:proofErr w:type="spellEnd"/>
      <w:r w:rsidRPr="004D53EC">
        <w:rPr>
          <w:i/>
          <w:lang w:val="sq-AL" w:bidi="sq-AL"/>
        </w:rPr>
        <w:t xml:space="preserve">-së </w:t>
      </w:r>
      <w:r w:rsidRPr="004D53EC">
        <w:rPr>
          <w:lang w:val="sq-AL" w:bidi="sq-AL"/>
        </w:rPr>
        <w:t>së Komunitetit të Energjisë, veçanërisht sa i përket konsultimeve publike dhe cilësisë së vlerësimeve të ndikimit në mjedis dhe vlerësimeve mjedisore strategjike. Nevojiten përpjekje të mëtejshme për udhëzimin e zhvillimit të hidrocentraleve dhe zbatimin e legjislacionit mjedisor.</w:t>
      </w:r>
    </w:p>
    <w:p w14:paraId="793189C6" w14:textId="77777777" w:rsidR="006C790B" w:rsidRPr="004D53EC" w:rsidRDefault="006C790B" w:rsidP="006C790B">
      <w:pPr>
        <w:pStyle w:val="BodyText"/>
        <w:spacing w:before="119"/>
        <w:ind w:left="979"/>
        <w:rPr>
          <w:lang w:val="sq-AL"/>
        </w:rPr>
      </w:pPr>
      <w:r w:rsidRPr="004D53EC">
        <w:rPr>
          <w:lang w:val="sq-AL" w:bidi="sq-AL"/>
        </w:rPr>
        <w:t xml:space="preserve">Plani kombëtar i veprimit për </w:t>
      </w:r>
      <w:proofErr w:type="spellStart"/>
      <w:r w:rsidRPr="004D53EC">
        <w:rPr>
          <w:b/>
          <w:lang w:val="sq-AL" w:bidi="sq-AL"/>
        </w:rPr>
        <w:t>efiçencën</w:t>
      </w:r>
      <w:proofErr w:type="spellEnd"/>
      <w:r w:rsidRPr="004D53EC">
        <w:rPr>
          <w:b/>
          <w:lang w:val="sq-AL" w:bidi="sq-AL"/>
        </w:rPr>
        <w:t xml:space="preserve"> e energjisë</w:t>
      </w:r>
      <w:r w:rsidRPr="004D53EC">
        <w:rPr>
          <w:lang w:val="sq-AL" w:bidi="sq-AL"/>
        </w:rPr>
        <w:t xml:space="preserve"> (PKVEN) është pjesë përbërëse e Planit Kombëtar për Energjinë dhe Klimën. PKEK-ja është rishikuar mbi bazën e rekomandimeve të Komunitetit të Energjisë, me qëllim uljen e konsumit përfundimtar të energjisë me 9,4% dhe fillimin e zbatimit në vitin 2024. Agjencia e </w:t>
      </w:r>
      <w:proofErr w:type="spellStart"/>
      <w:r w:rsidRPr="004D53EC">
        <w:rPr>
          <w:lang w:val="sq-AL" w:bidi="sq-AL"/>
        </w:rPr>
        <w:t>Efiçencës</w:t>
      </w:r>
      <w:proofErr w:type="spellEnd"/>
      <w:r w:rsidRPr="004D53EC">
        <w:rPr>
          <w:lang w:val="sq-AL" w:bidi="sq-AL"/>
        </w:rPr>
        <w:t xml:space="preserve"> së Energjisë (AEE) e krijuar në vitin 2018 ka nevojë për kapacitete të mëtejshme administrative. Projekti i binjakëzimit i BE-së (pra asistenca teknike e ofruar në vend nga ekspertët e BE-së) me këtë agjenci ka nisur në shtator të vitit 2023. Synimi është të mbështetet zhvillimi i mëtejshëm i kuadrit ligjor dhe institucional për zbatimin e </w:t>
      </w:r>
      <w:proofErr w:type="spellStart"/>
      <w:r w:rsidRPr="004D53EC">
        <w:rPr>
          <w:i/>
          <w:lang w:val="sq-AL" w:bidi="sq-AL"/>
        </w:rPr>
        <w:t>acquis</w:t>
      </w:r>
      <w:proofErr w:type="spellEnd"/>
      <w:r w:rsidRPr="004D53EC">
        <w:rPr>
          <w:lang w:val="sq-AL" w:bidi="sq-AL"/>
        </w:rPr>
        <w:t xml:space="preserve">-ve të BE-së për </w:t>
      </w:r>
      <w:proofErr w:type="spellStart"/>
      <w:r w:rsidRPr="004D53EC">
        <w:rPr>
          <w:lang w:val="sq-AL" w:bidi="sq-AL"/>
        </w:rPr>
        <w:t>efiçencën</w:t>
      </w:r>
      <w:proofErr w:type="spellEnd"/>
      <w:r w:rsidRPr="004D53EC">
        <w:rPr>
          <w:lang w:val="sq-AL" w:bidi="sq-AL"/>
        </w:rPr>
        <w:t xml:space="preserve"> e energjisë, të mbështetet zbatimi i ligjit të vitit 2015 për </w:t>
      </w:r>
      <w:proofErr w:type="spellStart"/>
      <w:r w:rsidRPr="004D53EC">
        <w:rPr>
          <w:lang w:val="sq-AL" w:bidi="sq-AL"/>
        </w:rPr>
        <w:t>efiçencën</w:t>
      </w:r>
      <w:proofErr w:type="spellEnd"/>
      <w:r w:rsidRPr="004D53EC">
        <w:rPr>
          <w:lang w:val="sq-AL" w:bidi="sq-AL"/>
        </w:rPr>
        <w:t xml:space="preserve"> e energjisë dhe të përforcohen kapacitetet e Agjencisë.</w:t>
      </w:r>
    </w:p>
    <w:p w14:paraId="7C7F5DDF" w14:textId="77777777" w:rsidR="006C790B" w:rsidRPr="004D53EC" w:rsidRDefault="006C790B" w:rsidP="006C790B">
      <w:pPr>
        <w:pStyle w:val="BodyText"/>
        <w:ind w:left="979"/>
        <w:rPr>
          <w:lang w:val="sq-AL"/>
        </w:rPr>
      </w:pPr>
      <w:r w:rsidRPr="004D53EC">
        <w:rPr>
          <w:lang w:val="sq-AL" w:bidi="sq-AL"/>
        </w:rPr>
        <w:lastRenderedPageBreak/>
        <w:t xml:space="preserve">Stimujt për </w:t>
      </w:r>
      <w:proofErr w:type="spellStart"/>
      <w:r w:rsidRPr="004D53EC">
        <w:rPr>
          <w:lang w:val="sq-AL" w:bidi="sq-AL"/>
        </w:rPr>
        <w:t>efiçencën</w:t>
      </w:r>
      <w:proofErr w:type="spellEnd"/>
      <w:r w:rsidRPr="004D53EC">
        <w:rPr>
          <w:lang w:val="sq-AL" w:bidi="sq-AL"/>
        </w:rPr>
        <w:t xml:space="preserve"> e energjisë po zbatohen, përfshirë një skemë subvencionimi për familjet, për instalimin e ngrohësve të ujit me energji diellore, dhe përmirësimin e </w:t>
      </w:r>
      <w:proofErr w:type="spellStart"/>
      <w:r w:rsidRPr="004D53EC">
        <w:rPr>
          <w:lang w:val="sq-AL" w:bidi="sq-AL"/>
        </w:rPr>
        <w:t>efiçencës</w:t>
      </w:r>
      <w:proofErr w:type="spellEnd"/>
      <w:r w:rsidRPr="004D53EC">
        <w:rPr>
          <w:lang w:val="sq-AL" w:bidi="sq-AL"/>
        </w:rPr>
        <w:t xml:space="preserve"> së energjisë për godinat arsimore dhe ato publike. Në tetor të vitit 2022, qeveria shpalli synime të detyrueshme për kursimin e energjisë në masën 15% për sektorin publik, ndërsa Bashkia Tiranë po mbështet gjithashtu banorët vendorë me </w:t>
      </w:r>
      <w:proofErr w:type="spellStart"/>
      <w:r w:rsidRPr="004D53EC">
        <w:rPr>
          <w:lang w:val="sq-AL" w:bidi="sq-AL"/>
        </w:rPr>
        <w:t>grante</w:t>
      </w:r>
      <w:proofErr w:type="spellEnd"/>
      <w:r w:rsidRPr="004D53EC">
        <w:rPr>
          <w:lang w:val="sq-AL" w:bidi="sq-AL"/>
        </w:rPr>
        <w:t xml:space="preserve"> deri në 50% të kostove për </w:t>
      </w:r>
      <w:proofErr w:type="spellStart"/>
      <w:r w:rsidRPr="004D53EC">
        <w:rPr>
          <w:lang w:val="sq-AL" w:bidi="sq-AL"/>
        </w:rPr>
        <w:t>termo</w:t>
      </w:r>
      <w:proofErr w:type="spellEnd"/>
      <w:r w:rsidRPr="004D53EC">
        <w:rPr>
          <w:lang w:val="sq-AL" w:bidi="sq-AL"/>
        </w:rPr>
        <w:t xml:space="preserve"> izolimin e banesave të tyre. Janë miratuar një sërë masash zbatuese, në përputhje me parimin e parë të </w:t>
      </w:r>
      <w:proofErr w:type="spellStart"/>
      <w:r w:rsidRPr="004D53EC">
        <w:rPr>
          <w:lang w:val="sq-AL" w:bidi="sq-AL"/>
        </w:rPr>
        <w:t>Efiçencës</w:t>
      </w:r>
      <w:proofErr w:type="spellEnd"/>
      <w:r w:rsidRPr="004D53EC">
        <w:rPr>
          <w:lang w:val="sq-AL" w:bidi="sq-AL"/>
        </w:rPr>
        <w:t xml:space="preserve"> së Energjisë.</w:t>
      </w:r>
    </w:p>
    <w:p w14:paraId="0A1DEC7D" w14:textId="77777777" w:rsidR="006C790B" w:rsidRPr="004D53EC" w:rsidRDefault="006C790B" w:rsidP="006C790B">
      <w:pPr>
        <w:pStyle w:val="BodyText"/>
        <w:spacing w:before="62"/>
        <w:ind w:left="979" w:right="978"/>
        <w:rPr>
          <w:lang w:val="sq-AL"/>
        </w:rPr>
      </w:pPr>
      <w:r w:rsidRPr="004D53EC">
        <w:rPr>
          <w:lang w:val="sq-AL" w:bidi="sq-AL"/>
        </w:rPr>
        <w:t xml:space="preserve">Megjithatë, legjislacioni zbatues lidhur me (i) skemën detyruese të </w:t>
      </w:r>
      <w:proofErr w:type="spellStart"/>
      <w:r w:rsidRPr="004D53EC">
        <w:rPr>
          <w:lang w:val="sq-AL" w:bidi="sq-AL"/>
        </w:rPr>
        <w:t>efiçencës</w:t>
      </w:r>
      <w:proofErr w:type="spellEnd"/>
      <w:r w:rsidRPr="004D53EC">
        <w:rPr>
          <w:lang w:val="sq-AL" w:bidi="sq-AL"/>
        </w:rPr>
        <w:t xml:space="preserve"> së energjisë, (</w:t>
      </w:r>
      <w:proofErr w:type="spellStart"/>
      <w:r w:rsidRPr="004D53EC">
        <w:rPr>
          <w:lang w:val="sq-AL" w:bidi="sq-AL"/>
        </w:rPr>
        <w:t>ii</w:t>
      </w:r>
      <w:proofErr w:type="spellEnd"/>
      <w:r w:rsidRPr="004D53EC">
        <w:rPr>
          <w:lang w:val="sq-AL" w:bidi="sq-AL"/>
        </w:rPr>
        <w:t>) etiketimin e energjisë, (</w:t>
      </w:r>
      <w:proofErr w:type="spellStart"/>
      <w:r w:rsidRPr="004D53EC">
        <w:rPr>
          <w:lang w:val="sq-AL" w:bidi="sq-AL"/>
        </w:rPr>
        <w:t>iii</w:t>
      </w:r>
      <w:proofErr w:type="spellEnd"/>
      <w:r w:rsidRPr="004D53EC">
        <w:rPr>
          <w:lang w:val="sq-AL" w:bidi="sq-AL"/>
        </w:rPr>
        <w:t>) shtimin e numrit të mjeteve elektrike në flotën kombëtare të mjeteve dhe</w:t>
      </w:r>
    </w:p>
    <w:p w14:paraId="390630CE" w14:textId="77777777" w:rsidR="006C790B" w:rsidRPr="004D53EC" w:rsidRDefault="006C790B" w:rsidP="006C790B">
      <w:pPr>
        <w:pStyle w:val="BodyText"/>
        <w:spacing w:before="0"/>
        <w:ind w:left="979"/>
        <w:rPr>
          <w:lang w:val="sq-AL"/>
        </w:rPr>
      </w:pPr>
      <w:r w:rsidRPr="004D53EC">
        <w:rPr>
          <w:lang w:val="sq-AL" w:bidi="sq-AL"/>
        </w:rPr>
        <w:t>(</w:t>
      </w:r>
      <w:proofErr w:type="spellStart"/>
      <w:r w:rsidRPr="004D53EC">
        <w:rPr>
          <w:lang w:val="sq-AL" w:bidi="sq-AL"/>
        </w:rPr>
        <w:t>iv</w:t>
      </w:r>
      <w:proofErr w:type="spellEnd"/>
      <w:r w:rsidRPr="004D53EC">
        <w:rPr>
          <w:lang w:val="sq-AL" w:bidi="sq-AL"/>
        </w:rPr>
        <w:t xml:space="preserve">) </w:t>
      </w:r>
      <w:proofErr w:type="spellStart"/>
      <w:r w:rsidRPr="004D53EC">
        <w:rPr>
          <w:lang w:val="sq-AL" w:bidi="sq-AL"/>
        </w:rPr>
        <w:t>performancën</w:t>
      </w:r>
      <w:proofErr w:type="spellEnd"/>
      <w:r w:rsidRPr="004D53EC">
        <w:rPr>
          <w:lang w:val="sq-AL" w:bidi="sq-AL"/>
        </w:rPr>
        <w:t xml:space="preserve"> minimale energjetike të godinave, (v) masat e </w:t>
      </w:r>
      <w:proofErr w:type="spellStart"/>
      <w:r w:rsidRPr="004D53EC">
        <w:rPr>
          <w:lang w:val="sq-AL" w:bidi="sq-AL"/>
        </w:rPr>
        <w:t>efiçencës</w:t>
      </w:r>
      <w:proofErr w:type="spellEnd"/>
      <w:r w:rsidRPr="004D53EC">
        <w:rPr>
          <w:lang w:val="sq-AL" w:bidi="sq-AL"/>
        </w:rPr>
        <w:t xml:space="preserve"> së energjisë të lidhura me blerjet e autoriteteve publike, nuk është miratuar ende. Është bërë progres i mirë me trajnimin e ekspertëve për </w:t>
      </w:r>
      <w:proofErr w:type="spellStart"/>
      <w:r w:rsidRPr="004D53EC">
        <w:rPr>
          <w:lang w:val="sq-AL" w:bidi="sq-AL"/>
        </w:rPr>
        <w:t>auditimet</w:t>
      </w:r>
      <w:proofErr w:type="spellEnd"/>
      <w:r w:rsidRPr="004D53EC">
        <w:rPr>
          <w:lang w:val="sq-AL" w:bidi="sq-AL"/>
        </w:rPr>
        <w:t xml:space="preserve"> e energjisë dhe lëshimin e certifikatave të </w:t>
      </w:r>
      <w:proofErr w:type="spellStart"/>
      <w:r w:rsidRPr="004D53EC">
        <w:rPr>
          <w:lang w:val="sq-AL" w:bidi="sq-AL"/>
        </w:rPr>
        <w:t>performancës</w:t>
      </w:r>
      <w:proofErr w:type="spellEnd"/>
      <w:r w:rsidRPr="004D53EC">
        <w:rPr>
          <w:lang w:val="sq-AL" w:bidi="sq-AL"/>
        </w:rPr>
        <w:t xml:space="preserve"> energjetike të godinave. Duke marrë në konsideratë pikësynimet dhe krizën aktuale energjetike, duhet të zbatohen stimuj të tjerë financimi dhe mekanizma për </w:t>
      </w:r>
      <w:proofErr w:type="spellStart"/>
      <w:r w:rsidRPr="004D53EC">
        <w:rPr>
          <w:lang w:val="sq-AL" w:bidi="sq-AL"/>
        </w:rPr>
        <w:t>efiçencën</w:t>
      </w:r>
      <w:proofErr w:type="spellEnd"/>
      <w:r w:rsidRPr="004D53EC">
        <w:rPr>
          <w:lang w:val="sq-AL" w:bidi="sq-AL"/>
        </w:rPr>
        <w:t xml:space="preserve"> e energjisë, ndërkohë që duhet të përshpejtohen projektet për </w:t>
      </w:r>
      <w:proofErr w:type="spellStart"/>
      <w:r w:rsidRPr="004D53EC">
        <w:rPr>
          <w:lang w:val="sq-AL" w:bidi="sq-AL"/>
        </w:rPr>
        <w:t>efiçencën</w:t>
      </w:r>
      <w:proofErr w:type="spellEnd"/>
      <w:r w:rsidRPr="004D53EC">
        <w:rPr>
          <w:lang w:val="sq-AL" w:bidi="sq-AL"/>
        </w:rPr>
        <w:t xml:space="preserve"> e energjisë.</w:t>
      </w:r>
    </w:p>
    <w:p w14:paraId="3D8B2DEC" w14:textId="77777777" w:rsidR="006C790B" w:rsidRPr="004D53EC" w:rsidRDefault="006C790B" w:rsidP="006C790B">
      <w:pPr>
        <w:pStyle w:val="BodyText"/>
        <w:ind w:right="977"/>
        <w:rPr>
          <w:lang w:val="sq-AL"/>
        </w:rPr>
      </w:pPr>
      <w:r w:rsidRPr="004D53EC">
        <w:rPr>
          <w:lang w:val="sq-AL" w:bidi="sq-AL"/>
        </w:rPr>
        <w:t xml:space="preserve">Shqipëria duhet të sigurojë miratimin e planeve të veprimit të zbatueshme për </w:t>
      </w:r>
      <w:proofErr w:type="spellStart"/>
      <w:r w:rsidRPr="004D53EC">
        <w:rPr>
          <w:lang w:val="sq-AL" w:bidi="sq-AL"/>
        </w:rPr>
        <w:t>efiçencën</w:t>
      </w:r>
      <w:proofErr w:type="spellEnd"/>
      <w:r w:rsidRPr="004D53EC">
        <w:rPr>
          <w:lang w:val="sq-AL" w:bidi="sq-AL"/>
        </w:rPr>
        <w:t xml:space="preserve"> e energjisë dhe energjinë e </w:t>
      </w:r>
      <w:proofErr w:type="spellStart"/>
      <w:r w:rsidRPr="004D53EC">
        <w:rPr>
          <w:lang w:val="sq-AL" w:bidi="sq-AL"/>
        </w:rPr>
        <w:t>rinovueshme</w:t>
      </w:r>
      <w:proofErr w:type="spellEnd"/>
      <w:r w:rsidRPr="004D53EC">
        <w:rPr>
          <w:lang w:val="sq-AL" w:bidi="sq-AL"/>
        </w:rPr>
        <w:t>, në kuadër të objektit të PKEK 2030, përfshirë edhe pikësynimet e vitit 2030 për energjinë dhe klimën për të cilat është rënë dakord.</w:t>
      </w:r>
    </w:p>
    <w:p w14:paraId="1F6D7D78" w14:textId="77777777" w:rsidR="006C790B" w:rsidRPr="004D53EC" w:rsidRDefault="006C790B" w:rsidP="006C790B">
      <w:pPr>
        <w:spacing w:before="120"/>
        <w:ind w:left="979" w:right="976"/>
        <w:jc w:val="both"/>
        <w:rPr>
          <w:sz w:val="24"/>
          <w:lang w:val="sq-AL"/>
        </w:rPr>
      </w:pPr>
      <w:r w:rsidRPr="004D53EC">
        <w:rPr>
          <w:sz w:val="24"/>
          <w:lang w:val="sq-AL" w:bidi="sq-AL"/>
        </w:rPr>
        <w:t xml:space="preserve">Shqipëria nuk ka bërë progres të mëtejshëm me </w:t>
      </w:r>
      <w:r w:rsidRPr="004D53EC">
        <w:rPr>
          <w:b/>
          <w:sz w:val="24"/>
          <w:lang w:val="sq-AL" w:bidi="sq-AL"/>
        </w:rPr>
        <w:t xml:space="preserve">energjinë bërthamore, sigurinë bërthamore dhe mbrojtjen nga rrezatimi. </w:t>
      </w:r>
      <w:r w:rsidRPr="004D53EC">
        <w:rPr>
          <w:sz w:val="24"/>
          <w:lang w:val="sq-AL" w:bidi="sq-AL"/>
        </w:rPr>
        <w:t>Vendi po vlerëson anëtarësimin në sistemin e Shkëmbimit Urgjent të Informacionit Radiologjik të Komunitetit Evropian (ECURIE).</w:t>
      </w:r>
    </w:p>
    <w:p w14:paraId="46732A0D" w14:textId="77777777" w:rsidR="006C790B" w:rsidRPr="004D53EC" w:rsidRDefault="006C790B" w:rsidP="006C790B">
      <w:pPr>
        <w:pStyle w:val="BodyText"/>
        <w:rPr>
          <w:lang w:val="sq-AL"/>
        </w:rPr>
      </w:pPr>
      <w:r w:rsidRPr="004D53EC">
        <w:rPr>
          <w:lang w:val="sq-AL" w:bidi="sq-AL"/>
        </w:rPr>
        <w:t xml:space="preserve">Sa i përket </w:t>
      </w:r>
      <w:r w:rsidRPr="004D53EC">
        <w:rPr>
          <w:b/>
          <w:lang w:val="sq-AL" w:bidi="sq-AL"/>
        </w:rPr>
        <w:t>sigurive bërthamore</w:t>
      </w:r>
      <w:r w:rsidRPr="004D53EC">
        <w:rPr>
          <w:lang w:val="sq-AL" w:bidi="sq-AL"/>
        </w:rPr>
        <w:t xml:space="preserve">, sistemet aktuale të Shqipërisë për kontabilitetin dhe kontrollin e materialeve bërthamore duhet të përshtaten për përfshirjen e dispozitave të sigurimit (kapitulli 7) të Traktatit të </w:t>
      </w:r>
      <w:proofErr w:type="spellStart"/>
      <w:r w:rsidRPr="004D53EC">
        <w:rPr>
          <w:lang w:val="sq-AL" w:bidi="sq-AL"/>
        </w:rPr>
        <w:t>Euratom</w:t>
      </w:r>
      <w:proofErr w:type="spellEnd"/>
      <w:r w:rsidRPr="004D53EC">
        <w:rPr>
          <w:lang w:val="sq-AL" w:bidi="sq-AL"/>
        </w:rPr>
        <w:t>-it, në momentin e anëtarësimit.</w:t>
      </w:r>
    </w:p>
    <w:p w14:paraId="4B211D2C" w14:textId="77777777" w:rsidR="006C790B" w:rsidRPr="004D53EC" w:rsidRDefault="006C790B" w:rsidP="006C790B">
      <w:pPr>
        <w:pStyle w:val="Heading1"/>
        <w:rPr>
          <w:lang w:val="sq-AL"/>
        </w:rPr>
      </w:pPr>
      <w:bookmarkStart w:id="99" w:name="Chapter_21:_Trans-European_networks"/>
      <w:bookmarkStart w:id="100" w:name="_bookmark56"/>
      <w:bookmarkEnd w:id="99"/>
      <w:bookmarkEnd w:id="100"/>
      <w:r w:rsidRPr="004D53EC">
        <w:rPr>
          <w:lang w:val="sq-AL" w:bidi="sq-AL"/>
        </w:rPr>
        <w:t xml:space="preserve">Kapitulli 21: Rrjetet </w:t>
      </w:r>
      <w:proofErr w:type="spellStart"/>
      <w:r w:rsidRPr="004D53EC">
        <w:rPr>
          <w:lang w:val="sq-AL" w:bidi="sq-AL"/>
        </w:rPr>
        <w:t>transevropiane</w:t>
      </w:r>
      <w:proofErr w:type="spellEnd"/>
    </w:p>
    <w:p w14:paraId="679BF49D" w14:textId="19A77ACB" w:rsidR="006C790B" w:rsidRPr="004D53EC" w:rsidRDefault="006C790B" w:rsidP="0032048B">
      <w:pPr>
        <w:spacing w:before="120"/>
        <w:ind w:left="979" w:right="977"/>
        <w:jc w:val="both"/>
        <w:rPr>
          <w:i/>
          <w:sz w:val="10"/>
          <w:lang w:val="sq-AL"/>
        </w:rPr>
      </w:pPr>
      <w:r w:rsidRPr="004D53EC">
        <w:rPr>
          <w:i/>
          <w:sz w:val="24"/>
          <w:lang w:val="sq-AL" w:bidi="sq-AL"/>
        </w:rPr>
        <w:t xml:space="preserve">BE-ja nxit rrjetet </w:t>
      </w:r>
      <w:proofErr w:type="spellStart"/>
      <w:r w:rsidRPr="004D53EC">
        <w:rPr>
          <w:i/>
          <w:sz w:val="24"/>
          <w:lang w:val="sq-AL" w:bidi="sq-AL"/>
        </w:rPr>
        <w:t>transevropiane</w:t>
      </w:r>
      <w:proofErr w:type="spellEnd"/>
      <w:r w:rsidRPr="004D53EC">
        <w:rPr>
          <w:i/>
          <w:sz w:val="24"/>
          <w:lang w:val="sq-AL" w:bidi="sq-AL"/>
        </w:rPr>
        <w:t xml:space="preserve"> (TEN) në fushat e transportit, telekomunikacionit dhe energjisë me qëllim përforcimin e tregut të brendshëm dhe dhënien e kontributit për rritje dhe punësim.</w:t>
      </w: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4"/>
      </w:tblGrid>
      <w:tr w:rsidR="006C790B" w:rsidRPr="004D53EC" w14:paraId="20F177A4" w14:textId="77777777" w:rsidTr="005760FF">
        <w:trPr>
          <w:trHeight w:val="5260"/>
        </w:trPr>
        <w:tc>
          <w:tcPr>
            <w:tcW w:w="9254" w:type="dxa"/>
            <w:shd w:val="clear" w:color="auto" w:fill="D9D9D9"/>
          </w:tcPr>
          <w:p w14:paraId="65041BF3" w14:textId="77777777" w:rsidR="006C790B" w:rsidRPr="004D53EC" w:rsidRDefault="006C790B" w:rsidP="005760FF">
            <w:pPr>
              <w:pStyle w:val="TableParagraph"/>
              <w:spacing w:before="19"/>
              <w:ind w:left="113" w:right="100"/>
              <w:jc w:val="both"/>
              <w:rPr>
                <w:sz w:val="24"/>
                <w:lang w:val="sq-AL"/>
              </w:rPr>
            </w:pPr>
            <w:r w:rsidRPr="004D53EC">
              <w:rPr>
                <w:sz w:val="24"/>
                <w:lang w:val="sq-AL" w:bidi="sq-AL"/>
              </w:rPr>
              <w:t xml:space="preserve">Shqipëria ka </w:t>
            </w:r>
            <w:r w:rsidRPr="004D53EC">
              <w:rPr>
                <w:b/>
                <w:sz w:val="24"/>
                <w:lang w:val="sq-AL" w:bidi="sq-AL"/>
              </w:rPr>
              <w:t>përgatitje të mjaftueshme</w:t>
            </w:r>
            <w:r w:rsidRPr="004D53EC">
              <w:rPr>
                <w:sz w:val="24"/>
                <w:lang w:val="sq-AL" w:bidi="sq-AL"/>
              </w:rPr>
              <w:t xml:space="preserve"> lidhur me rrjetet </w:t>
            </w:r>
            <w:proofErr w:type="spellStart"/>
            <w:r w:rsidRPr="004D53EC">
              <w:rPr>
                <w:sz w:val="24"/>
                <w:lang w:val="sq-AL" w:bidi="sq-AL"/>
              </w:rPr>
              <w:t>transevropiane</w:t>
            </w:r>
            <w:proofErr w:type="spellEnd"/>
            <w:r w:rsidRPr="004D53EC">
              <w:rPr>
                <w:sz w:val="24"/>
                <w:lang w:val="sq-AL" w:bidi="sq-AL"/>
              </w:rPr>
              <w:t>. Është bërë progres i mirë me zhvillimin e rrjeteve të transportit dhe energjisë, duke qenë se puna për përgatitjen e projekteve vijon. Shqipëria duhet të bëjë përpjekje të mëtejshme për trajtimin e rekomandimeve të vitit të shkuar të cilat janë ende të vlefshme.</w:t>
            </w:r>
          </w:p>
          <w:p w14:paraId="69B12F36" w14:textId="77777777" w:rsidR="006C790B" w:rsidRPr="004D53EC" w:rsidRDefault="006C790B" w:rsidP="005760FF">
            <w:pPr>
              <w:pStyle w:val="TableParagraph"/>
              <w:spacing w:before="120"/>
              <w:ind w:left="113"/>
              <w:jc w:val="both"/>
              <w:rPr>
                <w:sz w:val="24"/>
                <w:lang w:val="sq-AL"/>
              </w:rPr>
            </w:pPr>
            <w:r w:rsidRPr="004D53EC">
              <w:rPr>
                <w:sz w:val="24"/>
                <w:lang w:val="sq-AL" w:bidi="sq-AL"/>
              </w:rPr>
              <w:t>Vitin e ardhshëm, Shqipëria duhet veçanërisht të:</w:t>
            </w:r>
          </w:p>
          <w:p w14:paraId="4D6D2713" w14:textId="6B42FD56" w:rsidR="006C790B" w:rsidRPr="004D53EC" w:rsidRDefault="006C790B" w:rsidP="005760FF">
            <w:pPr>
              <w:pStyle w:val="TableParagraph"/>
              <w:spacing w:before="120"/>
              <w:ind w:left="473" w:right="100" w:hanging="360"/>
              <w:jc w:val="both"/>
              <w:rPr>
                <w:sz w:val="24"/>
                <w:lang w:val="sq-AL"/>
              </w:rPr>
            </w:pPr>
            <w:r w:rsidRPr="004D53EC">
              <w:rPr>
                <w:sz w:val="24"/>
                <w:lang w:val="sq-AL" w:bidi="sq-AL"/>
              </w:rPr>
              <w:t xml:space="preserve"> vijojë zhvillimin e rrjeteve themelore të transportit dhe energjisë në përputhje me strategjitë kombëtare për transportin dhe energjinë dhe dhënien përparësi investimeve infrastrukturore, në kuadër të </w:t>
            </w:r>
            <w:r w:rsidR="000857D8">
              <w:rPr>
                <w:sz w:val="24"/>
                <w:lang w:val="sq-AL" w:bidi="sq-AL"/>
              </w:rPr>
              <w:t>planit</w:t>
            </w:r>
            <w:r w:rsidRPr="004D53EC">
              <w:rPr>
                <w:sz w:val="24"/>
                <w:lang w:val="sq-AL" w:bidi="sq-AL"/>
              </w:rPr>
              <w:t xml:space="preserve"> të vetëm të projekteve (</w:t>
            </w:r>
            <w:proofErr w:type="spellStart"/>
            <w:r w:rsidRPr="004D53EC">
              <w:rPr>
                <w:sz w:val="24"/>
                <w:lang w:val="sq-AL" w:bidi="sq-AL"/>
              </w:rPr>
              <w:t>single</w:t>
            </w:r>
            <w:proofErr w:type="spellEnd"/>
            <w:r w:rsidRPr="004D53EC">
              <w:rPr>
                <w:sz w:val="24"/>
                <w:lang w:val="sq-AL" w:bidi="sq-AL"/>
              </w:rPr>
              <w:t xml:space="preserve"> </w:t>
            </w:r>
            <w:proofErr w:type="spellStart"/>
            <w:r w:rsidRPr="004D53EC">
              <w:rPr>
                <w:sz w:val="24"/>
                <w:lang w:val="sq-AL" w:bidi="sq-AL"/>
              </w:rPr>
              <w:t>project</w:t>
            </w:r>
            <w:proofErr w:type="spellEnd"/>
            <w:r w:rsidRPr="004D53EC">
              <w:rPr>
                <w:sz w:val="24"/>
                <w:lang w:val="sq-AL" w:bidi="sq-AL"/>
              </w:rPr>
              <w:t xml:space="preserve"> </w:t>
            </w:r>
            <w:proofErr w:type="spellStart"/>
            <w:r w:rsidRPr="004D53EC">
              <w:rPr>
                <w:sz w:val="24"/>
                <w:lang w:val="sq-AL" w:bidi="sq-AL"/>
              </w:rPr>
              <w:t>pipeline</w:t>
            </w:r>
            <w:proofErr w:type="spellEnd"/>
            <w:r w:rsidRPr="004D53EC">
              <w:rPr>
                <w:sz w:val="24"/>
                <w:lang w:val="sq-AL" w:bidi="sq-AL"/>
              </w:rPr>
              <w:t>);</w:t>
            </w:r>
          </w:p>
          <w:p w14:paraId="6F80D26D" w14:textId="77777777" w:rsidR="006C790B" w:rsidRPr="004D53EC" w:rsidRDefault="006C790B" w:rsidP="005760FF">
            <w:pPr>
              <w:pStyle w:val="TableParagraph"/>
              <w:spacing w:before="119"/>
              <w:ind w:left="473" w:right="100" w:hanging="360"/>
              <w:jc w:val="both"/>
              <w:rPr>
                <w:sz w:val="24"/>
                <w:lang w:val="sq-AL"/>
              </w:rPr>
            </w:pPr>
            <w:r w:rsidRPr="004D53EC">
              <w:rPr>
                <w:sz w:val="24"/>
                <w:lang w:val="sq-AL" w:bidi="sq-AL"/>
              </w:rPr>
              <w:t xml:space="preserve"> vijojë të përafrojë kuadrin e vet ligjor me </w:t>
            </w:r>
            <w:proofErr w:type="spellStart"/>
            <w:r w:rsidRPr="004D53EC">
              <w:rPr>
                <w:i/>
                <w:sz w:val="24"/>
                <w:lang w:val="sq-AL" w:bidi="sq-AL"/>
              </w:rPr>
              <w:t>acquis</w:t>
            </w:r>
            <w:proofErr w:type="spellEnd"/>
            <w:r w:rsidRPr="004D53EC">
              <w:rPr>
                <w:i/>
                <w:sz w:val="24"/>
                <w:lang w:val="sq-AL" w:bidi="sq-AL"/>
              </w:rPr>
              <w:t>-në</w:t>
            </w:r>
            <w:r w:rsidRPr="004D53EC">
              <w:rPr>
                <w:sz w:val="24"/>
                <w:lang w:val="sq-AL" w:bidi="sq-AL"/>
              </w:rPr>
              <w:t xml:space="preserve"> e BE-së dhe rregulloret për TEN-T (rrjetet </w:t>
            </w:r>
            <w:proofErr w:type="spellStart"/>
            <w:r w:rsidRPr="004D53EC">
              <w:rPr>
                <w:sz w:val="24"/>
                <w:lang w:val="sq-AL" w:bidi="sq-AL"/>
              </w:rPr>
              <w:t>transevropiane</w:t>
            </w:r>
            <w:proofErr w:type="spellEnd"/>
            <w:r w:rsidRPr="004D53EC">
              <w:rPr>
                <w:sz w:val="24"/>
                <w:lang w:val="sq-AL" w:bidi="sq-AL"/>
              </w:rPr>
              <w:t xml:space="preserve"> të transportit) dhe TEN-E (rrjetet </w:t>
            </w:r>
            <w:proofErr w:type="spellStart"/>
            <w:r w:rsidRPr="004D53EC">
              <w:rPr>
                <w:sz w:val="24"/>
                <w:lang w:val="sq-AL" w:bidi="sq-AL"/>
              </w:rPr>
              <w:t>transevropiane</w:t>
            </w:r>
            <w:proofErr w:type="spellEnd"/>
            <w:r w:rsidRPr="004D53EC">
              <w:rPr>
                <w:sz w:val="24"/>
                <w:lang w:val="sq-AL" w:bidi="sq-AL"/>
              </w:rPr>
              <w:t xml:space="preserve"> të energjisë), përfshirë përafrimin e plotë të udhëzimeve për infrastrukturën </w:t>
            </w:r>
            <w:proofErr w:type="spellStart"/>
            <w:r w:rsidRPr="004D53EC">
              <w:rPr>
                <w:sz w:val="24"/>
                <w:lang w:val="sq-AL" w:bidi="sq-AL"/>
              </w:rPr>
              <w:t>transevropiane</w:t>
            </w:r>
            <w:proofErr w:type="spellEnd"/>
            <w:r w:rsidRPr="004D53EC">
              <w:rPr>
                <w:sz w:val="24"/>
                <w:lang w:val="sq-AL" w:bidi="sq-AL"/>
              </w:rPr>
              <w:t xml:space="preserve"> të energjisë dhe forcimin e kuadrit institucional dhe kapaciteteve administrative për zhvillimin dhe monitorimin e TEN-eve;</w:t>
            </w:r>
          </w:p>
          <w:p w14:paraId="3C158739" w14:textId="77777777" w:rsidR="006C790B" w:rsidRPr="004D53EC" w:rsidRDefault="006C790B" w:rsidP="005760FF">
            <w:pPr>
              <w:pStyle w:val="TableParagraph"/>
              <w:spacing w:before="134" w:line="276" w:lineRule="exact"/>
              <w:ind w:left="473" w:right="101" w:hanging="360"/>
              <w:jc w:val="both"/>
              <w:rPr>
                <w:sz w:val="24"/>
                <w:lang w:val="sq-AL"/>
              </w:rPr>
            </w:pPr>
            <w:r w:rsidRPr="004D53EC">
              <w:rPr>
                <w:sz w:val="24"/>
                <w:lang w:val="sq-AL" w:bidi="sq-AL"/>
              </w:rPr>
              <w:t> fuqizojë kapacitetet për dhe të sigurojë progres në zbatimin e Planit të Investimit Ekonomik për projektet e transportit dhe energjisë në Ballkanin Perëndimor, në përputhje me afatet e rëna dakord në kuadër të platformës së Fondit të Investimeve të Ballkanit Perëndimor, ndërkohë që jep kontribut për Agjendën e Gjelbër.</w:t>
            </w:r>
          </w:p>
        </w:tc>
      </w:tr>
    </w:tbl>
    <w:p w14:paraId="6A879190" w14:textId="77777777" w:rsidR="006C790B" w:rsidRPr="004D53EC" w:rsidRDefault="006C790B" w:rsidP="006C790B">
      <w:pPr>
        <w:pStyle w:val="BodyText"/>
        <w:spacing w:before="121"/>
        <w:ind w:right="977"/>
        <w:rPr>
          <w:lang w:val="sq-AL"/>
        </w:rPr>
      </w:pPr>
      <w:r w:rsidRPr="004D53EC">
        <w:rPr>
          <w:lang w:val="sq-AL" w:bidi="sq-AL"/>
        </w:rPr>
        <w:lastRenderedPageBreak/>
        <w:t xml:space="preserve">Shqipëria ka bërë progres të mirë lidhur me kuadrin e saj strategjik për </w:t>
      </w:r>
      <w:r w:rsidRPr="004D53EC">
        <w:rPr>
          <w:b/>
          <w:lang w:val="sq-AL" w:bidi="sq-AL"/>
        </w:rPr>
        <w:t>rrjetet e transportit</w:t>
      </w:r>
      <w:r w:rsidRPr="004D53EC">
        <w:rPr>
          <w:lang w:val="sq-AL" w:bidi="sq-AL"/>
        </w:rPr>
        <w:t xml:space="preserve">. Projekt strategjia kombëtare për transportin 2021-2025 dhe plani i saj i veprimit nuk janë miratuar ende. Kjo strategji kombëtare për transportin përfshin përparësitë rajonale dhe të BE-së, Agjendën e Gjelbër, Planin e Investimit Ekonomik të BE-së për Ballkanin Perëndimor, strategjinë për transport inteligjent dhe të qëndrueshëm për Ballkanin Perëndimor, si dhe planet e veprimit që janë pjesë e bashkëpunimit të Traktatit të Komunitetit të Transportit. </w:t>
      </w:r>
      <w:r w:rsidRPr="004D53EC">
        <w:rPr>
          <w:i/>
          <w:lang w:val="sq-AL" w:bidi="sq-AL"/>
        </w:rPr>
        <w:t>(Shihni Kapitullin 14 - Transporti)</w:t>
      </w:r>
    </w:p>
    <w:p w14:paraId="7E9F9F3B" w14:textId="77777777" w:rsidR="006C790B" w:rsidRPr="004D53EC" w:rsidRDefault="006C790B" w:rsidP="006C790B">
      <w:pPr>
        <w:pStyle w:val="BodyText"/>
        <w:spacing w:before="62"/>
        <w:rPr>
          <w:lang w:val="sq-AL"/>
        </w:rPr>
      </w:pPr>
      <w:r w:rsidRPr="004D53EC">
        <w:rPr>
          <w:lang w:val="sq-AL" w:bidi="sq-AL"/>
        </w:rPr>
        <w:t xml:space="preserve">Shqipëria propozoi që Korridori VIII hekurudhor të bëhet pjesë e zgjerimit të korridoreve TEN-T në rajonin e Ballkanit Perëndimor. Marrëveshja përkatëse e nivelit të lartë për hartat e mundshme për TEN-T-në në Ballkanin Perëndimor u nënshkrua në qershor të vitit 2023. Hartat e ndryshuara për korridorin e ri evropian në Ballkanin Perëndimor do të jenë pjesë e Rregullores së rishikuar për TEN-T, që aktualisht po diskutohet nga </w:t>
      </w:r>
      <w:proofErr w:type="spellStart"/>
      <w:r w:rsidRPr="004D53EC">
        <w:rPr>
          <w:lang w:val="sq-AL" w:bidi="sq-AL"/>
        </w:rPr>
        <w:t>bashkëligjvënësit</w:t>
      </w:r>
      <w:proofErr w:type="spellEnd"/>
      <w:r w:rsidRPr="004D53EC">
        <w:rPr>
          <w:lang w:val="sq-AL" w:bidi="sq-AL"/>
        </w:rPr>
        <w:t>. Korridori VIII do të jetë pjesë e korridorit të Transportit Evropian që lidh Evropën Juglindore me qendrën e Evropës përmes rajonit të Ballkanit Perëndimor.</w:t>
      </w:r>
    </w:p>
    <w:p w14:paraId="4CAC8FD9" w14:textId="3B4F3685" w:rsidR="006C790B" w:rsidRPr="004D53EC" w:rsidRDefault="006C790B" w:rsidP="006C790B">
      <w:pPr>
        <w:pStyle w:val="BodyText"/>
        <w:rPr>
          <w:lang w:val="sq-AL"/>
        </w:rPr>
      </w:pPr>
      <w:r w:rsidRPr="004D53EC">
        <w:rPr>
          <w:lang w:val="sq-AL" w:bidi="sq-AL"/>
        </w:rPr>
        <w:t xml:space="preserve">Investimet duhet të bëhen bazuar në analizat e kosto/përfitimit të kryera në përputhje me praktikat më të mira të BE-së. Projektimi i lidhjes së Rrugës </w:t>
      </w:r>
      <w:proofErr w:type="spellStart"/>
      <w:r w:rsidRPr="004D53EC">
        <w:rPr>
          <w:lang w:val="sq-AL" w:bidi="sq-AL"/>
        </w:rPr>
        <w:t>Adriatiko</w:t>
      </w:r>
      <w:proofErr w:type="spellEnd"/>
      <w:r w:rsidRPr="004D53EC">
        <w:rPr>
          <w:lang w:val="sq-AL" w:bidi="sq-AL"/>
        </w:rPr>
        <w:t xml:space="preserve">-Joniane, segmenti nga kufiri me Malin e Zi deri në Lezhë, po vijon. Qeveria e Shqipërisë ka paraqitur një sërë skemash të Partneritetit Publik Privat (PPP) dhe punimet po vazhdojnë në një sërë segmentesh nga Thumana në Fier. </w:t>
      </w:r>
      <w:proofErr w:type="spellStart"/>
      <w:r w:rsidRPr="004D53EC">
        <w:rPr>
          <w:lang w:val="sq-AL" w:bidi="sq-AL"/>
        </w:rPr>
        <w:t>Bajpasi</w:t>
      </w:r>
      <w:proofErr w:type="spellEnd"/>
      <w:r w:rsidRPr="004D53EC">
        <w:rPr>
          <w:lang w:val="sq-AL" w:bidi="sq-AL"/>
        </w:rPr>
        <w:t xml:space="preserve"> i Tiranës është në fazat përfundimtare të përgatitjes dhe planifikohet të nisë në vitin 2024. Projektet janë kanalizuar përmes "</w:t>
      </w:r>
      <w:r w:rsidR="000857D8">
        <w:rPr>
          <w:lang w:val="sq-AL" w:bidi="sq-AL"/>
        </w:rPr>
        <w:t>planit të vetëm të projektit</w:t>
      </w:r>
      <w:r w:rsidRPr="004D53EC">
        <w:rPr>
          <w:lang w:val="sq-AL" w:bidi="sq-AL"/>
        </w:rPr>
        <w:t xml:space="preserve">", duke konfirmuar kështu orientimin strategjik të vendit drejt TEN-eve. Duhet të vijojnë masat e fuqishme për përmirësimin e infrastrukturës rrugore nga këndvështrimi i sigurisë rrugore pas inspektimeve të sigurisë rrugore dhe </w:t>
      </w:r>
      <w:proofErr w:type="spellStart"/>
      <w:r w:rsidRPr="004D53EC">
        <w:rPr>
          <w:lang w:val="sq-AL" w:bidi="sq-AL"/>
        </w:rPr>
        <w:t>auditeve</w:t>
      </w:r>
      <w:proofErr w:type="spellEnd"/>
      <w:r w:rsidRPr="004D53EC">
        <w:rPr>
          <w:lang w:val="sq-AL" w:bidi="sq-AL"/>
        </w:rPr>
        <w:t xml:space="preserve"> të sigurisë rrugore, veçanërisht me qëllim eliminimin e pikave të zeza të identifikuara të aksidenteve, të cilat shkaktojnë vdekje dhe lëndime. Rrjeti themelor i rrugëve është tashmë i mbuluar nga programe 5 vjeçare mirëmbajtjeje. Miratimi i planeve shumëvjeçare të mirëmbajtjes për rrjetin themelor të hekurudhave mbetet sfidë, kur merret në konsideratë gjendja e infrastrukturës hekurudhore.</w:t>
      </w:r>
    </w:p>
    <w:p w14:paraId="13174396" w14:textId="77777777" w:rsidR="006C790B" w:rsidRPr="004D53EC" w:rsidRDefault="006C790B" w:rsidP="006C790B">
      <w:pPr>
        <w:pStyle w:val="BodyText"/>
        <w:rPr>
          <w:lang w:val="sq-AL"/>
        </w:rPr>
      </w:pPr>
      <w:r w:rsidRPr="004D53EC">
        <w:rPr>
          <w:lang w:val="sq-AL" w:bidi="sq-AL"/>
        </w:rPr>
        <w:t xml:space="preserve">Ka pasur progres edhe me punën për përgatitjen e projekteve rrugore, hekurudhore dhe </w:t>
      </w:r>
      <w:proofErr w:type="spellStart"/>
      <w:r w:rsidRPr="004D53EC">
        <w:rPr>
          <w:lang w:val="sq-AL" w:bidi="sq-AL"/>
        </w:rPr>
        <w:t>portuale</w:t>
      </w:r>
      <w:proofErr w:type="spellEnd"/>
      <w:r w:rsidRPr="004D53EC">
        <w:rPr>
          <w:lang w:val="sq-AL" w:bidi="sq-AL"/>
        </w:rPr>
        <w:t xml:space="preserve">, veçanërisht përgjatë lidhjes rrugore </w:t>
      </w:r>
      <w:proofErr w:type="spellStart"/>
      <w:r w:rsidRPr="004D53EC">
        <w:rPr>
          <w:lang w:val="sq-AL" w:bidi="sq-AL"/>
        </w:rPr>
        <w:t>adriatiko</w:t>
      </w:r>
      <w:proofErr w:type="spellEnd"/>
      <w:r w:rsidRPr="004D53EC">
        <w:rPr>
          <w:lang w:val="sq-AL" w:bidi="sq-AL"/>
        </w:rPr>
        <w:t>-joniane dhe Korridorin VIII (</w:t>
      </w:r>
      <w:proofErr w:type="spellStart"/>
      <w:r w:rsidRPr="004D53EC">
        <w:rPr>
          <w:lang w:val="sq-AL" w:bidi="sq-AL"/>
        </w:rPr>
        <w:t>Varnë</w:t>
      </w:r>
      <w:proofErr w:type="spellEnd"/>
      <w:r w:rsidRPr="004D53EC">
        <w:rPr>
          <w:lang w:val="sq-AL" w:bidi="sq-AL"/>
        </w:rPr>
        <w:t xml:space="preserve"> - Durrës).</w:t>
      </w:r>
    </w:p>
    <w:p w14:paraId="7E889D77" w14:textId="77777777" w:rsidR="006C790B" w:rsidRPr="004D53EC" w:rsidRDefault="006C790B" w:rsidP="006C790B">
      <w:pPr>
        <w:pStyle w:val="BodyText"/>
        <w:ind w:left="979"/>
        <w:rPr>
          <w:lang w:val="sq-AL"/>
        </w:rPr>
      </w:pPr>
      <w:r w:rsidRPr="004D53EC">
        <w:rPr>
          <w:lang w:val="sq-AL" w:bidi="sq-AL"/>
        </w:rPr>
        <w:t xml:space="preserve">Sa i përket hekurudhave, puna për rehabilitimin e linjës Durrës - Tiranë dhe për ndërtimin e një linje të re deri në aeroportin ndërkombëtar po përparon në përputhje me detyrimet </w:t>
      </w:r>
      <w:proofErr w:type="spellStart"/>
      <w:r w:rsidRPr="004D53EC">
        <w:rPr>
          <w:lang w:val="sq-AL" w:bidi="sq-AL"/>
        </w:rPr>
        <w:t>kontraktuale</w:t>
      </w:r>
      <w:proofErr w:type="spellEnd"/>
      <w:r w:rsidRPr="004D53EC">
        <w:rPr>
          <w:lang w:val="sq-AL" w:bidi="sq-AL"/>
        </w:rPr>
        <w:t xml:space="preserve"> (48% e punimeve civile kanë përfunduar). Nevojiten përpjekje të mëtejshme dhe përforcim i kapaciteteve programuese dhe të menaxhimit të projektit me qëllim shmangien e pengesave dhe vënien në funksion të </w:t>
      </w:r>
      <w:proofErr w:type="spellStart"/>
      <w:r w:rsidRPr="004D53EC">
        <w:rPr>
          <w:lang w:val="sq-AL" w:bidi="sq-AL"/>
        </w:rPr>
        <w:t>granteve</w:t>
      </w:r>
      <w:proofErr w:type="spellEnd"/>
      <w:r w:rsidRPr="004D53EC">
        <w:rPr>
          <w:lang w:val="sq-AL" w:bidi="sq-AL"/>
        </w:rPr>
        <w:t xml:space="preserve"> të investimit të akorduara në kuadër të platformës së Fondit të Investimeve për Ballkanin Perëndimor, dhe në veçanti për fillimin e punës ndërtimore të </w:t>
      </w:r>
      <w:proofErr w:type="spellStart"/>
      <w:r w:rsidRPr="004D53EC">
        <w:rPr>
          <w:lang w:val="sq-AL" w:bidi="sq-AL"/>
        </w:rPr>
        <w:t>bajpasit</w:t>
      </w:r>
      <w:proofErr w:type="spellEnd"/>
      <w:r w:rsidRPr="004D53EC">
        <w:rPr>
          <w:lang w:val="sq-AL" w:bidi="sq-AL"/>
        </w:rPr>
        <w:t xml:space="preserve"> të Tiranës dhe të hekurudhës Vorë-Hani i Hotit, që lidh Shqipërinë me Malin e Zi. Të dy projektet priten të nisin në vitin 2024.</w:t>
      </w:r>
    </w:p>
    <w:p w14:paraId="5A0DE57A" w14:textId="77777777" w:rsidR="006C790B" w:rsidRPr="004D53EC" w:rsidRDefault="006C790B" w:rsidP="006C790B">
      <w:pPr>
        <w:pStyle w:val="BodyText"/>
        <w:spacing w:before="119"/>
        <w:ind w:left="979"/>
        <w:rPr>
          <w:lang w:val="sq-AL"/>
        </w:rPr>
      </w:pPr>
      <w:r w:rsidRPr="004D53EC">
        <w:rPr>
          <w:lang w:val="sq-AL" w:bidi="sq-AL"/>
        </w:rPr>
        <w:t xml:space="preserve">Në dhjetor të vitit 2022, qeveria paraqiti planet e veta për ndërtimin e portit në Porto </w:t>
      </w:r>
      <w:proofErr w:type="spellStart"/>
      <w:r w:rsidRPr="004D53EC">
        <w:rPr>
          <w:lang w:val="sq-AL" w:bidi="sq-AL"/>
        </w:rPr>
        <w:t>Romano</w:t>
      </w:r>
      <w:proofErr w:type="spellEnd"/>
      <w:r w:rsidRPr="004D53EC">
        <w:rPr>
          <w:lang w:val="sq-AL" w:bidi="sq-AL"/>
        </w:rPr>
        <w:t xml:space="preserve">, 12 kilometra në veri të Durrësit. I gjithë vëllimi i mallrave që aktualisht përpunohet në portet e Durrësit dhe të Vlorës do të zhvendoset në këtë port të ri. Duhet të ndërtohet një linjë e re hekurudhore prej 8 km për të lidhur portin në Porto </w:t>
      </w:r>
      <w:proofErr w:type="spellStart"/>
      <w:r w:rsidRPr="004D53EC">
        <w:rPr>
          <w:lang w:val="sq-AL" w:bidi="sq-AL"/>
        </w:rPr>
        <w:t>Romano</w:t>
      </w:r>
      <w:proofErr w:type="spellEnd"/>
      <w:r w:rsidRPr="004D53EC">
        <w:rPr>
          <w:lang w:val="sq-AL" w:bidi="sq-AL"/>
        </w:rPr>
        <w:t xml:space="preserve"> me rrjetin aktual hekurudhor. Investimi do të zbatohet me faza dhe sipas autoriteteve, faza e parë do të përfundojë në vitin 2027, përfshirë terminalin e </w:t>
      </w:r>
      <w:proofErr w:type="spellStart"/>
      <w:r w:rsidRPr="004D53EC">
        <w:rPr>
          <w:lang w:val="sq-AL" w:bidi="sq-AL"/>
        </w:rPr>
        <w:t>kontenierëve</w:t>
      </w:r>
      <w:proofErr w:type="spellEnd"/>
      <w:r w:rsidRPr="004D53EC">
        <w:rPr>
          <w:lang w:val="sq-AL" w:bidi="sq-AL"/>
        </w:rPr>
        <w:t>, thellimin dhe mbushjen, valëthyesin verior dhe infrastrukturën mbështetëse.</w:t>
      </w:r>
    </w:p>
    <w:p w14:paraId="62294DEA" w14:textId="77777777" w:rsidR="006C790B" w:rsidRPr="004D53EC" w:rsidRDefault="006C790B" w:rsidP="006C790B">
      <w:pPr>
        <w:pStyle w:val="BodyText"/>
        <w:ind w:left="979"/>
        <w:rPr>
          <w:lang w:val="sq-AL"/>
        </w:rPr>
      </w:pPr>
      <w:r w:rsidRPr="004D53EC">
        <w:rPr>
          <w:lang w:val="sq-AL" w:bidi="sq-AL"/>
        </w:rPr>
        <w:t xml:space="preserve">Aeroporti i Kukësit në veri të Shqipërisë filloi funksionimin normal në korrikut të vitit 2021, përqendruar në linjat me kosto të ulët. Ndërtimi i një aeroporti tregtar në zonën e mbrojtur të Vjosë-Nartë po vijon. Këto veprimtari shkaktojnë shqetësime të konsiderueshme lidhur me </w:t>
      </w:r>
      <w:r w:rsidRPr="004D53EC">
        <w:rPr>
          <w:lang w:val="sq-AL" w:bidi="sq-AL"/>
        </w:rPr>
        <w:lastRenderedPageBreak/>
        <w:t xml:space="preserve">kërcënimin ndaj mjedisit, </w:t>
      </w:r>
      <w:proofErr w:type="spellStart"/>
      <w:r w:rsidRPr="004D53EC">
        <w:rPr>
          <w:lang w:val="sq-AL" w:bidi="sq-AL"/>
        </w:rPr>
        <w:t>habitatit</w:t>
      </w:r>
      <w:proofErr w:type="spellEnd"/>
      <w:r w:rsidRPr="004D53EC">
        <w:rPr>
          <w:lang w:val="sq-AL" w:bidi="sq-AL"/>
        </w:rPr>
        <w:t>, shpendëve shtegtarë dhe gjallesave të tjera.</w:t>
      </w:r>
    </w:p>
    <w:p w14:paraId="19E0F536" w14:textId="50DE0425" w:rsidR="006C790B" w:rsidRPr="004D53EC" w:rsidRDefault="006C790B" w:rsidP="000857D8">
      <w:pPr>
        <w:pStyle w:val="BodyText"/>
        <w:ind w:left="979"/>
        <w:rPr>
          <w:lang w:val="sq-AL"/>
        </w:rPr>
      </w:pPr>
      <w:r w:rsidRPr="004D53EC">
        <w:rPr>
          <w:lang w:val="sq-AL" w:bidi="sq-AL"/>
        </w:rPr>
        <w:t xml:space="preserve">Sa i përket </w:t>
      </w:r>
      <w:r w:rsidRPr="004D53EC">
        <w:rPr>
          <w:b/>
          <w:lang w:val="sq-AL" w:bidi="sq-AL"/>
        </w:rPr>
        <w:t>rrjeteve të energjisë</w:t>
      </w:r>
      <w:r w:rsidRPr="004D53EC">
        <w:rPr>
          <w:lang w:val="sq-AL" w:bidi="sq-AL"/>
        </w:rPr>
        <w:t xml:space="preserve">, ka nevojë për përpjekje të mëtejshme për miratimin e vlerësimit mjedisor strategjik (VMS) dhe planit të identifikimit të projektit në kuadër të </w:t>
      </w:r>
      <w:proofErr w:type="spellStart"/>
      <w:r w:rsidRPr="004D53EC">
        <w:rPr>
          <w:lang w:val="sq-AL" w:bidi="sq-AL"/>
        </w:rPr>
        <w:t>master</w:t>
      </w:r>
      <w:proofErr w:type="spellEnd"/>
      <w:r w:rsidRPr="004D53EC">
        <w:rPr>
          <w:lang w:val="sq-AL" w:bidi="sq-AL"/>
        </w:rPr>
        <w:t xml:space="preserve"> planit të gazit, duke qenë se është i ndërlidhur fuqishëm me zhvillimin e projekteve TEN-E. Zhvillimi i planifikuar, dhe </w:t>
      </w:r>
      <w:proofErr w:type="spellStart"/>
      <w:r w:rsidRPr="004D53EC">
        <w:rPr>
          <w:lang w:val="sq-AL" w:bidi="sq-AL"/>
        </w:rPr>
        <w:t>interkoneksionet</w:t>
      </w:r>
      <w:proofErr w:type="spellEnd"/>
      <w:r w:rsidRPr="004D53EC">
        <w:rPr>
          <w:lang w:val="sq-AL" w:bidi="sq-AL"/>
        </w:rPr>
        <w:t xml:space="preserve"> ndërmjet terminalit LNG në Vlorë dhe tubacioneve rajonale të gazit (Gazsjellësi ekzistues Trans Adriatik dhe Gazsjellësi i parashikuar Jonian Adriatik) do të rrisnin sigurinë energjetike rajonale. Nevojitet më shumë punë për zbatimin e tubacioneve të mësipërme si dhe për zhvillimin e tregut të gazit në Shqipëri. Këto nisma duhet të zbatohen pas vlerësimeve të ndikimit në mjedis dhe vlerësimeve mjedisore strategjike, si</w:t>
      </w:r>
      <w:r w:rsidR="000857D8">
        <w:rPr>
          <w:lang w:val="sq-AL"/>
        </w:rPr>
        <w:t xml:space="preserve"> </w:t>
      </w:r>
      <w:r w:rsidRPr="004D53EC">
        <w:rPr>
          <w:lang w:val="sq-AL" w:bidi="sq-AL"/>
        </w:rPr>
        <w:t>dhe pas konsultimit publik transparent që përfshin të gjitha palët e interesit, përfshirë popullatën vendore, grupet mjedisore dhe organizatat e shoqërisë civile.</w:t>
      </w:r>
    </w:p>
    <w:p w14:paraId="662BCE57" w14:textId="77777777" w:rsidR="006C790B" w:rsidRPr="004D53EC" w:rsidRDefault="006C790B" w:rsidP="006C790B">
      <w:pPr>
        <w:pStyle w:val="BodyText"/>
        <w:ind w:left="979"/>
        <w:rPr>
          <w:lang w:val="sq-AL"/>
        </w:rPr>
      </w:pPr>
      <w:r w:rsidRPr="004D53EC">
        <w:rPr>
          <w:lang w:val="sq-AL" w:bidi="sq-AL"/>
        </w:rPr>
        <w:t>Është bërë progres me përmirësimin e infrastrukturës së transmetimit të energjisë elektrike. Shoqëritë nga Kosova i janë bashkuar bllokut të kontrollit Kosovë-Shqipëri dhe po marrin pjesë në Bursën Shqiptare të Energjisë, e cila u vu në funksion në prill të vitit 2023 pas zbatimit të suksesshëm të operatorit të platformës.</w:t>
      </w:r>
    </w:p>
    <w:p w14:paraId="3997C283" w14:textId="77777777" w:rsidR="006C790B" w:rsidRPr="004D53EC" w:rsidRDefault="006C790B" w:rsidP="006C790B">
      <w:pPr>
        <w:pStyle w:val="BodyText"/>
        <w:ind w:left="979"/>
        <w:rPr>
          <w:lang w:val="sq-AL"/>
        </w:rPr>
      </w:pPr>
      <w:r w:rsidRPr="004D53EC">
        <w:rPr>
          <w:lang w:val="sq-AL" w:bidi="sq-AL"/>
        </w:rPr>
        <w:t xml:space="preserve">Punimet priten të nisin gjatë vitit 2023 për ndërtimin e një linje </w:t>
      </w:r>
      <w:proofErr w:type="spellStart"/>
      <w:r w:rsidRPr="004D53EC">
        <w:rPr>
          <w:lang w:val="sq-AL" w:bidi="sq-AL"/>
        </w:rPr>
        <w:t>interkoneksioni</w:t>
      </w:r>
      <w:proofErr w:type="spellEnd"/>
      <w:r w:rsidRPr="004D53EC">
        <w:rPr>
          <w:lang w:val="sq-AL" w:bidi="sq-AL"/>
        </w:rPr>
        <w:t xml:space="preserve"> 400 </w:t>
      </w:r>
      <w:proofErr w:type="spellStart"/>
      <w:r w:rsidRPr="004D53EC">
        <w:rPr>
          <w:lang w:val="sq-AL" w:bidi="sq-AL"/>
        </w:rPr>
        <w:t>kV</w:t>
      </w:r>
      <w:proofErr w:type="spellEnd"/>
      <w:r w:rsidRPr="004D53EC">
        <w:rPr>
          <w:lang w:val="sq-AL" w:bidi="sq-AL"/>
        </w:rPr>
        <w:t xml:space="preserve"> nga Fieri në Shqipëri deri në kufirin me Maqedoninë e Veriut.</w:t>
      </w:r>
    </w:p>
    <w:p w14:paraId="0E0DEC71" w14:textId="77777777" w:rsidR="006C790B" w:rsidRPr="004D53EC" w:rsidRDefault="006C790B" w:rsidP="006C790B">
      <w:pPr>
        <w:pStyle w:val="BodyText"/>
        <w:ind w:left="979"/>
        <w:rPr>
          <w:lang w:val="sq-AL"/>
        </w:rPr>
      </w:pPr>
      <w:r w:rsidRPr="004D53EC">
        <w:rPr>
          <w:lang w:val="sq-AL" w:bidi="sq-AL"/>
        </w:rPr>
        <w:t xml:space="preserve">Pjesëmarrja e Shqipërisë në strategjinë e BE-së për rajonin </w:t>
      </w:r>
      <w:proofErr w:type="spellStart"/>
      <w:r w:rsidRPr="004D53EC">
        <w:rPr>
          <w:lang w:val="sq-AL" w:bidi="sq-AL"/>
        </w:rPr>
        <w:t>adriatiko</w:t>
      </w:r>
      <w:proofErr w:type="spellEnd"/>
      <w:r w:rsidRPr="004D53EC">
        <w:rPr>
          <w:lang w:val="sq-AL" w:bidi="sq-AL"/>
        </w:rPr>
        <w:t>-jonian mbetet përparëse si për rrjetet e transportit, ashtu edhe ato të energjisë, dhe është e rëndësishme që vendi të vijojë të përfshihet aktivisht.</w:t>
      </w:r>
    </w:p>
    <w:p w14:paraId="47345E27" w14:textId="77777777" w:rsidR="006C790B" w:rsidRPr="004D53EC" w:rsidRDefault="006C790B" w:rsidP="006C790B">
      <w:pPr>
        <w:rPr>
          <w:lang w:val="sq-AL"/>
        </w:rPr>
      </w:pPr>
    </w:p>
    <w:p w14:paraId="4DDDB295" w14:textId="77777777" w:rsidR="006C790B" w:rsidRDefault="006C790B" w:rsidP="006C790B">
      <w:pPr>
        <w:pStyle w:val="Heading1"/>
        <w:ind w:left="1039"/>
        <w:rPr>
          <w:lang w:val="sq-AL"/>
        </w:rPr>
      </w:pPr>
      <w:r w:rsidRPr="004D53EC">
        <w:rPr>
          <w:lang w:val="sq-AL"/>
        </w:rPr>
        <w:t>Kapitulli 27: Mjedisi dhe ndryshimet klimatike</w:t>
      </w: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4"/>
      </w:tblGrid>
      <w:tr w:rsidR="006C790B" w:rsidRPr="004D53EC" w14:paraId="4E978F75" w14:textId="77777777" w:rsidTr="005760FF">
        <w:trPr>
          <w:trHeight w:val="7864"/>
        </w:trPr>
        <w:tc>
          <w:tcPr>
            <w:tcW w:w="9254" w:type="dxa"/>
            <w:shd w:val="clear" w:color="auto" w:fill="D9D9D9"/>
          </w:tcPr>
          <w:p w14:paraId="2A2EDF3E" w14:textId="2D1AEFC6" w:rsidR="006C790B" w:rsidRPr="004D53EC" w:rsidRDefault="006C790B" w:rsidP="005760FF">
            <w:pPr>
              <w:pStyle w:val="TableParagraph"/>
              <w:spacing w:before="120"/>
              <w:ind w:left="113" w:right="100"/>
              <w:jc w:val="both"/>
              <w:rPr>
                <w:sz w:val="24"/>
                <w:lang w:val="sq-AL"/>
              </w:rPr>
            </w:pPr>
            <w:r w:rsidRPr="004D53EC">
              <w:rPr>
                <w:i/>
                <w:sz w:val="24"/>
                <w:lang w:val="sq-AL"/>
              </w:rPr>
              <w:lastRenderedPageBreak/>
              <w:t xml:space="preserve">E-ja promovon veprimet e forta klimatike, zhvillimin e qëndrueshëm dhe mbrojtjen mjedisore. E drejta e BE-së përmban dispozita që trajtojnë ndryshimet klimatike, cilësinë e ujit dhe të ajrit, menaxhimin e mbetjeve, mbrojtjen e natyrës, ndotjen industriale, </w:t>
            </w:r>
            <w:proofErr w:type="spellStart"/>
            <w:r w:rsidRPr="004D53EC">
              <w:rPr>
                <w:i/>
                <w:sz w:val="24"/>
                <w:lang w:val="sq-AL"/>
              </w:rPr>
              <w:t>kimikatet</w:t>
            </w:r>
            <w:proofErr w:type="spellEnd"/>
            <w:r w:rsidRPr="004D53EC">
              <w:rPr>
                <w:i/>
                <w:sz w:val="24"/>
                <w:lang w:val="sq-AL"/>
              </w:rPr>
              <w:t>, ndotjen akustike dhe mbrojtjen civile.</w:t>
            </w:r>
            <w:r w:rsidR="0032048B" w:rsidRPr="004D53EC">
              <w:rPr>
                <w:i/>
                <w:sz w:val="24"/>
                <w:lang w:val="sq-AL"/>
              </w:rPr>
              <w:t xml:space="preserve"> </w:t>
            </w:r>
            <w:r w:rsidRPr="004D53EC">
              <w:rPr>
                <w:sz w:val="24"/>
                <w:lang w:val="sq-AL"/>
              </w:rPr>
              <w:t>Shqipëria ka një</w:t>
            </w:r>
            <w:r w:rsidRPr="004D53EC">
              <w:rPr>
                <w:b/>
                <w:sz w:val="24"/>
                <w:lang w:val="sq-AL"/>
              </w:rPr>
              <w:t xml:space="preserve"> përgatitje të mjaftueshme</w:t>
            </w:r>
            <w:r w:rsidRPr="004D53EC">
              <w:rPr>
                <w:sz w:val="24"/>
                <w:lang w:val="sq-AL"/>
              </w:rPr>
              <w:t xml:space="preserve"> në këtë fushë. Është bërë </w:t>
            </w:r>
            <w:r w:rsidRPr="004D53EC">
              <w:rPr>
                <w:b/>
                <w:sz w:val="24"/>
                <w:lang w:val="sq-AL"/>
              </w:rPr>
              <w:t xml:space="preserve">progres i kufizuar </w:t>
            </w:r>
            <w:r w:rsidRPr="004D53EC">
              <w:rPr>
                <w:sz w:val="24"/>
                <w:lang w:val="sq-AL"/>
              </w:rPr>
              <w:t xml:space="preserve">në përafrimin e mëtejshëm të politikave dhe legjislacionit me </w:t>
            </w:r>
            <w:proofErr w:type="spellStart"/>
            <w:r w:rsidRPr="004D53EC">
              <w:rPr>
                <w:i/>
                <w:sz w:val="24"/>
                <w:lang w:val="sq-AL"/>
              </w:rPr>
              <w:t>acquis</w:t>
            </w:r>
            <w:proofErr w:type="spellEnd"/>
            <w:r w:rsidRPr="004D53EC">
              <w:rPr>
                <w:sz w:val="24"/>
                <w:lang w:val="sq-AL"/>
              </w:rPr>
              <w:t xml:space="preserve"> të BE-së në fusha të tilla si menaxhimi i ujit, </w:t>
            </w:r>
            <w:proofErr w:type="spellStart"/>
            <w:r w:rsidRPr="004D53EC">
              <w:rPr>
                <w:sz w:val="24"/>
                <w:lang w:val="sq-AL"/>
              </w:rPr>
              <w:t>kimikatet</w:t>
            </w:r>
            <w:proofErr w:type="spellEnd"/>
            <w:r w:rsidRPr="004D53EC">
              <w:rPr>
                <w:sz w:val="24"/>
                <w:lang w:val="sq-AL"/>
              </w:rPr>
              <w:t>, krimi mjedisor dhe politikat klimatike.</w:t>
            </w:r>
          </w:p>
          <w:p w14:paraId="63371FDE" w14:textId="77777777" w:rsidR="006C790B" w:rsidRPr="004D53EC" w:rsidRDefault="006C790B" w:rsidP="005760FF">
            <w:pPr>
              <w:pStyle w:val="TableParagraph"/>
              <w:spacing w:before="120"/>
              <w:ind w:left="113" w:right="100"/>
              <w:jc w:val="both"/>
              <w:rPr>
                <w:sz w:val="24"/>
                <w:lang w:val="sq-AL"/>
              </w:rPr>
            </w:pPr>
            <w:r w:rsidRPr="004D53EC">
              <w:rPr>
                <w:sz w:val="24"/>
                <w:lang w:val="sq-AL"/>
              </w:rPr>
              <w:t xml:space="preserve">Shqipëria ka bërë progres në fushën e mbrojtjes civile që kur u bë pjesë e Mekanizmit për Mbrojtjen Civile të BE-së në vitin 2022 dhe ka përgatitur një strategji kombëtare për reduktimin e rrezikut nga fatkeqësitë dhe planin e veprimit 2023-2030. Shqipëria duhet të vazhdojë punën për të përmirësuar më tej sistemin e saj të mbrojtjes civile. Nevojiten përpjekje të konsiderueshme për funksionimin dhe zbatimin e menaxhimit të mbetjeve, cilësisë së ujit dhe ajrit dhe ndryshimeve klimatike, për të forcuar kapacitetet e saj administrative dhe inspektuese dhe për të zbatuar reforma strukturore </w:t>
            </w:r>
            <w:proofErr w:type="spellStart"/>
            <w:r w:rsidRPr="004D53EC">
              <w:rPr>
                <w:sz w:val="24"/>
                <w:lang w:val="sq-AL"/>
              </w:rPr>
              <w:t>ndërsektoriale</w:t>
            </w:r>
            <w:proofErr w:type="spellEnd"/>
            <w:r w:rsidRPr="004D53EC">
              <w:rPr>
                <w:sz w:val="24"/>
                <w:lang w:val="sq-AL"/>
              </w:rPr>
              <w:t>.</w:t>
            </w:r>
          </w:p>
          <w:p w14:paraId="54CE7963" w14:textId="77777777" w:rsidR="006C790B" w:rsidRPr="004D53EC" w:rsidRDefault="006C790B" w:rsidP="005760FF">
            <w:pPr>
              <w:pStyle w:val="TableParagraph"/>
              <w:spacing w:before="119"/>
              <w:ind w:left="113" w:right="101"/>
              <w:jc w:val="both"/>
              <w:rPr>
                <w:sz w:val="24"/>
                <w:lang w:val="sq-AL"/>
              </w:rPr>
            </w:pPr>
            <w:r w:rsidRPr="004D53EC">
              <w:rPr>
                <w:sz w:val="24"/>
                <w:lang w:val="sq-AL"/>
              </w:rPr>
              <w:t xml:space="preserve">Pjesa me e madhe e rekomandimeve nga viti 2022 mbeten të vlefshme dhe për vitin e ardhshëm, dhe përveç adresimit të mangësive të përcaktuara më poshtë, </w:t>
            </w:r>
            <w:proofErr w:type="spellStart"/>
            <w:r w:rsidRPr="004D53EC">
              <w:rPr>
                <w:sz w:val="24"/>
                <w:lang w:val="sq-AL"/>
              </w:rPr>
              <w:t>Shqiqëria</w:t>
            </w:r>
            <w:proofErr w:type="spellEnd"/>
            <w:r w:rsidRPr="004D53EC">
              <w:rPr>
                <w:sz w:val="24"/>
                <w:lang w:val="sq-AL"/>
              </w:rPr>
              <w:t xml:space="preserve"> duhet, në veçanti:</w:t>
            </w:r>
          </w:p>
          <w:p w14:paraId="1013C0D5" w14:textId="77777777" w:rsidR="006C790B" w:rsidRPr="004D53EC" w:rsidRDefault="006C790B" w:rsidP="005760FF">
            <w:pPr>
              <w:pStyle w:val="TableParagraph"/>
              <w:spacing w:before="120"/>
              <w:ind w:left="473" w:right="100" w:hanging="360"/>
              <w:jc w:val="both"/>
              <w:rPr>
                <w:sz w:val="24"/>
                <w:lang w:val="sq-AL"/>
              </w:rPr>
            </w:pPr>
            <w:r w:rsidRPr="004D53EC">
              <w:rPr>
                <w:rFonts w:ascii="Symbol" w:hAnsi="Symbol"/>
                <w:sz w:val="24"/>
                <w:lang w:val="sq-AL"/>
              </w:rPr>
              <w:t></w:t>
            </w:r>
            <w:r w:rsidRPr="004D53EC">
              <w:rPr>
                <w:sz w:val="24"/>
                <w:lang w:val="sq-AL"/>
              </w:rPr>
              <w:t xml:space="preserve"> të miratojë ligjin e ri për shërbimet e ujit; të rrisë ndjeshëm burimet buxhetore dhe kapacitetin zbatues të agjencive të saj kryesore kombëtare të ujit; të miratoj Planet e Menaxhimit të Baseneve Lumore (RBMP) për lumenjtë </w:t>
            </w:r>
            <w:proofErr w:type="spellStart"/>
            <w:r w:rsidRPr="004D53EC">
              <w:rPr>
                <w:sz w:val="24"/>
                <w:lang w:val="sq-AL"/>
              </w:rPr>
              <w:t>Ishem</w:t>
            </w:r>
            <w:proofErr w:type="spellEnd"/>
            <w:r w:rsidRPr="004D53EC">
              <w:rPr>
                <w:sz w:val="24"/>
                <w:lang w:val="sq-AL"/>
              </w:rPr>
              <w:t>, Erzen dhe Mat dhe të përfundojë Planet e Menaxhimit të Baseneve Lumore për lumenjtë Shkumbin dhe Vjosë;</w:t>
            </w:r>
          </w:p>
          <w:p w14:paraId="60D95423" w14:textId="77777777" w:rsidR="006C790B" w:rsidRPr="004D53EC" w:rsidRDefault="006C790B" w:rsidP="005760FF">
            <w:pPr>
              <w:pStyle w:val="TableParagraph"/>
              <w:spacing w:before="120"/>
              <w:ind w:left="473" w:right="101" w:hanging="360"/>
              <w:jc w:val="both"/>
              <w:rPr>
                <w:sz w:val="24"/>
                <w:lang w:val="sq-AL"/>
              </w:rPr>
            </w:pPr>
            <w:r w:rsidRPr="004D53EC">
              <w:rPr>
                <w:rFonts w:ascii="Symbol" w:hAnsi="Symbol"/>
                <w:sz w:val="24"/>
                <w:lang w:val="sq-AL"/>
              </w:rPr>
              <w:t></w:t>
            </w:r>
            <w:r w:rsidRPr="004D53EC">
              <w:rPr>
                <w:sz w:val="24"/>
                <w:lang w:val="sq-AL"/>
              </w:rPr>
              <w:t xml:space="preserve"> të marrë masa të menjëhershme për të rishikuar dhe përmirësuar cilësinë e vlerësimeve të ndikimit mjedisor dhe strategjik të projekteve, planeve dhe programeve, veçanërisht në sektorët e hidrocentralit, ndërtimit, turizmit, transportit dhe minierave (dhe të sigurojë pjesëmarrjen dhe konsultimin e publikut në këtë proces); të marrë masa të menjëhershme për të luftuar krimin mjedisor dhe për tu harmonizuar plotësisht me Direktivën e Krimit Mjedisor dhe me Direktivën e Përgjegjësisë Mjedisore dhe të përforcojë politikën dhe zbatimin e ligjit në mbrojtje të natyrës dhe </w:t>
            </w:r>
            <w:proofErr w:type="spellStart"/>
            <w:r w:rsidRPr="004D53EC">
              <w:rPr>
                <w:sz w:val="24"/>
                <w:lang w:val="sq-AL"/>
              </w:rPr>
              <w:t>biodiversitetit</w:t>
            </w:r>
            <w:proofErr w:type="spellEnd"/>
            <w:r w:rsidRPr="004D53EC">
              <w:rPr>
                <w:sz w:val="24"/>
                <w:lang w:val="sq-AL"/>
              </w:rPr>
              <w:t>, veçanërisht në zonat e mbrojtura;</w:t>
            </w:r>
          </w:p>
          <w:p w14:paraId="0C7DBBBA" w14:textId="77777777" w:rsidR="006C790B" w:rsidRPr="004D53EC" w:rsidRDefault="006C790B" w:rsidP="005760FF">
            <w:pPr>
              <w:pStyle w:val="TableParagraph"/>
              <w:spacing w:before="135" w:line="276" w:lineRule="exact"/>
              <w:ind w:left="473" w:right="100" w:hanging="360"/>
              <w:jc w:val="both"/>
              <w:rPr>
                <w:sz w:val="24"/>
                <w:lang w:val="sq-AL"/>
              </w:rPr>
            </w:pPr>
            <w:r w:rsidRPr="004D53EC">
              <w:rPr>
                <w:rFonts w:ascii="Symbol" w:hAnsi="Symbol"/>
                <w:sz w:val="24"/>
                <w:lang w:val="sq-AL"/>
              </w:rPr>
              <w:t></w:t>
            </w:r>
            <w:r w:rsidRPr="004D53EC">
              <w:rPr>
                <w:sz w:val="24"/>
                <w:lang w:val="sq-AL"/>
              </w:rPr>
              <w:t xml:space="preserve"> të ngrejë mekanizmat e vigjilencës dhe të hartojë planet e menaxhimit të rrezikut në të gjitha basenet e lumenjve; të zbatojë strategjinë kombëtare për ndryshimet klimatike dhe planet përkatëse të veprimit për zbutjen dhe përshtatjen, të miratojë legjislacionin përkatës dhe të zbatojë planin e saj kombëtar të integruar të energjisë dhe klimës në përputhje me detyrimet e Komunitetit të Energjisë.</w:t>
            </w:r>
          </w:p>
        </w:tc>
      </w:tr>
    </w:tbl>
    <w:p w14:paraId="642E5BC8" w14:textId="77777777" w:rsidR="006C790B" w:rsidRPr="004D53EC" w:rsidRDefault="006C790B" w:rsidP="006C790B">
      <w:pPr>
        <w:pStyle w:val="BodyText"/>
        <w:spacing w:before="121"/>
        <w:ind w:right="0"/>
        <w:jc w:val="left"/>
        <w:rPr>
          <w:spacing w:val="-2"/>
          <w:u w:val="single"/>
          <w:lang w:val="sq-AL"/>
        </w:rPr>
      </w:pPr>
    </w:p>
    <w:p w14:paraId="6183EDC8" w14:textId="77777777" w:rsidR="006C790B" w:rsidRPr="004D53EC" w:rsidRDefault="006C790B" w:rsidP="006C790B">
      <w:pPr>
        <w:pStyle w:val="BodyText"/>
        <w:spacing w:before="121"/>
        <w:ind w:right="0"/>
        <w:jc w:val="left"/>
        <w:rPr>
          <w:lang w:val="sq-AL"/>
        </w:rPr>
      </w:pPr>
      <w:r w:rsidRPr="004D53EC">
        <w:rPr>
          <w:spacing w:val="-2"/>
          <w:u w:val="single"/>
          <w:lang w:val="sq-AL"/>
        </w:rPr>
        <w:t>Mjedisi</w:t>
      </w:r>
    </w:p>
    <w:p w14:paraId="1D46019A" w14:textId="77777777" w:rsidR="006C790B" w:rsidRPr="004D53EC" w:rsidRDefault="006C790B" w:rsidP="006C790B">
      <w:pPr>
        <w:pStyle w:val="BodyText"/>
        <w:ind w:right="977"/>
        <w:rPr>
          <w:lang w:val="sq-AL"/>
        </w:rPr>
      </w:pPr>
      <w:r w:rsidRPr="004D53EC">
        <w:rPr>
          <w:lang w:val="sq-AL"/>
        </w:rPr>
        <w:t xml:space="preserve">Sa i takon </w:t>
      </w:r>
      <w:r w:rsidRPr="004D53EC">
        <w:rPr>
          <w:b/>
          <w:lang w:val="sq-AL"/>
        </w:rPr>
        <w:t>legjislacionit horizontal</w:t>
      </w:r>
      <w:r w:rsidRPr="004D53EC">
        <w:rPr>
          <w:lang w:val="sq-AL"/>
        </w:rPr>
        <w:t>, Shqipërisë i duhet ende të shtojë përpjekjet për të arritur harmonizimin dhe zbatimin e plotë në shumicën e fushave. Zbatimi i Direktivave për Vlerësimin e Ndikimit në Mjedis (VNM) dhe Vlerësimin Strategjik Mjedisor (VSM) duhet të përmirësohet ndjeshëm.</w:t>
      </w:r>
    </w:p>
    <w:p w14:paraId="21B832A9" w14:textId="77777777" w:rsidR="006C790B" w:rsidRPr="004D53EC" w:rsidRDefault="006C790B" w:rsidP="006C790B">
      <w:pPr>
        <w:pStyle w:val="BodyText"/>
        <w:ind w:right="977"/>
        <w:rPr>
          <w:lang w:val="sq-AL"/>
        </w:rPr>
      </w:pPr>
      <w:r w:rsidRPr="004D53EC">
        <w:rPr>
          <w:lang w:val="sq-AL"/>
        </w:rPr>
        <w:t>Cilësia e VNM-së dhe proceset përkatëse duhet të përmirësohen, Rekomandimet nga VNM-të zbatohen rrallë; ato duhet të zbatohen dhe më pas të monitorohen. Pjesëmarrja e publikut dhe konsultimi në vendimmarrje duhet të përmirësohet, veçanërisht në nivel lokal.</w:t>
      </w:r>
    </w:p>
    <w:p w14:paraId="327C3C56" w14:textId="77777777" w:rsidR="006C790B" w:rsidRPr="004D53EC" w:rsidRDefault="006C790B" w:rsidP="006C790B">
      <w:pPr>
        <w:pStyle w:val="BodyText"/>
        <w:spacing w:before="160" w:line="259" w:lineRule="auto"/>
        <w:rPr>
          <w:lang w:val="sq-AL"/>
        </w:rPr>
      </w:pPr>
      <w:r w:rsidRPr="004D53EC">
        <w:rPr>
          <w:lang w:val="sq-AL"/>
        </w:rPr>
        <w:t xml:space="preserve">VNM për Aeroportin e Vlorës u kritikua </w:t>
      </w:r>
      <w:proofErr w:type="spellStart"/>
      <w:r w:rsidRPr="004D53EC">
        <w:rPr>
          <w:lang w:val="sq-AL"/>
        </w:rPr>
        <w:t>masivisht</w:t>
      </w:r>
      <w:proofErr w:type="spellEnd"/>
      <w:r w:rsidRPr="004D53EC">
        <w:rPr>
          <w:lang w:val="sq-AL"/>
        </w:rPr>
        <w:t xml:space="preserve"> nga shoqëria civile dhe aktorë të tjerë. Një nga problematikat ishte mungesa e marrjes në konsideratë të statusit 'zonë e mbrojtur' në vendin e përzgjedhur.</w:t>
      </w:r>
    </w:p>
    <w:p w14:paraId="632378E5" w14:textId="77777777" w:rsidR="006C790B" w:rsidRPr="004D53EC" w:rsidRDefault="006C790B" w:rsidP="006C790B">
      <w:pPr>
        <w:pStyle w:val="BodyText"/>
        <w:spacing w:before="160" w:line="259" w:lineRule="auto"/>
        <w:rPr>
          <w:lang w:val="sq-AL"/>
        </w:rPr>
      </w:pPr>
      <w:r w:rsidRPr="004D53EC">
        <w:rPr>
          <w:lang w:val="sq-AL"/>
        </w:rPr>
        <w:t xml:space="preserve">Zbatimi i Direktivës së BE-së për mbrojtjen e mjedisit përmes ligjit penal duhet të </w:t>
      </w:r>
      <w:r w:rsidRPr="004D53EC">
        <w:rPr>
          <w:lang w:val="sq-AL"/>
        </w:rPr>
        <w:lastRenderedPageBreak/>
        <w:t>përmirësohet, megjithëse dënimet për krime mjedisore u rritën në 79 në 2022 (nga 65 në 2021).</w:t>
      </w:r>
    </w:p>
    <w:p w14:paraId="62E1D83C" w14:textId="77777777" w:rsidR="006C790B" w:rsidRPr="004D53EC" w:rsidRDefault="006C790B" w:rsidP="006C790B">
      <w:pPr>
        <w:pStyle w:val="BodyText"/>
        <w:spacing w:before="158"/>
        <w:rPr>
          <w:lang w:val="sq-AL"/>
        </w:rPr>
      </w:pPr>
      <w:r w:rsidRPr="004D53EC">
        <w:rPr>
          <w:lang w:val="sq-AL"/>
        </w:rPr>
        <w:t xml:space="preserve">Zbatimi i parimit </w:t>
      </w:r>
      <w:r w:rsidRPr="004D53EC">
        <w:rPr>
          <w:i/>
          <w:lang w:val="sq-AL"/>
        </w:rPr>
        <w:t>ndotësi paguan</w:t>
      </w:r>
      <w:r w:rsidRPr="004D53EC">
        <w:rPr>
          <w:lang w:val="sq-AL"/>
        </w:rPr>
        <w:t xml:space="preserve"> në zbatimin e legjislacionit mbetet i dobët. Më shumë progres nevojitet për të arritur harmonizimin e plotë me Direktivën për përgjegjësinë mjedisore. Inspektimet dhe kapacitetet zbatuese duhet të forcohen me shpejtësi, veçanërisht për të trajtuar në mënyrë më efektive krimet mjedisore. Buxheti i shtetit për mjedisin dhe ndryshimet klimatike mbetet shumë i kufizuar në vitin 2023 dhe i pamjaftueshëm për zbatimin e </w:t>
      </w:r>
      <w:proofErr w:type="spellStart"/>
      <w:r w:rsidRPr="004D53EC">
        <w:rPr>
          <w:i/>
          <w:lang w:val="sq-AL"/>
        </w:rPr>
        <w:t>acquis</w:t>
      </w:r>
      <w:proofErr w:type="spellEnd"/>
      <w:r w:rsidRPr="004D53EC">
        <w:rPr>
          <w:lang w:val="sq-AL"/>
        </w:rPr>
        <w:t xml:space="preserve"> të BE-së. Rotacioni i shpeshtë i stafit dhe punësimi i personelit pa ekspertizën përkatëse, ka gërryer më tej kapacitetin e administratës qendrore dhe agjencive që operojnë në këtë fushë. Zëvendësimi i fundit i disa drejtorëve në administratën rajonale të zonave të mbrojtura në të gjithë vendin ka tërhequr vëmendje të veçantë dhe ka ngritur shqetësime lidhur me menaxhimin e këtyre zonave. Rastet e korrupsionit, të identifikuara nga Struktura e Specializuar Kundër Korrupsionit (SPAK) gjatë procedurave të dhënies së koncesionit për ndërtimin e </w:t>
      </w:r>
      <w:proofErr w:type="spellStart"/>
      <w:r w:rsidRPr="004D53EC">
        <w:rPr>
          <w:lang w:val="sq-AL"/>
        </w:rPr>
        <w:t>inceneratorit</w:t>
      </w:r>
      <w:proofErr w:type="spellEnd"/>
      <w:r w:rsidRPr="004D53EC">
        <w:rPr>
          <w:lang w:val="sq-AL"/>
        </w:rPr>
        <w:t xml:space="preserve"> në Elbasan (në vitin 2021) dhe </w:t>
      </w:r>
      <w:proofErr w:type="spellStart"/>
      <w:r w:rsidRPr="004D53EC">
        <w:rPr>
          <w:lang w:val="sq-AL"/>
        </w:rPr>
        <w:t>inceneratorit</w:t>
      </w:r>
      <w:proofErr w:type="spellEnd"/>
      <w:r w:rsidRPr="004D53EC">
        <w:rPr>
          <w:lang w:val="sq-AL"/>
        </w:rPr>
        <w:t xml:space="preserve"> të mbetjeve të Fierit (në vitin 2022), janë duke u hetuar, dhe nën akuzë janë ish-ministri i Mjedisit bashkë me ish-Sekretarin e Përgjithshëm të Ministrisë së Mjedisit.</w:t>
      </w:r>
    </w:p>
    <w:p w14:paraId="0D3156FB" w14:textId="224128E3" w:rsidR="006C790B" w:rsidRPr="004D53EC" w:rsidRDefault="006C790B" w:rsidP="006C790B">
      <w:pPr>
        <w:pStyle w:val="BodyText"/>
        <w:spacing w:before="158"/>
        <w:rPr>
          <w:lang w:val="sq-AL"/>
        </w:rPr>
      </w:pPr>
      <w:r w:rsidRPr="004D53EC">
        <w:rPr>
          <w:lang w:val="sq-AL"/>
        </w:rPr>
        <w:t xml:space="preserve">Nevojiten më shumë përpjekje për përafrimin me </w:t>
      </w:r>
      <w:proofErr w:type="spellStart"/>
      <w:r w:rsidRPr="004D53EC">
        <w:rPr>
          <w:i/>
          <w:lang w:val="sq-AL"/>
        </w:rPr>
        <w:t>acquis</w:t>
      </w:r>
      <w:proofErr w:type="spellEnd"/>
      <w:r w:rsidRPr="004D53EC">
        <w:rPr>
          <w:lang w:val="sq-AL"/>
        </w:rPr>
        <w:t xml:space="preserve"> të BE-së sa i takon </w:t>
      </w:r>
      <w:r w:rsidRPr="004D53EC">
        <w:rPr>
          <w:b/>
          <w:lang w:val="sq-AL"/>
        </w:rPr>
        <w:t>cilësisë së ajrit,</w:t>
      </w:r>
      <w:r w:rsidRPr="004D53EC">
        <w:rPr>
          <w:lang w:val="sq-AL"/>
        </w:rPr>
        <w:t xml:space="preserve"> duke përfshirë zgjerimin dhe përmirësimin e sistemit të monitorimit të ajrit. Zbatimi i strategjisë kombëtare e vitit 2014 mbi cilësinë e ajrit mbetet ende pezull dhe plani kombëtar i vitit 2019 për menaxhimin e cilësisë së ajrit nuk mundëson një sistem funksional monitorimi. Ekzistojnë vetëm shtatë stacione automatike të monitorimit të ajrit në të gjithë vendin (të vendosura në qytetet kryesore), por të dhënat nuk raportohen në kohë reale dhe monitorimi nuk kryhet gjatë gjithë vitit. Plani fokusohet kryesisht në masat e transportit, ndërsa monitorimi i cilësisë së ajrit ende nuk është në përputhje me standardet e BE-së. Zbatimi i planit të veprimit për cilësinë e ajrit dhe i Direktivës për përmbajtjen e squfurit në disa lëndë djegëse të lëngshme është në vazhdim, ndërsa zbatimi nuk ka filluar ende për Direktivat për kontrollin e emetimeve të përbërësve organikë të avullueshëm (VOC) dhe avullin e benzinës në fazën II.</w:t>
      </w:r>
    </w:p>
    <w:p w14:paraId="38E2A537" w14:textId="77777777" w:rsidR="006C790B" w:rsidRPr="004D53EC" w:rsidRDefault="006C790B" w:rsidP="006C790B">
      <w:pPr>
        <w:pStyle w:val="BodyText"/>
        <w:spacing w:before="121"/>
        <w:rPr>
          <w:lang w:val="sq-AL"/>
        </w:rPr>
      </w:pPr>
      <w:r w:rsidRPr="004D53EC">
        <w:rPr>
          <w:lang w:val="sq-AL"/>
        </w:rPr>
        <w:t xml:space="preserve">Kuadri ligjor për </w:t>
      </w:r>
      <w:r w:rsidRPr="004D53EC">
        <w:rPr>
          <w:b/>
          <w:lang w:val="sq-AL"/>
        </w:rPr>
        <w:t>menaxhimin e mbetjeve</w:t>
      </w:r>
      <w:r w:rsidRPr="004D53EC">
        <w:rPr>
          <w:lang w:val="sq-AL"/>
        </w:rPr>
        <w:t xml:space="preserve"> mbetet pjesërisht i përafruar dhe nevojiten përpjekje të konsiderueshme për të arritur harmonizimin e plotë. Mbyllja e vend-depozitimeve të organizuara të mbetjeve (</w:t>
      </w:r>
      <w:proofErr w:type="spellStart"/>
      <w:r w:rsidRPr="004D53EC">
        <w:rPr>
          <w:lang w:val="sq-AL"/>
        </w:rPr>
        <w:t>landfill</w:t>
      </w:r>
      <w:proofErr w:type="spellEnd"/>
      <w:r w:rsidRPr="004D53EC">
        <w:rPr>
          <w:lang w:val="sq-AL"/>
        </w:rPr>
        <w:t>) dhe e grumbullimeve rastësore të tyre (</w:t>
      </w:r>
      <w:proofErr w:type="spellStart"/>
      <w:r w:rsidRPr="004D53EC">
        <w:rPr>
          <w:lang w:val="sq-AL"/>
        </w:rPr>
        <w:t>dumpsite</w:t>
      </w:r>
      <w:proofErr w:type="spellEnd"/>
      <w:r w:rsidRPr="004D53EC">
        <w:rPr>
          <w:lang w:val="sq-AL"/>
        </w:rPr>
        <w:t xml:space="preserve">), si dhe hedhja e mbeturinave, mbeten sfida të rëndësishme. Mbledhja e ndarë në kategori e rrjedhave të mbetjeve dhe instrumentet ekonomike për të nxitur riciklimin, ripërdorimin dhe parandalimin e gjenerimit të mbetjeve janë ende të pamjaftueshme. Ndërtimi i një </w:t>
      </w:r>
      <w:proofErr w:type="spellStart"/>
      <w:r w:rsidRPr="004D53EC">
        <w:rPr>
          <w:lang w:val="sq-AL"/>
        </w:rPr>
        <w:t>inceneratori</w:t>
      </w:r>
      <w:proofErr w:type="spellEnd"/>
      <w:r w:rsidRPr="004D53EC">
        <w:rPr>
          <w:lang w:val="sq-AL"/>
        </w:rPr>
        <w:t xml:space="preserve"> të ri në Tiranë paraqet shqetësime në rritje sa i përket përputhshmërisë me </w:t>
      </w:r>
      <w:proofErr w:type="spellStart"/>
      <w:r w:rsidRPr="004D53EC">
        <w:rPr>
          <w:i/>
          <w:lang w:val="sq-AL"/>
        </w:rPr>
        <w:t>acquis</w:t>
      </w:r>
      <w:proofErr w:type="spellEnd"/>
      <w:r w:rsidRPr="004D53EC">
        <w:rPr>
          <w:lang w:val="sq-AL"/>
        </w:rPr>
        <w:t xml:space="preserve"> të BE-së për mbetjet, duke përfshirë këtu hierarkinë e mbetjeve dhe objektivat e riciklimit. Për më tepër, politikat e Shqipërisë për menaxhimin e mbetjeve nuk synojnë të arrijnë objektivat e riciklimit të BE-së 2030.</w:t>
      </w:r>
    </w:p>
    <w:p w14:paraId="69E8F423" w14:textId="77777777" w:rsidR="006C790B" w:rsidRPr="004D53EC" w:rsidRDefault="006C790B" w:rsidP="006C790B">
      <w:pPr>
        <w:rPr>
          <w:sz w:val="14"/>
          <w:szCs w:val="14"/>
          <w:lang w:val="sq-AL"/>
        </w:rPr>
      </w:pPr>
    </w:p>
    <w:p w14:paraId="28EAD5A8" w14:textId="77777777" w:rsidR="006C790B" w:rsidRPr="004D53EC" w:rsidRDefault="006C790B" w:rsidP="006C790B">
      <w:pPr>
        <w:pStyle w:val="BodyText"/>
        <w:spacing w:before="62"/>
        <w:rPr>
          <w:lang w:val="sq-AL"/>
        </w:rPr>
      </w:pPr>
      <w:r w:rsidRPr="004D53EC">
        <w:rPr>
          <w:lang w:val="sq-AL"/>
        </w:rPr>
        <w:t>Shqipëria duhet të bëjë më shumë përpjekje për të promovuar ekonominë rrethore dhe për të nxitur parandalimin, reduktimin dhe riciklimin e mbetjeve. Në veçanti, ajo duhet të investojë më tej në kompostim, për të reduktuar vend-depozitimet e organizuara të mbetjeve (</w:t>
      </w:r>
      <w:proofErr w:type="spellStart"/>
      <w:r w:rsidRPr="004D53EC">
        <w:rPr>
          <w:lang w:val="sq-AL"/>
        </w:rPr>
        <w:t>landfill</w:t>
      </w:r>
      <w:proofErr w:type="spellEnd"/>
      <w:r w:rsidRPr="004D53EC">
        <w:rPr>
          <w:lang w:val="sq-AL"/>
        </w:rPr>
        <w:t>). Tre objektet e para vendore të kompostimit në vend janë ndërtuar me financim të donatorëve dhe kanë nisur funksionimin në vitet 2022-2023, në bashkitë Cërrik, Roskovec dhe Belsh.</w:t>
      </w:r>
    </w:p>
    <w:p w14:paraId="541359EF" w14:textId="77777777" w:rsidR="006C790B" w:rsidRPr="004D53EC" w:rsidRDefault="006C790B" w:rsidP="006C790B">
      <w:pPr>
        <w:pStyle w:val="BodyText"/>
        <w:ind w:left="979"/>
        <w:rPr>
          <w:lang w:val="sq-AL"/>
        </w:rPr>
      </w:pPr>
      <w:r w:rsidRPr="004D53EC">
        <w:rPr>
          <w:lang w:val="sq-AL"/>
        </w:rPr>
        <w:t xml:space="preserve">Zbatimi i legjislacionit për rrjedhjen e mbetjeve duhet të përshpejtohet. Duhet të qartësohet e forcohet roli i zbatimit, rishikimit dhe analizës nga ana e institucioneve dhe të sigurohet personeli dhe buxheti i duhur në këtë drejtim. Në janar 2023, në Ministrinë e Turizmit dhe Mjedisit u ngrit një njësi për ekonominë rrethore, e cila është duke rekrutuar personelin e nevojshëm. Në mars të vitit 2022, Shqipëria miratoi legjislacionin që ndalon përdorimin e disa kategorive të qeseve plastike dhe u përafrua pjesërisht me Direktivën për përdorimin e plastikën </w:t>
      </w:r>
      <w:proofErr w:type="spellStart"/>
      <w:r w:rsidRPr="004D53EC">
        <w:rPr>
          <w:lang w:val="sq-AL"/>
        </w:rPr>
        <w:lastRenderedPageBreak/>
        <w:t>njëpërdorimshe</w:t>
      </w:r>
      <w:proofErr w:type="spellEnd"/>
      <w:r w:rsidRPr="004D53EC">
        <w:rPr>
          <w:lang w:val="sq-AL"/>
        </w:rPr>
        <w:t xml:space="preserve">. Megjithatë, zbatimi i këtij ndalimi nuk ka qenë </w:t>
      </w:r>
      <w:proofErr w:type="spellStart"/>
      <w:r w:rsidRPr="004D53EC">
        <w:rPr>
          <w:lang w:val="sq-AL"/>
        </w:rPr>
        <w:t>konsistent</w:t>
      </w:r>
      <w:proofErr w:type="spellEnd"/>
      <w:r w:rsidRPr="004D53EC">
        <w:rPr>
          <w:lang w:val="sq-AL"/>
        </w:rPr>
        <w:t xml:space="preserve">. Nevojitet një harmonizim i mëtejshëm me këtë direktivë, përkatësisht ndalimi i artikujve të tjerë të plastikës </w:t>
      </w:r>
      <w:proofErr w:type="spellStart"/>
      <w:r w:rsidRPr="004D53EC">
        <w:rPr>
          <w:lang w:val="sq-AL"/>
        </w:rPr>
        <w:t>njëpërdorimshe</w:t>
      </w:r>
      <w:proofErr w:type="spellEnd"/>
      <w:r w:rsidRPr="004D53EC">
        <w:rPr>
          <w:lang w:val="sq-AL"/>
        </w:rPr>
        <w:t xml:space="preserve">. I gjithë legjislacioni për mbetjet duhet të rishikohet dhe të përmirësohet. </w:t>
      </w:r>
    </w:p>
    <w:p w14:paraId="056DFFBE" w14:textId="77777777" w:rsidR="006C790B" w:rsidRPr="004D53EC" w:rsidRDefault="006C790B" w:rsidP="006C790B">
      <w:pPr>
        <w:pStyle w:val="BodyText"/>
        <w:ind w:left="979" w:right="977"/>
        <w:rPr>
          <w:lang w:val="sq-AL"/>
        </w:rPr>
      </w:pPr>
      <w:r w:rsidRPr="004D53EC">
        <w:rPr>
          <w:lang w:val="sq-AL"/>
        </w:rPr>
        <w:t xml:space="preserve">Sa i përket </w:t>
      </w:r>
      <w:r w:rsidRPr="004D53EC">
        <w:rPr>
          <w:b/>
          <w:lang w:val="sq-AL"/>
        </w:rPr>
        <w:t>cilësisë së ujit</w:t>
      </w:r>
      <w:r w:rsidRPr="004D53EC">
        <w:rPr>
          <w:lang w:val="sq-AL"/>
        </w:rPr>
        <w:t>, niveli i përafrimit mbetet i paplotë dhe dy ligje për burimet ujore dhe ujërat detare mbetet për të miratuar sa më shpejt të jetë e mundur. Planet specifike në zbatim të Direktivës për Ujin e Pijshëm dhe Direktivën e Trajtimit të Ujërave të Mbeturinave Urbane, ku kërkohen investime të mëdha për përputhshmërinë, u përgatitën në vitin 2022. Pas miratimit në vitin 2020 të planeve të menaxhimit të baseneve të lumenjve Drin-Bunë dhe Seman, Shqipëria duhet të përfundojë dhe miratojë pesë PMBL të mbetura për lumenjtë Ishëm, Erzen, Mat, Shkumbin dhe Vjosë.</w:t>
      </w:r>
    </w:p>
    <w:p w14:paraId="67F8CE4C" w14:textId="77777777" w:rsidR="006C790B" w:rsidRPr="004D53EC" w:rsidRDefault="006C790B" w:rsidP="006C790B">
      <w:pPr>
        <w:pStyle w:val="BodyText"/>
        <w:ind w:left="979"/>
        <w:rPr>
          <w:lang w:val="sq-AL"/>
        </w:rPr>
      </w:pPr>
      <w:r w:rsidRPr="004D53EC">
        <w:rPr>
          <w:lang w:val="sq-AL"/>
        </w:rPr>
        <w:t xml:space="preserve">Në përputhje me </w:t>
      </w:r>
      <w:proofErr w:type="spellStart"/>
      <w:r w:rsidRPr="004D53EC">
        <w:rPr>
          <w:lang w:val="sq-AL"/>
        </w:rPr>
        <w:t>Axhendën</w:t>
      </w:r>
      <w:proofErr w:type="spellEnd"/>
      <w:r w:rsidRPr="004D53EC">
        <w:rPr>
          <w:lang w:val="sq-AL"/>
        </w:rPr>
        <w:t xml:space="preserve"> e Gjelbër për Ballkanin Perëndimor, Shqipëria duhet të shtojë përpjekjet për të forcuar menaxhimin e baseneve ndërkufitare me vendet fqinje, përkatësisht me basenet e lumenjve Drin-Bunë dhe Vjosë. Inkurajohet një qasje ndërkufitare me Greqinë gjatë zhvillimit të ardhshëm të PMBL-së së Vjosës, pas njohjes së vlerës së lartë ekologjike dhe potencialit </w:t>
      </w:r>
      <w:proofErr w:type="spellStart"/>
      <w:r w:rsidRPr="004D53EC">
        <w:rPr>
          <w:lang w:val="sq-AL"/>
        </w:rPr>
        <w:t>eko</w:t>
      </w:r>
      <w:proofErr w:type="spellEnd"/>
      <w:r w:rsidRPr="004D53EC">
        <w:rPr>
          <w:lang w:val="sq-AL"/>
        </w:rPr>
        <w:t xml:space="preserve">-turistik të këtij lumi si dhe statusit të tij si park kombëtar në Shqipëri. </w:t>
      </w:r>
    </w:p>
    <w:p w14:paraId="4F0F353E" w14:textId="77777777" w:rsidR="006C790B" w:rsidRPr="004D53EC" w:rsidRDefault="006C790B" w:rsidP="006C790B">
      <w:pPr>
        <w:pStyle w:val="BodyText"/>
        <w:ind w:left="979"/>
        <w:rPr>
          <w:lang w:val="sq-AL"/>
        </w:rPr>
      </w:pPr>
      <w:r w:rsidRPr="004D53EC">
        <w:rPr>
          <w:lang w:val="sq-AL"/>
        </w:rPr>
        <w:t xml:space="preserve">Për të siguruar progres lidhur me </w:t>
      </w:r>
      <w:proofErr w:type="spellStart"/>
      <w:r w:rsidRPr="004D53EC">
        <w:rPr>
          <w:i/>
          <w:lang w:val="sq-AL"/>
        </w:rPr>
        <w:t>acquis</w:t>
      </w:r>
      <w:proofErr w:type="spellEnd"/>
      <w:r w:rsidRPr="004D53EC">
        <w:rPr>
          <w:lang w:val="sq-AL"/>
        </w:rPr>
        <w:t xml:space="preserve"> të BE-së për ujin, Shqipëria duhet të rrisë ndjeshëm burimet buxhetore dhe kapacitetin zbatues të agjencive kryesore kombëtare të ujit dhe të miratojë një plan për zhvillimin e kapaciteteve. Përveç kësaj, monitorimi i cilësisë dhe sasisë së ujit mbetet i pamjaftueshëm. Agjencia e Menaxhimit të Burimeve Ujore, së bashku me Agjencinë Kombëtare të Mjedisit dhe agjenci të tjera monitoruese të ujit, duhet të planifikojnë dhe zbatojnë urgjentisht një program kombëtar monitorimi të ujit me burime të mjaftueshme.</w:t>
      </w:r>
    </w:p>
    <w:p w14:paraId="157A5A20" w14:textId="77777777" w:rsidR="006C790B" w:rsidRPr="004D53EC" w:rsidRDefault="006C790B" w:rsidP="006C790B">
      <w:pPr>
        <w:pStyle w:val="BodyText"/>
        <w:ind w:left="979"/>
        <w:rPr>
          <w:lang w:val="sq-AL"/>
        </w:rPr>
      </w:pPr>
      <w:proofErr w:type="spellStart"/>
      <w:r w:rsidRPr="004D53EC">
        <w:rPr>
          <w:lang w:val="sq-AL"/>
        </w:rPr>
        <w:t>Performanca</w:t>
      </w:r>
      <w:proofErr w:type="spellEnd"/>
      <w:r w:rsidRPr="004D53EC">
        <w:rPr>
          <w:lang w:val="sq-AL"/>
        </w:rPr>
        <w:t xml:space="preserve"> e </w:t>
      </w:r>
      <w:proofErr w:type="spellStart"/>
      <w:r w:rsidRPr="004D53EC">
        <w:rPr>
          <w:lang w:val="sq-AL"/>
        </w:rPr>
        <w:t>nënsektorit</w:t>
      </w:r>
      <w:proofErr w:type="spellEnd"/>
      <w:r w:rsidRPr="004D53EC">
        <w:rPr>
          <w:lang w:val="sq-AL"/>
        </w:rPr>
        <w:t xml:space="preserve"> të shërbimeve të furnizimit me ujë dhe kanalizimeve mbetet e ulët në tërësi.</w:t>
      </w:r>
    </w:p>
    <w:p w14:paraId="11E045DC" w14:textId="77777777" w:rsidR="006C790B" w:rsidRPr="004D53EC" w:rsidRDefault="006C790B" w:rsidP="006C790B">
      <w:pPr>
        <w:pStyle w:val="BodyText"/>
        <w:ind w:left="979"/>
        <w:rPr>
          <w:lang w:val="sq-AL"/>
        </w:rPr>
      </w:pPr>
      <w:r w:rsidRPr="004D53EC">
        <w:rPr>
          <w:lang w:val="sq-AL"/>
        </w:rPr>
        <w:t xml:space="preserve">Për të siguruar progres lidhur me </w:t>
      </w:r>
      <w:proofErr w:type="spellStart"/>
      <w:r w:rsidRPr="004D53EC">
        <w:rPr>
          <w:i/>
          <w:iCs/>
          <w:lang w:val="sq-AL"/>
        </w:rPr>
        <w:t>acquis</w:t>
      </w:r>
      <w:proofErr w:type="spellEnd"/>
      <w:r w:rsidRPr="004D53EC">
        <w:rPr>
          <w:lang w:val="sq-AL"/>
        </w:rPr>
        <w:t xml:space="preserve"> e BE-së për ujin siç përshkruhet më sipër, Shqipëria duhet të rritë ndjeshëm burimet buxhetore dhe kapacitetin zbatues të agjencive kryesore kombëtare të ujit dhe të miratojë një plan për zhvillimin e kapaciteteve. Përveç kësaj, monitorimi i cilësisë dhe i sasisë së ujit është i pamjaftueshëm në krahasim me nevojat aktuale të pajtueshmërisë, të menaxhimit dhe të mbrojtjes. Agjencia e Menaxhimit të Burimeve Ujore (AMBU), së bashku me Agjencinë Kombëtare të Mjedisit (AKM) dhe me agjenci të tjera monitoruese të ujit, duhet urgjentisht të programojnë dhe të zbatojnë një program kombëtar monitorimi të ujit, me burime të mjaftueshme.</w:t>
      </w:r>
    </w:p>
    <w:p w14:paraId="63E4C04B" w14:textId="77777777" w:rsidR="006C790B" w:rsidRPr="004D53EC" w:rsidRDefault="006C790B" w:rsidP="006C790B">
      <w:pPr>
        <w:pStyle w:val="BodyText"/>
        <w:rPr>
          <w:lang w:val="sq-AL"/>
        </w:rPr>
      </w:pPr>
      <w:r w:rsidRPr="004D53EC">
        <w:rPr>
          <w:lang w:val="sq-AL"/>
        </w:rPr>
        <w:t>Shqipëria duhet të përforcojë dhe përshpejtojë më tej masat mbi reformën e ujit. Strategjia Kombëtare e Ujësjellës Kanalizimeve për periudhën 2023-2030 u miratua nga Qeveria Shqiptare në korrik 2023. Ligji i ri për ujësjellës kanalizime dhe kodi i rishikuar i ujit duhet të miratohen dhe zbatohen sa më shpejt të jetë e mundur. Gjithashtu, është i nevojshëm përafrimi i plotë me Direktivën e trajtimit të ujërave të ndotura urbane, zgjerimin e rrjeteve të kanalizimeve, licencimin dhe aplikimin e tarifave të përshtatshme për të gjitha impiantet e trajtimit të ujërave të zeza dhe ndërtimin e të rejave, veçanërisht në zonat urbane dhe bregdetare me zhvillim të lartë turistik. Plani strategjik i zhvillimit institucional të Agjencisë Kombëtare të Ujësjellës-Kanalizimeve dhe të Infrastrukturës së Mbetjeve (AKUM) duhet të miratohet dhe të zbatohet për të nxitur dhe mbështetur zbatimin e reformës së ujit dhe strategjinë e re 2030.</w:t>
      </w:r>
    </w:p>
    <w:p w14:paraId="59B1E000" w14:textId="77777777" w:rsidR="006C790B" w:rsidRPr="004D53EC" w:rsidRDefault="006C790B" w:rsidP="006C790B">
      <w:pPr>
        <w:pStyle w:val="BodyText"/>
        <w:rPr>
          <w:sz w:val="14"/>
          <w:lang w:val="sq-AL"/>
        </w:rPr>
      </w:pPr>
    </w:p>
    <w:p w14:paraId="17EB4947" w14:textId="77777777" w:rsidR="006C790B" w:rsidRPr="004D53EC" w:rsidRDefault="006C790B" w:rsidP="006C790B">
      <w:pPr>
        <w:pStyle w:val="BodyText"/>
        <w:spacing w:before="62"/>
        <w:rPr>
          <w:lang w:val="sq-AL"/>
        </w:rPr>
      </w:pPr>
      <w:r w:rsidRPr="004D53EC">
        <w:rPr>
          <w:lang w:val="sq-AL"/>
        </w:rPr>
        <w:t xml:space="preserve">Përafrimi me </w:t>
      </w:r>
      <w:proofErr w:type="spellStart"/>
      <w:r w:rsidRPr="004D53EC">
        <w:rPr>
          <w:i/>
          <w:lang w:val="sq-AL"/>
        </w:rPr>
        <w:t>acquis</w:t>
      </w:r>
      <w:proofErr w:type="spellEnd"/>
      <w:r w:rsidRPr="004D53EC">
        <w:rPr>
          <w:i/>
          <w:lang w:val="sq-AL"/>
        </w:rPr>
        <w:t xml:space="preserve"> </w:t>
      </w:r>
      <w:r w:rsidRPr="004D53EC">
        <w:rPr>
          <w:lang w:val="sq-AL"/>
        </w:rPr>
        <w:t xml:space="preserve">të BE-së për </w:t>
      </w:r>
      <w:r w:rsidRPr="004D53EC">
        <w:rPr>
          <w:b/>
          <w:lang w:val="sq-AL"/>
        </w:rPr>
        <w:t>mbrojtjen e natyrës</w:t>
      </w:r>
      <w:r w:rsidRPr="004D53EC">
        <w:rPr>
          <w:lang w:val="sq-AL"/>
        </w:rPr>
        <w:t xml:space="preserve">, në veçanti me Direktivat për </w:t>
      </w:r>
      <w:proofErr w:type="spellStart"/>
      <w:r w:rsidRPr="004D53EC">
        <w:rPr>
          <w:lang w:val="sq-AL"/>
        </w:rPr>
        <w:t>Habitatet</w:t>
      </w:r>
      <w:proofErr w:type="spellEnd"/>
      <w:r w:rsidRPr="004D53EC">
        <w:rPr>
          <w:lang w:val="sq-AL"/>
        </w:rPr>
        <w:t xml:space="preserve"> dhe Zogjtë, ka avancuar. Legjislacioni për investimet strategjike ngre shqetësimin për mbrojtjen e </w:t>
      </w:r>
      <w:proofErr w:type="spellStart"/>
      <w:r w:rsidRPr="004D53EC">
        <w:rPr>
          <w:lang w:val="sq-AL"/>
        </w:rPr>
        <w:t>biodiversitetit</w:t>
      </w:r>
      <w:proofErr w:type="spellEnd"/>
      <w:r w:rsidRPr="004D53EC">
        <w:rPr>
          <w:lang w:val="sq-AL"/>
        </w:rPr>
        <w:t>, pasi mund të çojë në investime të shumta turistike dhe industriale në zonat e mbrojtura. Punimet për ndërtimin e aeroportit të ri të Vlorës po vazhdojnë brenda Zonës së Mbrojtur Pishë-</w:t>
      </w:r>
      <w:proofErr w:type="spellStart"/>
      <w:r w:rsidRPr="004D53EC">
        <w:rPr>
          <w:lang w:val="sq-AL"/>
        </w:rPr>
        <w:t>Poro</w:t>
      </w:r>
      <w:proofErr w:type="spellEnd"/>
      <w:r w:rsidRPr="004D53EC">
        <w:rPr>
          <w:lang w:val="sq-AL"/>
        </w:rPr>
        <w:t xml:space="preserve"> Nartë (ish zona e mbrojtur Vjosa-Narta) të cilat kanë nisur në </w:t>
      </w:r>
      <w:r w:rsidRPr="004D53EC">
        <w:rPr>
          <w:lang w:val="sq-AL"/>
        </w:rPr>
        <w:lastRenderedPageBreak/>
        <w:t xml:space="preserve">dhjetor 2021. Ndërkohë, në shtator 2023, Komiteti i Përhershëm i Konventës së Bernës i rekomandoi Shqipërisë pezullimin e ndërtimit të Aeroportit të Vlorës derisa të kryhet një procedurë e re dhe e mjaftueshme e Vlerësimit të Ndikimit në Mjedis (VNM). Në shtator 2023, Ministria e Turizmit dhe Mjedisit filloi zbatimin e një plani monitorimi për të minimizuar gjurmën mjedisore të Aeroportit të Vlorës në zonën e mbrojtur, duke përfshirë edhe verifikimet në vend, por pa një VNM të përditësuar paraprakisht. Ndërkohë pati progres në mars 2023 me përmirësimin e statusit të lumit Vjosa, nga Park Natyror (Kategoria IV) në Park Kombëtar (Kategoria II). Përmirësimi i statusit të lumit Vjosa përfshiu edhe degët e këtij lumi, i cili është ndër lumenjtë e fundit të egër të </w:t>
      </w:r>
      <w:proofErr w:type="spellStart"/>
      <w:r w:rsidRPr="004D53EC">
        <w:rPr>
          <w:lang w:val="sq-AL"/>
        </w:rPr>
        <w:t>Europës</w:t>
      </w:r>
      <w:proofErr w:type="spellEnd"/>
      <w:r w:rsidRPr="004D53EC">
        <w:rPr>
          <w:lang w:val="sq-AL"/>
        </w:rPr>
        <w:t>. Duhet të merret në konsideratë një zbatim më i shpejtë i rregullave për menaxhimin e të ardhurave të krijuara nga tarifat e paguara në Zonat e Mbrojtura.</w:t>
      </w:r>
    </w:p>
    <w:p w14:paraId="3866E423" w14:textId="77777777" w:rsidR="006C790B" w:rsidRPr="004D53EC" w:rsidRDefault="006C790B" w:rsidP="006C790B">
      <w:pPr>
        <w:pStyle w:val="BodyText"/>
        <w:ind w:left="979"/>
        <w:rPr>
          <w:lang w:val="sq-AL"/>
        </w:rPr>
      </w:pPr>
      <w:r w:rsidRPr="004D53EC">
        <w:rPr>
          <w:lang w:val="sq-AL"/>
        </w:rPr>
        <w:t xml:space="preserve">Në vitet 2022-2023, qeveria shqiptare rriti totalin e sipërfaqeve nën mbrojtje duke krijuar dy zona të reja të mbrojtura, Parkun Natyror të Gjirit të Porto-Palermos dhe Monumentin Natyror të Tulipanit Shqiptar. Megjithatë, kapaciteti dhe financimi për menaxhimin e duhur të </w:t>
      </w:r>
      <w:proofErr w:type="spellStart"/>
      <w:r w:rsidRPr="004D53EC">
        <w:rPr>
          <w:lang w:val="sq-AL"/>
        </w:rPr>
        <w:t>të</w:t>
      </w:r>
      <w:proofErr w:type="spellEnd"/>
      <w:r w:rsidRPr="004D53EC">
        <w:rPr>
          <w:lang w:val="sq-AL"/>
        </w:rPr>
        <w:t xml:space="preserve"> gjitha zonave të mbrojtura mbeten të kufizuara. Shqipëria ende nuk i zbaton siç duhet ligjet për pyjet dhe prerjet e pyjeve: pavarësisht një moratoriumi për prerjet, kjo praktikë vazhdon të jetë e pakontrolluar. Ndjekjet penale për zjarrvënësit apo persona të tjerë që shkaktojnë zjarre në pyje janë të rralla, duke pasur parasysh numrin e lartë të zjarreve të qëllimshme dhe të paqëllimshme në vitin 2022. Për këto raste nuk është raportuar asnjë dënim. Moratoriumi i gjuetisë u zgjat edhe me pesë vjet të tjera, por, për qëllime ruajtjeje, nevojitet gjithashtu miratimi i një ligji dhe një plani për të zbatuar moratoriumin. Pavarësisht ekzistencës së një moratorium, gjuetia ndodh përsëri dhe akoma nuk është marrë një vendim nga gjykata e Elbasanit për çështjen e gjuetisë pa leje të një rrëqebulli në Elbasan në vitin 2020. Shqipëria duhet të sigurojë që administrata e saj të ketë kapacitetin e duhur për të parandaluar dhe inspektuar krimet e kafshëve të egra.</w:t>
      </w:r>
    </w:p>
    <w:p w14:paraId="5E4AE728" w14:textId="77777777" w:rsidR="006C790B" w:rsidRPr="004D53EC" w:rsidRDefault="006C790B" w:rsidP="006C790B">
      <w:pPr>
        <w:pStyle w:val="BodyText"/>
        <w:spacing w:before="119"/>
        <w:ind w:left="979"/>
        <w:rPr>
          <w:lang w:val="sq-AL"/>
        </w:rPr>
      </w:pPr>
      <w:r w:rsidRPr="004D53EC">
        <w:rPr>
          <w:lang w:val="sq-AL"/>
        </w:rPr>
        <w:t xml:space="preserve">Projekti i hidrocentralit të </w:t>
      </w:r>
      <w:proofErr w:type="spellStart"/>
      <w:r w:rsidRPr="004D53EC">
        <w:rPr>
          <w:lang w:val="sq-AL"/>
        </w:rPr>
        <w:t>Skavicës</w:t>
      </w:r>
      <w:proofErr w:type="spellEnd"/>
      <w:r w:rsidRPr="004D53EC">
        <w:rPr>
          <w:lang w:val="sq-AL"/>
        </w:rPr>
        <w:t xml:space="preserve"> që është në përgatitje e sipër, pritet të ketë një ndikim të rëndësishëm mjedisor dhe socio-ekonomik në zonë dhe të ndikojë në popullatat e rrëqebullit të Ballkanit që përdorin këtë korridor për të migruar nga Shqipëria në Maqedoninë e Veriut. Vlerësimi paraprak i ndikimit në mjedis për këtë projekt ka përfunduar, por përfaqësuesit e komuniteteve të prekura pohojnë se asnjë vendas nuk është ftuar të marrë pjesë në konsultime. Investimi në sektorin e rrugëve rrallë përfshin në praktikë mbjelljen dhe restaurimin e detyrueshëm të shpateve buzë rrugëve dhe deri më tani në Shqipëri nuk është planifikuar dhe zbatuar asnjë kalim për kafshët e egra. </w:t>
      </w:r>
    </w:p>
    <w:p w14:paraId="6F71563C" w14:textId="77777777" w:rsidR="006C790B" w:rsidRPr="004D53EC" w:rsidRDefault="006C790B" w:rsidP="006C790B">
      <w:pPr>
        <w:pStyle w:val="BodyText"/>
        <w:ind w:left="979" w:right="977"/>
        <w:rPr>
          <w:lang w:val="sq-AL"/>
        </w:rPr>
      </w:pPr>
      <w:r w:rsidRPr="004D53EC">
        <w:rPr>
          <w:lang w:val="sq-AL"/>
        </w:rPr>
        <w:t>Shqipëria aderoi në shkurt 2022, në Koalicionin e Ambicieve të Larta për Natyrën dhe Njerëzit, duke u zotuar të mbrojë të paktën 30% të tokës dhe deteve dhe të promovojë zgjidhje të bazuara në natyrë, në përputhje me Konventën Kuadër të OKB-së për Ndryshimet Klimatike.</w:t>
      </w:r>
    </w:p>
    <w:p w14:paraId="6A063BD9" w14:textId="77777777" w:rsidR="006C790B" w:rsidRPr="004D53EC" w:rsidRDefault="006C790B" w:rsidP="006C790B">
      <w:pPr>
        <w:pStyle w:val="BodyText"/>
        <w:ind w:left="979" w:right="977"/>
        <w:rPr>
          <w:lang w:val="sq-AL"/>
        </w:rPr>
      </w:pPr>
      <w:r w:rsidRPr="004D53EC">
        <w:rPr>
          <w:lang w:val="sq-AL"/>
        </w:rPr>
        <w:t xml:space="preserve">Përafrimi me legjislacionin e BE-së për </w:t>
      </w:r>
      <w:r w:rsidRPr="004D53EC">
        <w:rPr>
          <w:b/>
          <w:lang w:val="sq-AL"/>
        </w:rPr>
        <w:t xml:space="preserve">ndotjen industriale dhe menaxhimin e rrezikut </w:t>
      </w:r>
      <w:r w:rsidRPr="004D53EC">
        <w:rPr>
          <w:lang w:val="sq-AL"/>
        </w:rPr>
        <w:t xml:space="preserve">është ende në një fazë të hershme. Kapacitetet dhe kufizimet financiare po pengojnë progresin në zbatimin e legjislacionit për parandalimin e aksidenteve të mëdha që përfshijnë </w:t>
      </w:r>
      <w:proofErr w:type="spellStart"/>
      <w:r w:rsidRPr="004D53EC">
        <w:rPr>
          <w:lang w:val="sq-AL"/>
        </w:rPr>
        <w:t>kimikate</w:t>
      </w:r>
      <w:proofErr w:type="spellEnd"/>
      <w:r w:rsidRPr="004D53EC">
        <w:rPr>
          <w:lang w:val="sq-AL"/>
        </w:rPr>
        <w:t xml:space="preserve"> të rrezikshme.</w:t>
      </w:r>
    </w:p>
    <w:p w14:paraId="0C32DE02" w14:textId="77777777" w:rsidR="006C790B" w:rsidRPr="004D53EC" w:rsidRDefault="006C790B" w:rsidP="006C790B">
      <w:pPr>
        <w:pStyle w:val="BodyText"/>
        <w:spacing w:before="62"/>
        <w:rPr>
          <w:sz w:val="12"/>
          <w:lang w:val="sq-AL"/>
        </w:rPr>
      </w:pPr>
    </w:p>
    <w:p w14:paraId="167BB4F7" w14:textId="77777777" w:rsidR="006C790B" w:rsidRPr="004D53EC" w:rsidRDefault="006C790B" w:rsidP="006C790B">
      <w:pPr>
        <w:pStyle w:val="BodyText"/>
        <w:spacing w:before="62"/>
        <w:rPr>
          <w:lang w:val="sq-AL"/>
        </w:rPr>
      </w:pPr>
      <w:r w:rsidRPr="004D53EC">
        <w:rPr>
          <w:lang w:val="sq-AL"/>
        </w:rPr>
        <w:t xml:space="preserve">Për </w:t>
      </w:r>
      <w:proofErr w:type="spellStart"/>
      <w:r w:rsidRPr="004D53EC">
        <w:rPr>
          <w:b/>
          <w:lang w:val="sq-AL"/>
        </w:rPr>
        <w:t>kimikatet</w:t>
      </w:r>
      <w:proofErr w:type="spellEnd"/>
      <w:r w:rsidRPr="004D53EC">
        <w:rPr>
          <w:b/>
          <w:lang w:val="sq-AL"/>
        </w:rPr>
        <w:t>,</w:t>
      </w:r>
      <w:r w:rsidRPr="004D53EC">
        <w:rPr>
          <w:lang w:val="sq-AL"/>
        </w:rPr>
        <w:t xml:space="preserve"> Shqipëria ka një bazë legjislative për përafrim me rregulloren e BE-së për regjistrimin, vlerësimin, autorizimin dhe kufizimin e </w:t>
      </w:r>
      <w:proofErr w:type="spellStart"/>
      <w:r w:rsidRPr="004D53EC">
        <w:rPr>
          <w:lang w:val="sq-AL"/>
        </w:rPr>
        <w:t>kimikateve</w:t>
      </w:r>
      <w:proofErr w:type="spellEnd"/>
      <w:r w:rsidRPr="004D53EC">
        <w:rPr>
          <w:lang w:val="sq-AL"/>
        </w:rPr>
        <w:t xml:space="preserve"> (REACH), por legjislacioni zbatues ende nuk është miratuar dhe strukturat e përshtatshme administrative nuk janë krijuar ende. Në tetor 2022, Shqipëria përafroi më tej legjislacionin e saj me Rregulloren e re të BE-së për ndotësit organikë të qëndrueshëm. </w:t>
      </w:r>
    </w:p>
    <w:p w14:paraId="22DA3116" w14:textId="77777777" w:rsidR="006C790B" w:rsidRPr="004D53EC" w:rsidRDefault="006C790B" w:rsidP="006C790B">
      <w:pPr>
        <w:pStyle w:val="BodyText"/>
        <w:spacing w:before="62"/>
        <w:rPr>
          <w:lang w:val="sq-AL"/>
        </w:rPr>
      </w:pPr>
      <w:r w:rsidRPr="004D53EC">
        <w:rPr>
          <w:lang w:val="sq-AL"/>
        </w:rPr>
        <w:t xml:space="preserve">Shqipëria ka kryer monitorimin e </w:t>
      </w:r>
      <w:r w:rsidRPr="004D53EC">
        <w:rPr>
          <w:b/>
          <w:lang w:val="sq-AL"/>
        </w:rPr>
        <w:t>ndotjes akustike</w:t>
      </w:r>
      <w:r w:rsidRPr="004D53EC">
        <w:rPr>
          <w:lang w:val="sq-AL"/>
        </w:rPr>
        <w:t xml:space="preserve"> urbane në disa qytete dhe bashki, në përputhje me programin kombëtar të monitorimit dhe sipas OBSH-së dhe standardeve kombëtare. Shqipëria duhet të forcojë kapacitetin e saj administrativ për përgatitjen e hartave </w:t>
      </w:r>
      <w:r w:rsidRPr="004D53EC">
        <w:rPr>
          <w:lang w:val="sq-AL"/>
        </w:rPr>
        <w:lastRenderedPageBreak/>
        <w:t xml:space="preserve">strategjike të ndotjes akustike dhe planeve të veprimit. </w:t>
      </w:r>
    </w:p>
    <w:p w14:paraId="2799EC2A" w14:textId="77777777" w:rsidR="006C790B" w:rsidRPr="004D53EC" w:rsidRDefault="006C790B" w:rsidP="006C790B">
      <w:pPr>
        <w:pStyle w:val="BodyText"/>
        <w:spacing w:before="62"/>
        <w:rPr>
          <w:sz w:val="8"/>
          <w:lang w:val="sq-AL"/>
        </w:rPr>
      </w:pPr>
    </w:p>
    <w:p w14:paraId="5705D28F" w14:textId="0DD3134F" w:rsidR="006C790B" w:rsidRPr="004D53EC" w:rsidRDefault="006C790B" w:rsidP="006C790B">
      <w:pPr>
        <w:pStyle w:val="BodyText"/>
        <w:rPr>
          <w:lang w:val="sq-AL"/>
        </w:rPr>
      </w:pPr>
      <w:r w:rsidRPr="004D53EC">
        <w:rPr>
          <w:lang w:val="sq-AL"/>
        </w:rPr>
        <w:t>Për</w:t>
      </w:r>
      <w:r w:rsidR="000857D8">
        <w:rPr>
          <w:lang w:val="sq-AL"/>
        </w:rPr>
        <w:t xml:space="preserve"> </w:t>
      </w:r>
      <w:r w:rsidRPr="004D53EC">
        <w:rPr>
          <w:lang w:val="sq-AL"/>
        </w:rPr>
        <w:t xml:space="preserve">sa i përket </w:t>
      </w:r>
      <w:r w:rsidRPr="004D53EC">
        <w:rPr>
          <w:b/>
          <w:lang w:val="sq-AL"/>
        </w:rPr>
        <w:t>mbrojtjes civile</w:t>
      </w:r>
      <w:r w:rsidRPr="004D53EC">
        <w:rPr>
          <w:lang w:val="sq-AL"/>
        </w:rPr>
        <w:t xml:space="preserve">, Shqipëria ka bërë progres në </w:t>
      </w:r>
      <w:r w:rsidR="000857D8" w:rsidRPr="004D53EC">
        <w:rPr>
          <w:lang w:val="sq-AL"/>
        </w:rPr>
        <w:t>përmirësimin</w:t>
      </w:r>
      <w:r w:rsidRPr="004D53EC">
        <w:rPr>
          <w:lang w:val="sq-AL"/>
        </w:rPr>
        <w:t xml:space="preserve"> e aftësive të saj të mbrojtjes civile dhe ka bërë një riorganizim gjithëpërfshirës të sistemit të saj kombëtar të mbrojtjes civile. Në vitin 2022, ajo iu bashkua Mekanizmit të Mbrojtjes Civile të BE-së (UCPM), duke treguar përkushtimin e saj për të kontribuar në Mekanizëm dhe për të bërë përparim të mëtejshëm në mbrojtjen civile. Shqipëria përgatiti gjithashtu një strategji kombëtare për reduktimin e rrezikut nga fatkeqësitë dhe planin e veprimit 2023-2030.</w:t>
      </w:r>
    </w:p>
    <w:p w14:paraId="156BA6D9" w14:textId="77777777" w:rsidR="006C790B" w:rsidRPr="004D53EC" w:rsidRDefault="006C790B" w:rsidP="006C790B">
      <w:pPr>
        <w:pStyle w:val="BodyText"/>
        <w:rPr>
          <w:lang w:val="sq-AL"/>
        </w:rPr>
      </w:pPr>
      <w:r w:rsidRPr="004D53EC">
        <w:rPr>
          <w:lang w:val="sq-AL"/>
        </w:rPr>
        <w:t xml:space="preserve">Megjithatë, vendi duhet të punojë në përmirësimin e mëtejshëm të sistemit të tij të mbrojtjes civile. Duke marrë parasysh shpeshtësinë e shtuar të fatkeqësive kombëtare në dekadën e fundit dhe ndikimet e intensifikuara të ndryshimeve klimatike, Shqipëria duhet të rishikojë planet e saj të emergjencës dhe të rrisë ndjeshëm kapacitetet e saj </w:t>
      </w:r>
      <w:proofErr w:type="spellStart"/>
      <w:r w:rsidRPr="004D53EC">
        <w:rPr>
          <w:lang w:val="sq-AL"/>
        </w:rPr>
        <w:t>operacionale</w:t>
      </w:r>
      <w:proofErr w:type="spellEnd"/>
      <w:r w:rsidRPr="004D53EC">
        <w:rPr>
          <w:lang w:val="sq-AL"/>
        </w:rPr>
        <w:t>, infrastrukturën dhe sistemet për paralajmërimin e hershëm, parandalimin, gatishmërinë dhe reagimin.</w:t>
      </w:r>
    </w:p>
    <w:p w14:paraId="5DEC7FB6" w14:textId="77777777" w:rsidR="006C790B" w:rsidRPr="004D53EC" w:rsidRDefault="006C790B" w:rsidP="006C790B">
      <w:pPr>
        <w:pStyle w:val="BodyText"/>
        <w:rPr>
          <w:lang w:val="sq-AL"/>
        </w:rPr>
      </w:pPr>
      <w:r w:rsidRPr="004D53EC">
        <w:rPr>
          <w:lang w:val="sq-AL"/>
        </w:rPr>
        <w:t>Shqipëria duhet të ndërtojë sisteme efikase të mbrojtjes civile dhe reduktimit të rrezikut nga fatkeqësitë (DRR), për të rritur qëndrueshmërinë e vendit ndaj fatkeqësive natyrore dhe krizave. Vendi duhet të përmirësojë menaxhimin e rrezikut nga përmbytjet në përputhje me Direktivën e BE-së për përmbytjet dhe të ndërmarrë masa të reja për të reduktuar dëmet e shkaktuara nga përmbytjet.</w:t>
      </w:r>
    </w:p>
    <w:p w14:paraId="54EC61C0" w14:textId="77777777" w:rsidR="006C790B" w:rsidRPr="004D53EC" w:rsidRDefault="006C790B" w:rsidP="006C790B">
      <w:pPr>
        <w:pStyle w:val="BodyText"/>
        <w:rPr>
          <w:lang w:val="sq-AL"/>
        </w:rPr>
      </w:pPr>
      <w:r w:rsidRPr="004D53EC">
        <w:rPr>
          <w:lang w:val="sq-AL"/>
        </w:rPr>
        <w:t xml:space="preserve">Kjo përfshin nxitjen e zbatimit nëpërmjet zhvillimit dhe miratimit të planeve për menaxhimin e rrezikut nga përmbytjet në të gjitha basenet, përmirësimin e mëtejshëm të parashikimit të përmbytjeve dhe qëndrueshmërisë së rrjetit të stacioneve kombëtare të monitorimit, si dhe rregullimin në mënyrë urgjente të shërbimeve të tij të paralajmërimit të hershëm dhe </w:t>
      </w:r>
      <w:proofErr w:type="spellStart"/>
      <w:r w:rsidRPr="004D53EC">
        <w:rPr>
          <w:lang w:val="sq-AL"/>
        </w:rPr>
        <w:t>hidrometriko</w:t>
      </w:r>
      <w:proofErr w:type="spellEnd"/>
      <w:r w:rsidRPr="004D53EC">
        <w:rPr>
          <w:lang w:val="sq-AL"/>
        </w:rPr>
        <w:t>-meteorologjik.</w:t>
      </w:r>
    </w:p>
    <w:p w14:paraId="0B6EED87" w14:textId="77777777" w:rsidR="006C790B" w:rsidRPr="004D53EC" w:rsidRDefault="006C790B" w:rsidP="006C790B">
      <w:pPr>
        <w:pStyle w:val="BodyText"/>
        <w:rPr>
          <w:lang w:val="sq-AL"/>
        </w:rPr>
      </w:pPr>
      <w:r w:rsidRPr="004D53EC">
        <w:rPr>
          <w:lang w:val="sq-AL"/>
        </w:rPr>
        <w:t xml:space="preserve">Shqipëria inkurajohet gjithashtu të zhvillojë plane për menaxhimin e thatësirës së baseneve lumore si dhe plane të vlerësimit dhe menaxhimit të rrezikut nga zjarri në pyje si dhe duhet të krijojë shërbime të sigurta trans-evropiane për </w:t>
      </w:r>
      <w:proofErr w:type="spellStart"/>
      <w:r w:rsidRPr="004D53EC">
        <w:rPr>
          <w:lang w:val="sq-AL"/>
        </w:rPr>
        <w:t>telematikën</w:t>
      </w:r>
      <w:proofErr w:type="spellEnd"/>
      <w:r w:rsidRPr="004D53EC">
        <w:rPr>
          <w:lang w:val="sq-AL"/>
        </w:rPr>
        <w:t xml:space="preserve"> ndërmjet administratave (TESTA).</w:t>
      </w:r>
    </w:p>
    <w:p w14:paraId="399B014D" w14:textId="77777777" w:rsidR="006C790B" w:rsidRPr="004D53EC" w:rsidRDefault="006C790B" w:rsidP="006C790B">
      <w:pPr>
        <w:pStyle w:val="BodyText"/>
        <w:ind w:right="0"/>
        <w:rPr>
          <w:sz w:val="10"/>
          <w:u w:val="single"/>
          <w:lang w:val="sq-AL"/>
        </w:rPr>
      </w:pPr>
    </w:p>
    <w:p w14:paraId="0A8DB5BA" w14:textId="77777777" w:rsidR="006C790B" w:rsidRPr="004D53EC" w:rsidRDefault="006C790B" w:rsidP="006C790B">
      <w:pPr>
        <w:pStyle w:val="BodyText"/>
        <w:ind w:right="0"/>
        <w:rPr>
          <w:u w:val="single"/>
          <w:lang w:val="sq-AL"/>
        </w:rPr>
      </w:pPr>
      <w:r w:rsidRPr="004D53EC">
        <w:rPr>
          <w:u w:val="single"/>
          <w:lang w:val="sq-AL"/>
        </w:rPr>
        <w:t>Ndryshimet klimatike</w:t>
      </w:r>
    </w:p>
    <w:p w14:paraId="7981505F" w14:textId="77777777" w:rsidR="006C790B" w:rsidRPr="004D53EC" w:rsidRDefault="006C790B" w:rsidP="006C790B">
      <w:pPr>
        <w:pStyle w:val="BodyText"/>
        <w:ind w:left="979"/>
        <w:rPr>
          <w:lang w:val="sq-AL"/>
        </w:rPr>
      </w:pPr>
      <w:r w:rsidRPr="004D53EC">
        <w:rPr>
          <w:lang w:val="sq-AL"/>
        </w:rPr>
        <w:t xml:space="preserve">Shqipëria ka një përgatitje të mjaftueshme për trajtimin e ndryshimeve klimatike, por përafrimi me </w:t>
      </w:r>
      <w:proofErr w:type="spellStart"/>
      <w:r w:rsidRPr="004D53EC">
        <w:rPr>
          <w:i/>
          <w:lang w:val="sq-AL"/>
        </w:rPr>
        <w:t>acquis</w:t>
      </w:r>
      <w:proofErr w:type="spellEnd"/>
      <w:r w:rsidRPr="004D53EC">
        <w:rPr>
          <w:lang w:val="sq-AL"/>
        </w:rPr>
        <w:t xml:space="preserve"> të BE-së mbetet ende i kufizuar. Shqipëria u zotua për të arritur neutralitetin klimatik deri në vitin 2050 në COP26, në përputhje me ambiciet e BE-së. Ajo gjithashtu i është bashkuar Betimit Global të Metanit. Vendi prezantoi Komunikatën e tij të Katërt Kombëtare në Konventën Kuadër të OKB-së për Ndryshimet Klimatike (UNFCCC) në nëntor 2022. Shqipëria është e angazhuar të marrë masa për të reduktuar emetimet e gazeve serrë nga sektorë të ndryshëm ekonomikë si transporti, bujqësia, përdorimi i tokës dhe pylltaria, proceset industriale dhe mbetjet, sipas Kontributit të Përcaktuar Kombëtar të përditësuar (NDC). Kontributi i rishikuar i Shqipërisë për zbutjen synon të ulë emetimet me 20.9% deri në vitin 2030 krahasuar me "Biznesin si skenar i zakonshëm". Në shkurt 2023, një vendim ministror miratoi strategjinë kombëtare për zhvillimin dhe integrimin evropian (SKZHI) 2022-2030, e cila përcakton një sërë masash </w:t>
      </w:r>
      <w:proofErr w:type="spellStart"/>
      <w:r w:rsidRPr="004D53EC">
        <w:rPr>
          <w:lang w:val="sq-AL"/>
        </w:rPr>
        <w:t>prioritare</w:t>
      </w:r>
      <w:proofErr w:type="spellEnd"/>
      <w:r w:rsidRPr="004D53EC">
        <w:rPr>
          <w:lang w:val="sq-AL"/>
        </w:rPr>
        <w:t xml:space="preserve"> si miratimi i legjislacionit dytësor klimatik, </w:t>
      </w:r>
      <w:proofErr w:type="spellStart"/>
      <w:r w:rsidRPr="004D53EC">
        <w:rPr>
          <w:lang w:val="sq-AL"/>
        </w:rPr>
        <w:t>buxhetimi</w:t>
      </w:r>
      <w:proofErr w:type="spellEnd"/>
      <w:r w:rsidRPr="004D53EC">
        <w:rPr>
          <w:lang w:val="sq-AL"/>
        </w:rPr>
        <w:t xml:space="preserve"> i klimës dhe zgjidhjet e bazuara në natyrë. Përveç kësaj, në dhjetor 2022 vendi arriti përafrimin e pjesshëm me Rregulloren për qeverisjen e unionit energjetik dhe veprimet për klimën. Niveli i reduktimeve të emetimeve të planifikuara për 2021-2030 në NECP është 18.7%. Plani mbështetet ndjeshëm në thithjen e CO</w:t>
      </w:r>
      <w:r w:rsidRPr="004D53EC">
        <w:rPr>
          <w:vertAlign w:val="subscript"/>
          <w:lang w:val="sq-AL"/>
        </w:rPr>
        <w:t>2</w:t>
      </w:r>
      <w:r w:rsidRPr="004D53EC">
        <w:rPr>
          <w:lang w:val="sq-AL"/>
        </w:rPr>
        <w:t xml:space="preserve"> nga pyjet, por ka mjete dhe kapacitete financiare shumë të kufizuara të </w:t>
      </w:r>
      <w:proofErr w:type="spellStart"/>
      <w:r w:rsidRPr="004D53EC">
        <w:rPr>
          <w:lang w:val="sq-AL"/>
        </w:rPr>
        <w:t>alokuara</w:t>
      </w:r>
      <w:proofErr w:type="spellEnd"/>
      <w:r w:rsidRPr="004D53EC">
        <w:rPr>
          <w:lang w:val="sq-AL"/>
        </w:rPr>
        <w:t xml:space="preserve"> për mbrojtjen dhe menaxhimin e pyjeve, duke përfshirë masat për të nxitur ripyllëzimin dhe menaxhimin e rreziqeve nga zjarri në pyje. Kjo duhet të trajtohet urgjentisht.</w:t>
      </w:r>
    </w:p>
    <w:p w14:paraId="70F5485E" w14:textId="77777777" w:rsidR="006C790B" w:rsidRPr="004D53EC" w:rsidRDefault="006C790B" w:rsidP="006C790B">
      <w:pPr>
        <w:pStyle w:val="BodyText"/>
        <w:rPr>
          <w:lang w:val="sq-AL"/>
        </w:rPr>
      </w:pPr>
      <w:r w:rsidRPr="004D53EC">
        <w:rPr>
          <w:lang w:val="sq-AL"/>
        </w:rPr>
        <w:lastRenderedPageBreak/>
        <w:t>Strategjia kombëtare për ndryshimet klimatike do të duhet të përditësohet për të marrë parasysh objektivat e reja klimatike të përcaktuara në NDC-në e rishikuar dhe, sa më pranë anëtarësimit, edhe me objektivat e reja klimatike të vendosura nga BE. Zbatimi i Ligjit për Klimën 2020 kërkon ndërmarrjen e masave të mëtejshme zbatuese nga ana e Ministrit përgjegjës për Mjedisin. Kapaciteti në administratën publike për të kuptuar ndikimet e ndryshimeve klimatike në Shqipëri dhe përfshirja e ndryshimeve klimatike në strategjitë dhe planet sektoriale mbetet shumë i kufizuar dhe ngritja e kapaciteteve është shumë e nevojshme në këtë drejtim. Nuk ekziston asnjë regjistër për emetimet.</w:t>
      </w:r>
    </w:p>
    <w:p w14:paraId="0CE621BB" w14:textId="77777777" w:rsidR="006C790B" w:rsidRPr="004D53EC" w:rsidRDefault="006C790B" w:rsidP="006C790B">
      <w:pPr>
        <w:pStyle w:val="BodyText"/>
        <w:rPr>
          <w:lang w:val="sq-AL"/>
        </w:rPr>
      </w:pPr>
      <w:r w:rsidRPr="004D53EC">
        <w:rPr>
          <w:lang w:val="sq-AL"/>
        </w:rPr>
        <w:t>Nevojiten investime dhe përpjekje thelbësore për përshtatjen ndaj klimës, pasi Shqipëria është tepër e ekspozuar ndaj pasojave të ndryshimeve klimatike. Rritja e nivelit të detit dhe përmbytjet/</w:t>
      </w:r>
      <w:proofErr w:type="spellStart"/>
      <w:r w:rsidRPr="004D53EC">
        <w:rPr>
          <w:lang w:val="sq-AL"/>
        </w:rPr>
        <w:t>thatësirat</w:t>
      </w:r>
      <w:proofErr w:type="spellEnd"/>
      <w:r w:rsidRPr="004D53EC">
        <w:rPr>
          <w:lang w:val="sq-AL"/>
        </w:rPr>
        <w:t xml:space="preserve"> pritet të ndikojnë ndjeshëm në shoqëri, infrastrukturat publike dhe veprimtaritë ekonomike. Prandaj duhet të miratohen plane të menaxhimit të rreziqeve klimatike në të gjitha nivelet, dhe infrastrukturat e mëdha dhe jetike duhet të integrojnë politika për klimën, në mënyrë që të rritet qëndrueshmëria e vendit ndaj ndikimeve të ndryshimeve klimatike.</w:t>
      </w:r>
    </w:p>
    <w:p w14:paraId="73A8C5D7" w14:textId="77777777" w:rsidR="006C790B" w:rsidRPr="004D53EC" w:rsidRDefault="006C790B" w:rsidP="006C790B">
      <w:pPr>
        <w:pStyle w:val="BodyText"/>
        <w:rPr>
          <w:sz w:val="18"/>
          <w:lang w:val="sq-AL"/>
        </w:rPr>
      </w:pPr>
    </w:p>
    <w:p w14:paraId="2CBAD12D" w14:textId="77777777" w:rsidR="006C790B" w:rsidRPr="004D53EC" w:rsidRDefault="006C790B" w:rsidP="006C790B">
      <w:pPr>
        <w:spacing w:before="120"/>
        <w:ind w:left="980"/>
        <w:jc w:val="both"/>
        <w:rPr>
          <w:b/>
          <w:sz w:val="19"/>
          <w:lang w:val="sq-AL"/>
        </w:rPr>
      </w:pPr>
      <w:bookmarkStart w:id="101" w:name="Cluster_5:_Resources,_agriculture_and_co"/>
      <w:bookmarkStart w:id="102" w:name="_bookmark58"/>
      <w:bookmarkEnd w:id="101"/>
      <w:bookmarkEnd w:id="102"/>
      <w:r w:rsidRPr="004D53EC">
        <w:rPr>
          <w:b/>
          <w:sz w:val="19"/>
          <w:lang w:val="sq-AL"/>
        </w:rPr>
        <w:t>GRUPI 5: BURIMET, BUJQËSIA DHE KOHEZIONI</w:t>
      </w:r>
    </w:p>
    <w:p w14:paraId="15F77FCB" w14:textId="77777777" w:rsidR="006C790B" w:rsidRPr="004D53EC" w:rsidRDefault="006C790B" w:rsidP="006C790B">
      <w:pPr>
        <w:pStyle w:val="BodyText"/>
        <w:rPr>
          <w:i/>
          <w:lang w:val="sq-AL"/>
        </w:rPr>
      </w:pPr>
      <w:bookmarkStart w:id="103" w:name="Chapter_11:_Agriculture_and_rural_develo"/>
      <w:bookmarkStart w:id="104" w:name="_bookmark59"/>
      <w:bookmarkEnd w:id="103"/>
      <w:bookmarkEnd w:id="104"/>
      <w:r w:rsidRPr="004D53EC">
        <w:rPr>
          <w:i/>
          <w:lang w:val="sq-AL"/>
        </w:rPr>
        <w:t xml:space="preserve">Ky grup mbulon: bujqësinë dhe zhvillimin rural (Kapitulli 11); sigurinë ushqimore, politikën veterinare dhe </w:t>
      </w:r>
      <w:proofErr w:type="spellStart"/>
      <w:r w:rsidRPr="004D53EC">
        <w:rPr>
          <w:i/>
          <w:lang w:val="sq-AL"/>
        </w:rPr>
        <w:t>fitosanitare</w:t>
      </w:r>
      <w:proofErr w:type="spellEnd"/>
      <w:r w:rsidRPr="004D53EC">
        <w:rPr>
          <w:i/>
          <w:lang w:val="sq-AL"/>
        </w:rPr>
        <w:t xml:space="preserve"> (Kapitulli 12); peshkimin dhe </w:t>
      </w:r>
      <w:proofErr w:type="spellStart"/>
      <w:r w:rsidRPr="004D53EC">
        <w:rPr>
          <w:i/>
          <w:lang w:val="sq-AL"/>
        </w:rPr>
        <w:t>akuakulturën</w:t>
      </w:r>
      <w:proofErr w:type="spellEnd"/>
      <w:r w:rsidRPr="004D53EC">
        <w:rPr>
          <w:i/>
          <w:lang w:val="sq-AL"/>
        </w:rPr>
        <w:t xml:space="preserve"> (Kapitulli 13); politikën rajonale dhe koordinimin e instrumenteve strukturore (Kapitulli 22); dhe dispozitat financiare dhe buxhetore (Kapitulli 33).</w:t>
      </w:r>
    </w:p>
    <w:p w14:paraId="52EE5D6C" w14:textId="77777777" w:rsidR="006C790B" w:rsidRPr="004D53EC" w:rsidRDefault="006C790B" w:rsidP="006C790B">
      <w:pPr>
        <w:pStyle w:val="BodyText"/>
        <w:rPr>
          <w:lang w:val="sq-AL"/>
        </w:rPr>
      </w:pPr>
      <w:r w:rsidRPr="004D53EC">
        <w:rPr>
          <w:lang w:val="sq-AL"/>
        </w:rPr>
        <w:t xml:space="preserve">Grupi përfshin politika të lidhura me zhvillimin e qëndrueshëm dhe gjithëpërfshirës rajonal dhe sistemin e financimit të BE-së; Nevojitet përgatitje e veçantë në këtë drejtim për të zhvilluar kapacitetin e kërkuar për një shtet të ardhshëm anëtar. Shqipëria ka një përgatitje të mjaftueshme në shumicën e fushave të lidhura me burimet, bujqësinë dhe kohezionin, përkatësisht bujqësinë dhe zhvillimin rural, politikat veterinare dhe </w:t>
      </w:r>
      <w:proofErr w:type="spellStart"/>
      <w:r w:rsidRPr="004D53EC">
        <w:rPr>
          <w:lang w:val="sq-AL"/>
        </w:rPr>
        <w:t>fitosanitare</w:t>
      </w:r>
      <w:proofErr w:type="spellEnd"/>
      <w:r w:rsidRPr="004D53EC">
        <w:rPr>
          <w:lang w:val="sq-AL"/>
        </w:rPr>
        <w:t xml:space="preserve">, si dhe dispozitat financiare dhe buxhetore. Vendi ka një përgatitje mesatare sa i përket peshkimit dhe </w:t>
      </w:r>
      <w:proofErr w:type="spellStart"/>
      <w:r w:rsidRPr="004D53EC">
        <w:rPr>
          <w:lang w:val="sq-AL"/>
        </w:rPr>
        <w:t>akuakulturës</w:t>
      </w:r>
      <w:proofErr w:type="spellEnd"/>
      <w:r w:rsidRPr="004D53EC">
        <w:rPr>
          <w:lang w:val="sq-AL"/>
        </w:rPr>
        <w:t>, si dhe politikave rajonale dhe koordinimit të instrumenteve strukturore.</w:t>
      </w:r>
    </w:p>
    <w:p w14:paraId="1D82C770" w14:textId="77777777" w:rsidR="006C790B" w:rsidRPr="004D53EC" w:rsidRDefault="006C790B" w:rsidP="006C790B">
      <w:pPr>
        <w:pStyle w:val="BodyText"/>
        <w:rPr>
          <w:lang w:val="sq-AL"/>
        </w:rPr>
      </w:pPr>
      <w:r w:rsidRPr="004D53EC">
        <w:rPr>
          <w:lang w:val="sq-AL"/>
        </w:rPr>
        <w:t xml:space="preserve">Shqipëria ka bërë progres të mirë në bujqësi dhe zhvillimin rural, veçanërisht në zhvillimin e kapaciteteve administrative për instrumentin e asistencës së para-aderimit për programin e zhvillimit rural (IPARD III). Progres i mirë u vu re edhe në peshkim dhe </w:t>
      </w:r>
      <w:proofErr w:type="spellStart"/>
      <w:r w:rsidRPr="004D53EC">
        <w:rPr>
          <w:lang w:val="sq-AL"/>
        </w:rPr>
        <w:t>akuakulturë</w:t>
      </w:r>
      <w:proofErr w:type="spellEnd"/>
      <w:r w:rsidRPr="004D53EC">
        <w:rPr>
          <w:lang w:val="sq-AL"/>
        </w:rPr>
        <w:t>. Shqipëria ka bërë progres të kufizuar në dispozitat financiare dhe buxhetore.</w:t>
      </w:r>
    </w:p>
    <w:p w14:paraId="3D29C6F0" w14:textId="77777777" w:rsidR="006C790B" w:rsidRPr="004D53EC" w:rsidRDefault="006C790B" w:rsidP="006C790B">
      <w:pPr>
        <w:pStyle w:val="Heading1"/>
        <w:ind w:left="1039"/>
        <w:rPr>
          <w:lang w:val="sq-AL"/>
        </w:rPr>
      </w:pPr>
      <w:r w:rsidRPr="004D53EC">
        <w:rPr>
          <w:lang w:val="sq-AL"/>
        </w:rPr>
        <w:t>Kapitulli 11: Bujqësia dhe zhvillimi rural</w:t>
      </w:r>
    </w:p>
    <w:p w14:paraId="06C1C852" w14:textId="5C519C4B" w:rsidR="006C790B" w:rsidRPr="004D53EC" w:rsidRDefault="006C790B" w:rsidP="006C790B">
      <w:pPr>
        <w:spacing w:before="119"/>
        <w:ind w:left="979" w:right="977"/>
        <w:jc w:val="both"/>
        <w:rPr>
          <w:i/>
          <w:sz w:val="24"/>
          <w:lang w:val="sq-AL"/>
        </w:rPr>
      </w:pPr>
      <w:r w:rsidRPr="004D53EC">
        <w:rPr>
          <w:i/>
          <w:sz w:val="24"/>
          <w:lang w:val="sq-AL"/>
        </w:rPr>
        <w:t xml:space="preserve">Politika e përbashkët bujqësore e BE-së mbështet fermerët dhe mundëson sigurinë ushqimore të Evropës. Ajo ndihmon në trajtimin e ndryshimeve klimatike dhe menaxhimin e qëndrueshëm të burimeve kombëtare; mirëmban zonat rurale dhe peizazhet në të gjithë BE-në; dhe mban gjallë ekonominë rurale duke promovuar vende pune në bujqësi, industri </w:t>
      </w:r>
      <w:proofErr w:type="spellStart"/>
      <w:r w:rsidRPr="004D53EC">
        <w:rPr>
          <w:i/>
          <w:sz w:val="24"/>
          <w:lang w:val="sq-AL"/>
        </w:rPr>
        <w:t>agroushqimore</w:t>
      </w:r>
      <w:proofErr w:type="spellEnd"/>
      <w:r w:rsidRPr="004D53EC">
        <w:rPr>
          <w:i/>
          <w:sz w:val="24"/>
          <w:lang w:val="sq-AL"/>
        </w:rPr>
        <w:t xml:space="preserve"> dhe sektorë të tjerë në këtë fushë. Për këtë qëllim nevojiten sisteme të forta të menaxhimit dhe kontrollit.</w:t>
      </w:r>
      <w:r w:rsidR="004D53EC">
        <w:rPr>
          <w:i/>
          <w:sz w:val="24"/>
          <w:lang w:val="sq-AL"/>
        </w:rPr>
        <w:t xml:space="preserve"> </w:t>
      </w:r>
      <w:r w:rsidRPr="004D53EC">
        <w:rPr>
          <w:i/>
          <w:sz w:val="24"/>
          <w:lang w:val="sq-AL"/>
        </w:rPr>
        <w:t>Gjithashtu, ka rregulla të përbashkëta të BE-së për standardet e marketingut, politikën e cilësisë dhe bujqësinë organike.</w:t>
      </w: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4"/>
      </w:tblGrid>
      <w:tr w:rsidR="006C790B" w:rsidRPr="004D53EC" w14:paraId="5AA5662B" w14:textId="77777777" w:rsidTr="005760FF">
        <w:trPr>
          <w:trHeight w:val="3277"/>
        </w:trPr>
        <w:tc>
          <w:tcPr>
            <w:tcW w:w="9254" w:type="dxa"/>
            <w:tcBorders>
              <w:bottom w:val="nil"/>
            </w:tcBorders>
            <w:shd w:val="clear" w:color="auto" w:fill="D9D9D9"/>
          </w:tcPr>
          <w:p w14:paraId="532EB12D" w14:textId="77777777" w:rsidR="006C790B" w:rsidRPr="004D53EC" w:rsidRDefault="006C790B" w:rsidP="005760FF">
            <w:pPr>
              <w:pStyle w:val="TableParagraph"/>
              <w:spacing w:before="19"/>
              <w:ind w:left="113" w:right="101"/>
              <w:jc w:val="both"/>
              <w:rPr>
                <w:sz w:val="24"/>
                <w:lang w:val="sq-AL"/>
              </w:rPr>
            </w:pPr>
            <w:r w:rsidRPr="004D53EC">
              <w:rPr>
                <w:sz w:val="24"/>
                <w:lang w:val="sq-AL"/>
              </w:rPr>
              <w:lastRenderedPageBreak/>
              <w:t xml:space="preserve">Shqipëria ka </w:t>
            </w:r>
            <w:r w:rsidRPr="004D53EC">
              <w:rPr>
                <w:b/>
                <w:sz w:val="24"/>
                <w:lang w:val="sq-AL"/>
              </w:rPr>
              <w:t>një përgatitje të mjaftueshme</w:t>
            </w:r>
            <w:r w:rsidRPr="004D53EC">
              <w:rPr>
                <w:sz w:val="24"/>
                <w:lang w:val="sq-AL"/>
              </w:rPr>
              <w:t xml:space="preserve"> në bujqësi dhe zhvillim rural. Ka </w:t>
            </w:r>
            <w:r w:rsidRPr="004D53EC">
              <w:rPr>
                <w:b/>
                <w:sz w:val="24"/>
                <w:lang w:val="sq-AL"/>
              </w:rPr>
              <w:t>një progres të mirë</w:t>
            </w:r>
            <w:r w:rsidRPr="004D53EC">
              <w:rPr>
                <w:sz w:val="24"/>
                <w:lang w:val="sq-AL"/>
              </w:rPr>
              <w:t xml:space="preserve"> në lidhje me (i) zhvillimin e kapaciteteve administrative për përgatitjen e instrumentit për asistencën e para-aderimit për programin e zhvillimit rural (IPARD III), (</w:t>
            </w:r>
            <w:proofErr w:type="spellStart"/>
            <w:r w:rsidRPr="004D53EC">
              <w:rPr>
                <w:sz w:val="24"/>
                <w:lang w:val="sq-AL"/>
              </w:rPr>
              <w:t>ii</w:t>
            </w:r>
            <w:proofErr w:type="spellEnd"/>
            <w:r w:rsidRPr="004D53EC">
              <w:rPr>
                <w:sz w:val="24"/>
                <w:lang w:val="sq-AL"/>
              </w:rPr>
              <w:t>) miratimin e ligjit për verën dhe (</w:t>
            </w:r>
            <w:proofErr w:type="spellStart"/>
            <w:r w:rsidRPr="004D53EC">
              <w:rPr>
                <w:sz w:val="24"/>
                <w:lang w:val="sq-AL"/>
              </w:rPr>
              <w:t>iii</w:t>
            </w:r>
            <w:proofErr w:type="spellEnd"/>
            <w:r w:rsidRPr="004D53EC">
              <w:rPr>
                <w:sz w:val="24"/>
                <w:lang w:val="sq-AL"/>
              </w:rPr>
              <w:t xml:space="preserve">) miratimin e një plani zbatimi për ngritja e rrjetit të </w:t>
            </w:r>
            <w:proofErr w:type="spellStart"/>
            <w:r w:rsidRPr="004D53EC">
              <w:rPr>
                <w:sz w:val="24"/>
                <w:lang w:val="sq-AL"/>
              </w:rPr>
              <w:t>të</w:t>
            </w:r>
            <w:proofErr w:type="spellEnd"/>
            <w:r w:rsidRPr="004D53EC">
              <w:rPr>
                <w:sz w:val="24"/>
                <w:lang w:val="sq-AL"/>
              </w:rPr>
              <w:t xml:space="preserve"> dhënave të kontabilitetit të fermës (FADN).</w:t>
            </w:r>
          </w:p>
          <w:p w14:paraId="414FFED0" w14:textId="77777777" w:rsidR="006C790B" w:rsidRPr="004D53EC" w:rsidRDefault="006C790B" w:rsidP="005760FF">
            <w:pPr>
              <w:pStyle w:val="TableParagraph"/>
              <w:spacing w:before="120"/>
              <w:ind w:left="113" w:right="100"/>
              <w:jc w:val="both"/>
              <w:rPr>
                <w:sz w:val="24"/>
                <w:lang w:val="sq-AL"/>
              </w:rPr>
            </w:pPr>
            <w:r w:rsidRPr="004D53EC">
              <w:rPr>
                <w:sz w:val="24"/>
                <w:lang w:val="sq-AL"/>
              </w:rPr>
              <w:t>Disa nga rekomandimet e Komisionit nga viti 2022 nuk u zbatuan plotësisht dhe mbeten të vlefshme, si më poshtë:</w:t>
            </w:r>
          </w:p>
          <w:p w14:paraId="34EF47E2" w14:textId="77777777" w:rsidR="006C790B" w:rsidRPr="004D53EC" w:rsidRDefault="006C790B" w:rsidP="005760FF">
            <w:pPr>
              <w:pStyle w:val="TableParagraph"/>
              <w:spacing w:before="120"/>
              <w:ind w:left="473" w:right="101" w:hanging="360"/>
              <w:jc w:val="both"/>
              <w:rPr>
                <w:sz w:val="24"/>
                <w:lang w:val="sq-AL"/>
              </w:rPr>
            </w:pPr>
            <w:r w:rsidRPr="004D53EC">
              <w:rPr>
                <w:rFonts w:ascii="Symbol" w:hAnsi="Symbol"/>
                <w:sz w:val="24"/>
                <w:lang w:val="sq-AL"/>
              </w:rPr>
              <w:t></w:t>
            </w:r>
            <w:r w:rsidRPr="004D53EC">
              <w:rPr>
                <w:sz w:val="24"/>
                <w:lang w:val="sq-AL"/>
              </w:rPr>
              <w:t xml:space="preserve"> të sigurohen kapacitetet e nevojshme administrative për krijimin e rrjetit të </w:t>
            </w:r>
            <w:proofErr w:type="spellStart"/>
            <w:r w:rsidRPr="004D53EC">
              <w:rPr>
                <w:sz w:val="24"/>
                <w:lang w:val="sq-AL"/>
              </w:rPr>
              <w:t>të</w:t>
            </w:r>
            <w:proofErr w:type="spellEnd"/>
            <w:r w:rsidRPr="004D53EC">
              <w:rPr>
                <w:sz w:val="24"/>
                <w:lang w:val="sq-AL"/>
              </w:rPr>
              <w:t xml:space="preserve"> dhënave të kontabilitetit të fermave (FADN);</w:t>
            </w:r>
          </w:p>
        </w:tc>
      </w:tr>
      <w:tr w:rsidR="006C790B" w:rsidRPr="004D53EC" w14:paraId="36801EC2" w14:textId="77777777" w:rsidTr="005760FF">
        <w:trPr>
          <w:trHeight w:val="1553"/>
        </w:trPr>
        <w:tc>
          <w:tcPr>
            <w:tcW w:w="9254" w:type="dxa"/>
            <w:tcBorders>
              <w:top w:val="nil"/>
            </w:tcBorders>
            <w:shd w:val="clear" w:color="auto" w:fill="D9D9D9"/>
          </w:tcPr>
          <w:p w14:paraId="30A47315" w14:textId="77777777" w:rsidR="006C790B" w:rsidRPr="004D53EC" w:rsidRDefault="006C790B" w:rsidP="005760FF">
            <w:pPr>
              <w:pStyle w:val="TableParagraph"/>
              <w:ind w:left="473" w:right="101" w:hanging="360"/>
              <w:jc w:val="both"/>
              <w:rPr>
                <w:sz w:val="24"/>
                <w:lang w:val="sq-AL"/>
              </w:rPr>
            </w:pPr>
            <w:r w:rsidRPr="004D53EC">
              <w:rPr>
                <w:rFonts w:ascii="Symbol" w:hAnsi="Symbol"/>
                <w:sz w:val="24"/>
                <w:lang w:val="sq-AL"/>
              </w:rPr>
              <w:t></w:t>
            </w:r>
            <w:r w:rsidRPr="004D53EC">
              <w:rPr>
                <w:sz w:val="24"/>
                <w:lang w:val="sq-AL"/>
              </w:rPr>
              <w:t xml:space="preserve"> të sigurohet që kapaciteti administrativ i kërkuar për besimin e zbatimit të detyrave të buxhetit në kuadër të programit IPARD III është në përputhje me parimet e menaxhimit të shëndoshë financiar; </w:t>
            </w:r>
          </w:p>
          <w:p w14:paraId="2FDFC472" w14:textId="77777777" w:rsidR="006C790B" w:rsidRPr="004D53EC" w:rsidRDefault="006C790B" w:rsidP="005760FF">
            <w:pPr>
              <w:pStyle w:val="TableParagraph"/>
              <w:spacing w:before="118" w:line="270" w:lineRule="atLeast"/>
              <w:ind w:left="473" w:right="103" w:hanging="360"/>
              <w:jc w:val="both"/>
              <w:rPr>
                <w:sz w:val="24"/>
                <w:lang w:val="sq-AL"/>
              </w:rPr>
            </w:pPr>
            <w:r w:rsidRPr="004D53EC">
              <w:rPr>
                <w:rFonts w:ascii="Symbol" w:hAnsi="Symbol"/>
                <w:sz w:val="24"/>
                <w:lang w:val="sq-AL"/>
              </w:rPr>
              <w:t></w:t>
            </w:r>
            <w:r w:rsidRPr="004D53EC">
              <w:rPr>
                <w:spacing w:val="40"/>
                <w:sz w:val="24"/>
                <w:lang w:val="sq-AL"/>
              </w:rPr>
              <w:t xml:space="preserve"> </w:t>
            </w:r>
            <w:r w:rsidRPr="004D53EC">
              <w:rPr>
                <w:sz w:val="24"/>
                <w:lang w:val="sq-AL"/>
              </w:rPr>
              <w:t>të plotësohet kuadri ligjor për politikën e cilësisë dhe prodhimin e ushqimit organik; të sigurohet se ka kapacitet institucional dhe administrativ për zbatimin e tyre.</w:t>
            </w:r>
          </w:p>
        </w:tc>
      </w:tr>
    </w:tbl>
    <w:p w14:paraId="6C28CE0B" w14:textId="77777777" w:rsidR="006C790B" w:rsidRPr="004D53EC" w:rsidRDefault="006C790B" w:rsidP="006C790B">
      <w:pPr>
        <w:pStyle w:val="BodyText"/>
        <w:spacing w:before="143"/>
        <w:ind w:left="979"/>
        <w:rPr>
          <w:lang w:val="sq-AL"/>
        </w:rPr>
      </w:pPr>
      <w:r w:rsidRPr="004D53EC">
        <w:rPr>
          <w:lang w:val="sq-AL"/>
        </w:rPr>
        <w:t xml:space="preserve">Për </w:t>
      </w:r>
      <w:r w:rsidRPr="004D53EC">
        <w:rPr>
          <w:b/>
          <w:lang w:val="sq-AL"/>
        </w:rPr>
        <w:t>çështjet horizontale</w:t>
      </w:r>
      <w:r w:rsidRPr="004D53EC">
        <w:rPr>
          <w:lang w:val="sq-AL"/>
        </w:rPr>
        <w:t xml:space="preserve">, u krijua një regjistër i fermave, i cili duhet përmirësuar për t'u përafruar plotësisht me </w:t>
      </w:r>
      <w:proofErr w:type="spellStart"/>
      <w:r w:rsidRPr="004D53EC">
        <w:rPr>
          <w:i/>
          <w:lang w:val="sq-AL"/>
        </w:rPr>
        <w:t>acquis</w:t>
      </w:r>
      <w:proofErr w:type="spellEnd"/>
      <w:r w:rsidRPr="004D53EC">
        <w:rPr>
          <w:lang w:val="sq-AL"/>
        </w:rPr>
        <w:t xml:space="preserve"> të BE-së. Regjistrimi i fermave kërkohet dhe kryhet nga shërbimet këshillimore, sipas skemave kombëtare dhe sipas masave përkatëse IPARD. Regjistri i fermave është një pjesë e parë e rëndësishme e sistemit të ardhshëm të integruar të administrimit dhe kontrollit (IACS) dhe do të mbështesë zbatimin e programit IPARD III. Nuk ka pasur progres në krijimin e sistemit të identifikimit të parcelave të tokës (LPIS). Një plan zbatimi, me detaje specifike mbi afate kohore dhe </w:t>
      </w:r>
      <w:proofErr w:type="spellStart"/>
      <w:r w:rsidRPr="004D53EC">
        <w:rPr>
          <w:lang w:val="sq-AL"/>
        </w:rPr>
        <w:t>alokime</w:t>
      </w:r>
      <w:proofErr w:type="spellEnd"/>
      <w:r w:rsidRPr="004D53EC">
        <w:rPr>
          <w:lang w:val="sq-AL"/>
        </w:rPr>
        <w:t xml:space="preserve"> të burimeve për ngritjen e FADN-së u miratua në prill dhe pritet të vendoset kapaciteti i nevojshëm administrativ.</w:t>
      </w:r>
    </w:p>
    <w:p w14:paraId="74756677" w14:textId="77777777" w:rsidR="006C790B" w:rsidRPr="004D53EC" w:rsidRDefault="006C790B" w:rsidP="006C790B">
      <w:pPr>
        <w:pStyle w:val="BodyText"/>
        <w:spacing w:before="121"/>
        <w:rPr>
          <w:lang w:val="sq-AL"/>
        </w:rPr>
      </w:pPr>
      <w:r w:rsidRPr="004D53EC">
        <w:rPr>
          <w:lang w:val="sq-AL"/>
        </w:rPr>
        <w:t xml:space="preserve">Pagesat </w:t>
      </w:r>
      <w:proofErr w:type="spellStart"/>
      <w:r w:rsidRPr="004D53EC">
        <w:rPr>
          <w:lang w:val="sq-AL"/>
        </w:rPr>
        <w:t>direkte</w:t>
      </w:r>
      <w:proofErr w:type="spellEnd"/>
      <w:r w:rsidRPr="004D53EC">
        <w:rPr>
          <w:lang w:val="sq-AL"/>
        </w:rPr>
        <w:t xml:space="preserve"> për fermerët janë të lidhura me prodhimin dhe nuk i nënshtrohen rregullave të përputhshmërisë së kryqëzuar. Të gjitha masat mbështetëse duhet të jenë në përputhje me </w:t>
      </w:r>
      <w:proofErr w:type="spellStart"/>
      <w:r w:rsidRPr="004D53EC">
        <w:rPr>
          <w:i/>
          <w:lang w:val="sq-AL"/>
        </w:rPr>
        <w:t>acquis</w:t>
      </w:r>
      <w:proofErr w:type="spellEnd"/>
      <w:r w:rsidRPr="004D53EC">
        <w:rPr>
          <w:lang w:val="sq-AL"/>
        </w:rPr>
        <w:t xml:space="preserve"> të BE-së. </w:t>
      </w:r>
      <w:proofErr w:type="spellStart"/>
      <w:r w:rsidRPr="004D53EC">
        <w:rPr>
          <w:lang w:val="sq-AL"/>
        </w:rPr>
        <w:t>Pavaraësisht</w:t>
      </w:r>
      <w:proofErr w:type="spellEnd"/>
      <w:r w:rsidRPr="004D53EC">
        <w:rPr>
          <w:lang w:val="sq-AL"/>
        </w:rPr>
        <w:t xml:space="preserve"> një rritjeje të lehtë krahasuar me një vit më parë, buxheti kombëtar i bujqësisë mbetet i ulët. Zbatimi i planit strategjik të veprimit për reformën e sistemit këshillimor ka filluar, por kapaciteti zbatues mbetet i ulët. </w:t>
      </w:r>
    </w:p>
    <w:p w14:paraId="56E8E7C7" w14:textId="77777777" w:rsidR="006C790B" w:rsidRPr="004D53EC" w:rsidRDefault="006C790B" w:rsidP="006C790B">
      <w:pPr>
        <w:pStyle w:val="BodyText"/>
        <w:spacing w:before="121"/>
        <w:rPr>
          <w:lang w:val="sq-AL"/>
        </w:rPr>
      </w:pPr>
      <w:r w:rsidRPr="004D53EC">
        <w:rPr>
          <w:lang w:val="sq-AL"/>
        </w:rPr>
        <w:t xml:space="preserve">Ka pasur progres të kufizuar në ngritjen e një </w:t>
      </w:r>
      <w:r w:rsidRPr="004D53EC">
        <w:rPr>
          <w:b/>
          <w:lang w:val="sq-AL"/>
        </w:rPr>
        <w:t>organizate të përbashkët të tregut</w:t>
      </w:r>
      <w:r w:rsidRPr="004D53EC">
        <w:rPr>
          <w:lang w:val="sq-AL"/>
        </w:rPr>
        <w:t xml:space="preserve"> (CMO). Është miratuar legjislacioni për vreshtat dhe verërat në përputhje me </w:t>
      </w:r>
      <w:proofErr w:type="spellStart"/>
      <w:r w:rsidRPr="004D53EC">
        <w:rPr>
          <w:lang w:val="sq-AL"/>
        </w:rPr>
        <w:t>acquis</w:t>
      </w:r>
      <w:proofErr w:type="spellEnd"/>
      <w:r w:rsidRPr="004D53EC">
        <w:rPr>
          <w:lang w:val="sq-AL"/>
        </w:rPr>
        <w:t xml:space="preserve"> të BE-së, duke përfshirë zbatimin e legjislacionit që përcakton rregullat për regjistrimin në regjistrin e vreshtave dhe për deklarimet dhe mbledhjen e informacionit nga operatorët. Nevojiten përpjekje të mëtejshme në këtë fushë. Kapaciteti institucional për zbatimin është ende i ulët.</w:t>
      </w:r>
    </w:p>
    <w:p w14:paraId="4010A392" w14:textId="77777777" w:rsidR="006C790B" w:rsidRPr="004D53EC" w:rsidRDefault="006C790B" w:rsidP="006C790B">
      <w:pPr>
        <w:pStyle w:val="BodyText"/>
        <w:ind w:left="979"/>
        <w:rPr>
          <w:lang w:val="sq-AL"/>
        </w:rPr>
      </w:pPr>
      <w:r w:rsidRPr="004D53EC">
        <w:rPr>
          <w:lang w:val="sq-AL"/>
        </w:rPr>
        <w:t xml:space="preserve">Për </w:t>
      </w:r>
      <w:r w:rsidRPr="004D53EC">
        <w:rPr>
          <w:b/>
          <w:lang w:val="sq-AL"/>
        </w:rPr>
        <w:t>zhvillimin rural</w:t>
      </w:r>
      <w:r w:rsidRPr="004D53EC">
        <w:rPr>
          <w:lang w:val="sq-AL"/>
        </w:rPr>
        <w:t>, ka vijuar zbatimi i programit IPARD II, por nevojitet ngritja e kapaciteteve dhe mbikëqyrja për të siguruar përfundimin e programit IPARD II dhe zbatimin efikas të IPARD III në përputhje të plotë me parimet e menaxhimit të shëndoshë financiar.</w:t>
      </w:r>
    </w:p>
    <w:p w14:paraId="595FEF8E" w14:textId="77777777" w:rsidR="006C790B" w:rsidRPr="004D53EC" w:rsidRDefault="006C790B" w:rsidP="006C790B">
      <w:pPr>
        <w:pStyle w:val="BodyText"/>
        <w:ind w:left="979"/>
        <w:rPr>
          <w:lang w:val="sq-AL"/>
        </w:rPr>
      </w:pPr>
      <w:r w:rsidRPr="004D53EC">
        <w:rPr>
          <w:lang w:val="sq-AL"/>
        </w:rPr>
        <w:t xml:space="preserve">Legjislacioni për politikën e cilësisë është pjesërisht i përafruar me </w:t>
      </w:r>
      <w:proofErr w:type="spellStart"/>
      <w:r w:rsidRPr="004D53EC">
        <w:rPr>
          <w:i/>
          <w:lang w:val="sq-AL"/>
        </w:rPr>
        <w:t>acquis</w:t>
      </w:r>
      <w:proofErr w:type="spellEnd"/>
      <w:r w:rsidRPr="004D53EC">
        <w:rPr>
          <w:lang w:val="sq-AL"/>
        </w:rPr>
        <w:t xml:space="preserve"> të BE-së.</w:t>
      </w:r>
    </w:p>
    <w:p w14:paraId="5075FA6B" w14:textId="77777777" w:rsidR="006C790B" w:rsidRPr="004D53EC" w:rsidRDefault="006C790B" w:rsidP="006C790B">
      <w:pPr>
        <w:pStyle w:val="BodyText"/>
        <w:ind w:left="979"/>
        <w:rPr>
          <w:lang w:val="sq-AL"/>
        </w:rPr>
      </w:pPr>
      <w:r w:rsidRPr="004D53EC">
        <w:rPr>
          <w:lang w:val="sq-AL"/>
        </w:rPr>
        <w:t xml:space="preserve">Për </w:t>
      </w:r>
      <w:r w:rsidRPr="004D53EC">
        <w:rPr>
          <w:b/>
          <w:lang w:val="sq-AL"/>
        </w:rPr>
        <w:t>bujqësinë organike,</w:t>
      </w:r>
      <w:r w:rsidRPr="004D53EC">
        <w:rPr>
          <w:lang w:val="sq-AL"/>
        </w:rPr>
        <w:t xml:space="preserve"> nevojiten përpjekje shtesë për miratimin e legjislacionit për prodhimin organik, i cili është hartuar në përputhje me reformën e fundit të </w:t>
      </w:r>
      <w:proofErr w:type="spellStart"/>
      <w:r w:rsidRPr="004D53EC">
        <w:rPr>
          <w:i/>
          <w:lang w:val="sq-AL"/>
        </w:rPr>
        <w:t>acquis</w:t>
      </w:r>
      <w:proofErr w:type="spellEnd"/>
      <w:r w:rsidRPr="004D53EC">
        <w:rPr>
          <w:lang w:val="sq-AL"/>
        </w:rPr>
        <w:t xml:space="preserve"> të BE-së. Shqipëria ka vazhduar të ofrojë mbështetje kombëtare për bujqësinë organike.</w:t>
      </w:r>
    </w:p>
    <w:p w14:paraId="5914C0EC" w14:textId="77777777" w:rsidR="006C790B" w:rsidRPr="004D53EC" w:rsidRDefault="006C790B" w:rsidP="006C790B">
      <w:pPr>
        <w:pStyle w:val="BodyText"/>
        <w:ind w:left="979"/>
        <w:rPr>
          <w:lang w:val="sq-AL"/>
        </w:rPr>
      </w:pPr>
    </w:p>
    <w:p w14:paraId="0C3A06B6" w14:textId="77777777" w:rsidR="006C790B" w:rsidRPr="004D53EC" w:rsidRDefault="006C790B" w:rsidP="006C790B">
      <w:pPr>
        <w:pStyle w:val="Heading1"/>
        <w:rPr>
          <w:spacing w:val="-3"/>
          <w:lang w:val="sq-AL"/>
        </w:rPr>
      </w:pPr>
      <w:bookmarkStart w:id="105" w:name="Chapter_12:_Food_safety,_veterinary_and_"/>
      <w:bookmarkStart w:id="106" w:name="_bookmark60"/>
      <w:bookmarkEnd w:id="105"/>
      <w:bookmarkEnd w:id="106"/>
      <w:r w:rsidRPr="004D53EC">
        <w:rPr>
          <w:spacing w:val="-3"/>
          <w:lang w:val="sq-AL"/>
        </w:rPr>
        <w:t xml:space="preserve">Kapitulli 12: Siguria ushqimore, politika veterinare dhe </w:t>
      </w:r>
      <w:proofErr w:type="spellStart"/>
      <w:r w:rsidRPr="004D53EC">
        <w:rPr>
          <w:spacing w:val="-3"/>
          <w:lang w:val="sq-AL"/>
        </w:rPr>
        <w:t>fitosanitare</w:t>
      </w:r>
      <w:proofErr w:type="spellEnd"/>
    </w:p>
    <w:p w14:paraId="292039F4" w14:textId="77777777" w:rsidR="006C790B" w:rsidRPr="004D53EC" w:rsidRDefault="006C790B" w:rsidP="006C790B">
      <w:pPr>
        <w:spacing w:before="120"/>
        <w:ind w:left="980" w:right="977"/>
        <w:jc w:val="both"/>
        <w:rPr>
          <w:i/>
          <w:sz w:val="24"/>
          <w:lang w:val="sq-AL"/>
        </w:rPr>
      </w:pPr>
      <w:r w:rsidRPr="004D53EC">
        <w:rPr>
          <w:i/>
          <w:sz w:val="24"/>
          <w:lang w:val="sq-AL"/>
        </w:rPr>
        <w:t xml:space="preserve">Rregullat higjienike të BE-së për prodhimin e produkteve ushqimore mundësojnë një nivel të lartë të sigurisë ushqimore. Garantohet shëndeti dhe mirëqenia e kafshëve dhe siguria e </w:t>
      </w:r>
      <w:r w:rsidRPr="004D53EC">
        <w:rPr>
          <w:i/>
          <w:sz w:val="24"/>
          <w:lang w:val="sq-AL"/>
        </w:rPr>
        <w:lastRenderedPageBreak/>
        <w:t xml:space="preserve">ushqimit me origjinë shtazore, si edhe cilësia e farave, materiali </w:t>
      </w:r>
      <w:proofErr w:type="spellStart"/>
      <w:r w:rsidRPr="004D53EC">
        <w:rPr>
          <w:i/>
          <w:sz w:val="24"/>
          <w:lang w:val="sq-AL"/>
        </w:rPr>
        <w:t>fitosanitar</w:t>
      </w:r>
      <w:proofErr w:type="spellEnd"/>
      <w:r w:rsidRPr="004D53EC">
        <w:rPr>
          <w:i/>
          <w:sz w:val="24"/>
          <w:lang w:val="sq-AL"/>
        </w:rPr>
        <w:t xml:space="preserve"> (për mbrojtjen e bimëve), mbrojtja nga organizmat e dëmshëm dhe ushqyerja e kafshëve.</w:t>
      </w:r>
    </w:p>
    <w:p w14:paraId="545C0434" w14:textId="77777777" w:rsidR="006C790B" w:rsidRPr="004D53EC" w:rsidRDefault="006C790B" w:rsidP="006C790B">
      <w:pPr>
        <w:spacing w:before="120"/>
        <w:ind w:left="980" w:right="977"/>
        <w:jc w:val="both"/>
        <w:rPr>
          <w:i/>
          <w:sz w:val="24"/>
          <w:lang w:val="sq-AL"/>
        </w:rPr>
      </w:pPr>
    </w:p>
    <w:p w14:paraId="691A326E" w14:textId="77777777" w:rsidR="006C790B" w:rsidRPr="004D53EC" w:rsidRDefault="006C790B" w:rsidP="006C790B">
      <w:pPr>
        <w:pStyle w:val="BodyText"/>
        <w:spacing w:before="6"/>
        <w:ind w:left="0" w:right="0"/>
        <w:jc w:val="left"/>
        <w:rPr>
          <w:i/>
          <w:sz w:val="10"/>
          <w:lang w:val="sq-AL"/>
        </w:rPr>
      </w:pP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4"/>
      </w:tblGrid>
      <w:tr w:rsidR="006C790B" w:rsidRPr="004D53EC" w14:paraId="586244CD" w14:textId="77777777" w:rsidTr="005760FF">
        <w:trPr>
          <w:trHeight w:val="2190"/>
        </w:trPr>
        <w:tc>
          <w:tcPr>
            <w:tcW w:w="9254" w:type="dxa"/>
            <w:tcBorders>
              <w:bottom w:val="nil"/>
            </w:tcBorders>
            <w:shd w:val="clear" w:color="auto" w:fill="D9D9D9"/>
          </w:tcPr>
          <w:p w14:paraId="2D0D8340" w14:textId="3C54FD6D" w:rsidR="006C790B" w:rsidRPr="004D53EC" w:rsidRDefault="004D53EC" w:rsidP="005760FF">
            <w:pPr>
              <w:pStyle w:val="TableParagraph"/>
              <w:spacing w:before="136" w:line="276" w:lineRule="exact"/>
              <w:ind w:left="473" w:right="102" w:hanging="360"/>
              <w:jc w:val="both"/>
              <w:rPr>
                <w:sz w:val="24"/>
                <w:lang w:val="sq-AL"/>
              </w:rPr>
            </w:pPr>
            <w:r>
              <w:rPr>
                <w:sz w:val="24"/>
                <w:lang w:val="sq-AL"/>
              </w:rPr>
              <w:t xml:space="preserve">   </w:t>
            </w:r>
            <w:r w:rsidR="006C790B" w:rsidRPr="004D53EC">
              <w:rPr>
                <w:sz w:val="24"/>
                <w:lang w:val="sq-AL"/>
              </w:rPr>
              <w:t xml:space="preserve">Shqipëria ka një </w:t>
            </w:r>
            <w:r w:rsidR="006C790B" w:rsidRPr="004D53EC">
              <w:rPr>
                <w:b/>
                <w:sz w:val="24"/>
                <w:lang w:val="sq-AL"/>
              </w:rPr>
              <w:t>përgatitje të mjaftueshme</w:t>
            </w:r>
            <w:r w:rsidR="006C790B" w:rsidRPr="004D53EC">
              <w:rPr>
                <w:sz w:val="24"/>
                <w:lang w:val="sq-AL"/>
              </w:rPr>
              <w:t xml:space="preserve"> në fushën e sigurisë ushqimore, politikës veterinare dhe </w:t>
            </w:r>
            <w:proofErr w:type="spellStart"/>
            <w:r w:rsidR="006C790B" w:rsidRPr="004D53EC">
              <w:rPr>
                <w:sz w:val="24"/>
                <w:lang w:val="sq-AL"/>
              </w:rPr>
              <w:t>fitosanitare</w:t>
            </w:r>
            <w:proofErr w:type="spellEnd"/>
            <w:r w:rsidR="006C790B" w:rsidRPr="004D53EC">
              <w:rPr>
                <w:sz w:val="24"/>
                <w:lang w:val="sq-AL"/>
              </w:rPr>
              <w:t xml:space="preserve">. Është arritur </w:t>
            </w:r>
            <w:r w:rsidR="006C790B" w:rsidRPr="004D53EC">
              <w:rPr>
                <w:b/>
                <w:sz w:val="24"/>
                <w:lang w:val="sq-AL"/>
              </w:rPr>
              <w:t>progres i kufizuar</w:t>
            </w:r>
            <w:r w:rsidR="006C790B" w:rsidRPr="004D53EC">
              <w:rPr>
                <w:sz w:val="24"/>
                <w:lang w:val="sq-AL"/>
              </w:rPr>
              <w:t xml:space="preserve"> gjatë periudhës raportuese, veçanërisht në përafrimin me </w:t>
            </w:r>
            <w:proofErr w:type="spellStart"/>
            <w:r w:rsidR="006C790B" w:rsidRPr="004D53EC">
              <w:rPr>
                <w:i/>
                <w:sz w:val="24"/>
                <w:lang w:val="sq-AL"/>
              </w:rPr>
              <w:t>acquis</w:t>
            </w:r>
            <w:proofErr w:type="spellEnd"/>
            <w:r w:rsidR="006C790B" w:rsidRPr="004D53EC">
              <w:rPr>
                <w:sz w:val="24"/>
                <w:lang w:val="sq-AL"/>
              </w:rPr>
              <w:t xml:space="preserve"> për kontrollet zyrtare, shëndetin e kafshëve dhe bimëve. Puna ka nisur, por nevojiten përpjekje të mëtejshme. Shqipëria ka bërë progres në hartimin dhe miratimin e politikës sektoriale kombëtare të sigurisë ushqimore.</w:t>
            </w:r>
          </w:p>
          <w:p w14:paraId="7A70E731" w14:textId="77777777" w:rsidR="006C790B" w:rsidRPr="004D53EC" w:rsidRDefault="006C790B" w:rsidP="005760FF">
            <w:pPr>
              <w:pStyle w:val="TableParagraph"/>
              <w:spacing w:before="136" w:line="276" w:lineRule="exact"/>
              <w:ind w:left="113" w:right="102"/>
              <w:jc w:val="both"/>
              <w:rPr>
                <w:sz w:val="24"/>
                <w:lang w:val="sq-AL"/>
              </w:rPr>
            </w:pPr>
            <w:r w:rsidRPr="004D53EC">
              <w:rPr>
                <w:sz w:val="24"/>
                <w:lang w:val="sq-AL"/>
              </w:rPr>
              <w:t>Rekomandimet e Komisionit nga viti i kaluar nuk janë zbatuar plotësisht dhe mbeten të vlefshme. Në vitin e ardhshëm, Shqipëria duhet:</w:t>
            </w:r>
          </w:p>
        </w:tc>
      </w:tr>
      <w:tr w:rsidR="006C790B" w:rsidRPr="004D53EC" w14:paraId="6C82EA92" w14:textId="77777777" w:rsidTr="005760FF">
        <w:trPr>
          <w:trHeight w:val="2242"/>
        </w:trPr>
        <w:tc>
          <w:tcPr>
            <w:tcW w:w="9254" w:type="dxa"/>
            <w:tcBorders>
              <w:top w:val="nil"/>
              <w:bottom w:val="nil"/>
            </w:tcBorders>
            <w:shd w:val="clear" w:color="auto" w:fill="D9D9D9"/>
          </w:tcPr>
          <w:p w14:paraId="4CF64C01" w14:textId="77777777" w:rsidR="006C790B" w:rsidRPr="004D53EC" w:rsidRDefault="006C790B" w:rsidP="005760FF">
            <w:pPr>
              <w:pStyle w:val="TableParagraph"/>
              <w:ind w:left="473" w:right="100" w:hanging="360"/>
              <w:jc w:val="both"/>
              <w:rPr>
                <w:sz w:val="24"/>
                <w:lang w:val="sq-AL"/>
              </w:rPr>
            </w:pPr>
            <w:r w:rsidRPr="004D53EC">
              <w:rPr>
                <w:rFonts w:ascii="Symbol" w:hAnsi="Symbol"/>
                <w:sz w:val="24"/>
                <w:lang w:val="sq-AL"/>
              </w:rPr>
              <w:t></w:t>
            </w:r>
            <w:r w:rsidRPr="004D53EC">
              <w:rPr>
                <w:spacing w:val="40"/>
                <w:sz w:val="24"/>
                <w:lang w:val="sq-AL"/>
              </w:rPr>
              <w:t xml:space="preserve"> </w:t>
            </w:r>
            <w:r w:rsidRPr="004D53EC">
              <w:rPr>
                <w:sz w:val="24"/>
                <w:lang w:val="sq-AL"/>
              </w:rPr>
              <w:t xml:space="preserve">të punojë për përafrimin e legjislacionit kombëtar me </w:t>
            </w:r>
            <w:proofErr w:type="spellStart"/>
            <w:r w:rsidRPr="004D53EC">
              <w:rPr>
                <w:i/>
                <w:sz w:val="24"/>
                <w:lang w:val="sq-AL"/>
              </w:rPr>
              <w:t>acquis</w:t>
            </w:r>
            <w:proofErr w:type="spellEnd"/>
            <w:r w:rsidRPr="004D53EC">
              <w:rPr>
                <w:sz w:val="24"/>
                <w:lang w:val="sq-AL"/>
              </w:rPr>
              <w:t xml:space="preserve"> në kuadrin e politikave të tyre sektoriale kombëtare, veçanërisht për ligjet përkatëse për kontrollet zyrtare, shëndetin e kafshëve dhe shëndetin e bimëve;</w:t>
            </w:r>
          </w:p>
          <w:p w14:paraId="1FCEB2E8" w14:textId="77777777" w:rsidR="006C790B" w:rsidRPr="004D53EC" w:rsidRDefault="006C790B" w:rsidP="005760FF">
            <w:pPr>
              <w:pStyle w:val="TableParagraph"/>
              <w:ind w:left="473" w:right="100" w:hanging="360"/>
              <w:jc w:val="both"/>
              <w:rPr>
                <w:sz w:val="24"/>
                <w:lang w:val="sq-AL"/>
              </w:rPr>
            </w:pPr>
            <w:r w:rsidRPr="004D53EC">
              <w:rPr>
                <w:rFonts w:ascii="Symbol" w:hAnsi="Symbol"/>
                <w:sz w:val="24"/>
                <w:lang w:val="sq-AL"/>
              </w:rPr>
              <w:t></w:t>
            </w:r>
            <w:r w:rsidRPr="004D53EC">
              <w:rPr>
                <w:sz w:val="24"/>
                <w:lang w:val="sq-AL"/>
              </w:rPr>
              <w:t xml:space="preserve"> të finalizojë personelin e shërbimit veterinar për të siguruar funksionimin e plotë të tij;</w:t>
            </w:r>
          </w:p>
          <w:p w14:paraId="57B24160" w14:textId="77777777" w:rsidR="006C790B" w:rsidRPr="004D53EC" w:rsidRDefault="006C790B" w:rsidP="005760FF">
            <w:pPr>
              <w:pStyle w:val="TableParagraph"/>
              <w:spacing w:before="136" w:line="276" w:lineRule="exact"/>
              <w:ind w:left="473" w:right="102" w:hanging="360"/>
              <w:jc w:val="both"/>
              <w:rPr>
                <w:sz w:val="24"/>
                <w:lang w:val="sq-AL"/>
              </w:rPr>
            </w:pPr>
            <w:r w:rsidRPr="004D53EC">
              <w:rPr>
                <w:rFonts w:ascii="Symbol" w:hAnsi="Symbol"/>
                <w:sz w:val="24"/>
                <w:lang w:val="sq-AL"/>
              </w:rPr>
              <w:t></w:t>
            </w:r>
            <w:r w:rsidRPr="004D53EC">
              <w:rPr>
                <w:spacing w:val="40"/>
                <w:sz w:val="24"/>
                <w:lang w:val="sq-AL"/>
              </w:rPr>
              <w:t xml:space="preserve"> </w:t>
            </w:r>
            <w:r w:rsidRPr="004D53EC">
              <w:rPr>
                <w:sz w:val="24"/>
                <w:lang w:val="sq-AL"/>
              </w:rPr>
              <w:t>të forcojë kapacitetin për të zbatuar programe efektive të mbikëqyrjes dhe vaksinimit për sëmundjet kryesore infektive të kafshëve, përfshirë tërbimin; të vazhdojë të zbatojë me efikasitet programin e vaksinimit të tërbimit në vitin 2024.</w:t>
            </w:r>
          </w:p>
        </w:tc>
      </w:tr>
      <w:tr w:rsidR="006C790B" w:rsidRPr="004D53EC" w14:paraId="11B9AA09" w14:textId="77777777" w:rsidTr="005760FF">
        <w:trPr>
          <w:trHeight w:val="70"/>
        </w:trPr>
        <w:tc>
          <w:tcPr>
            <w:tcW w:w="9254" w:type="dxa"/>
            <w:tcBorders>
              <w:top w:val="nil"/>
            </w:tcBorders>
            <w:shd w:val="clear" w:color="auto" w:fill="D9D9D9"/>
          </w:tcPr>
          <w:p w14:paraId="756DD60D" w14:textId="77777777" w:rsidR="006C790B" w:rsidRPr="004D53EC" w:rsidRDefault="006C790B" w:rsidP="005760FF">
            <w:pPr>
              <w:pStyle w:val="TableParagraph"/>
              <w:ind w:left="473" w:right="100" w:hanging="360"/>
              <w:jc w:val="both"/>
              <w:rPr>
                <w:rFonts w:ascii="Symbol" w:hAnsi="Symbol"/>
                <w:sz w:val="24"/>
                <w:lang w:val="sq-AL"/>
              </w:rPr>
            </w:pPr>
          </w:p>
        </w:tc>
      </w:tr>
    </w:tbl>
    <w:p w14:paraId="1ABCD1BF" w14:textId="77777777" w:rsidR="006C790B" w:rsidRPr="004D53EC" w:rsidRDefault="006C790B" w:rsidP="006C790B">
      <w:pPr>
        <w:pStyle w:val="BodyText"/>
        <w:spacing w:before="143"/>
        <w:rPr>
          <w:lang w:val="sq-AL"/>
        </w:rPr>
      </w:pPr>
      <w:r w:rsidRPr="004D53EC">
        <w:rPr>
          <w:lang w:val="sq-AL"/>
        </w:rPr>
        <w:t xml:space="preserve">Ka pasur progres të kufizuar në zbatimin e </w:t>
      </w:r>
      <w:proofErr w:type="spellStart"/>
      <w:r w:rsidRPr="004D53EC">
        <w:rPr>
          <w:i/>
          <w:lang w:val="sq-AL"/>
        </w:rPr>
        <w:t>acquis</w:t>
      </w:r>
      <w:proofErr w:type="spellEnd"/>
      <w:r w:rsidRPr="004D53EC">
        <w:rPr>
          <w:lang w:val="sq-AL"/>
        </w:rPr>
        <w:t xml:space="preserve"> për</w:t>
      </w:r>
      <w:r w:rsidRPr="004D53EC">
        <w:rPr>
          <w:b/>
          <w:lang w:val="sq-AL"/>
        </w:rPr>
        <w:t xml:space="preserve"> sigurinë e përgjithshme të ushqimit. </w:t>
      </w:r>
      <w:r w:rsidRPr="004D53EC">
        <w:rPr>
          <w:lang w:val="sq-AL"/>
        </w:rPr>
        <w:t>Ndërkohë,</w:t>
      </w:r>
      <w:r w:rsidRPr="004D53EC">
        <w:rPr>
          <w:b/>
          <w:lang w:val="sq-AL"/>
        </w:rPr>
        <w:t xml:space="preserve"> ka një progres të mirë </w:t>
      </w:r>
      <w:r w:rsidRPr="004D53EC">
        <w:rPr>
          <w:lang w:val="sq-AL"/>
        </w:rPr>
        <w:t xml:space="preserve">në lidhje me </w:t>
      </w:r>
      <w:proofErr w:type="spellStart"/>
      <w:r w:rsidRPr="004D53EC">
        <w:rPr>
          <w:lang w:val="sq-AL"/>
        </w:rPr>
        <w:t>me</w:t>
      </w:r>
      <w:proofErr w:type="spellEnd"/>
      <w:r w:rsidRPr="004D53EC">
        <w:rPr>
          <w:lang w:val="sq-AL"/>
        </w:rPr>
        <w:t xml:space="preserve"> Autoritetin Kombëtar të Ushqimit duke rigjeneruar sistemin AKU-së për statistikat e inspektimit, menaxhimin e të dhënave dhe transparencën. Nevojitet përsëri shume punë për të reduktuar barrën administrative për planifikimin dhe raportimin mbi kontrollet zyrtare të bazuara në risk dhe për të siguruar që të dhënat kombëtare të jenë transparente. Pavarësisht krijimit të Panelit Shkencor në qershor 2022 dhe shkurt 2023, rezultatet e punës së tij nuk janë ende publike. </w:t>
      </w:r>
    </w:p>
    <w:p w14:paraId="58C741E2" w14:textId="77777777" w:rsidR="006C790B" w:rsidRPr="004D53EC" w:rsidRDefault="006C790B" w:rsidP="006C790B">
      <w:pPr>
        <w:pStyle w:val="BodyText"/>
        <w:ind w:left="979"/>
        <w:rPr>
          <w:lang w:val="sq-AL"/>
        </w:rPr>
      </w:pPr>
      <w:r w:rsidRPr="004D53EC">
        <w:rPr>
          <w:lang w:val="sq-AL"/>
        </w:rPr>
        <w:t xml:space="preserve">Shqipëria ka bërë progres të kufizuar në </w:t>
      </w:r>
      <w:r w:rsidRPr="004D53EC">
        <w:rPr>
          <w:b/>
          <w:lang w:val="sq-AL"/>
        </w:rPr>
        <w:t>politikën veterinare</w:t>
      </w:r>
      <w:r w:rsidRPr="004D53EC">
        <w:rPr>
          <w:lang w:val="sq-AL"/>
        </w:rPr>
        <w:t xml:space="preserve">. Pas riorganizimit të Ministrisë së Bujqësisë dhe Zhvillimit Rural në 22 maj, reforma të mëtejshme strukturore janë ende të nevojshme për të pasur një zinxhir të qartë komandimi dhe linjë komunikimi/raportimi, në përputhje me </w:t>
      </w:r>
      <w:proofErr w:type="spellStart"/>
      <w:r w:rsidRPr="004D53EC">
        <w:rPr>
          <w:i/>
          <w:lang w:val="sq-AL"/>
        </w:rPr>
        <w:t>acquis</w:t>
      </w:r>
      <w:proofErr w:type="spellEnd"/>
      <w:r w:rsidRPr="004D53EC">
        <w:rPr>
          <w:lang w:val="sq-AL"/>
        </w:rPr>
        <w:t xml:space="preserve"> të BE-së. Duhet të sigurohen burimet e përshtatshme njerëzore nëpërmjet plotësimit të vendeve vakante në drejtorinë e përgjithshme që merret me sigurinë ushqimore, veterinare dhe mbrojtjen e bimëve.</w:t>
      </w:r>
    </w:p>
    <w:p w14:paraId="6F376F76" w14:textId="77777777" w:rsidR="006C790B" w:rsidRPr="004D53EC" w:rsidRDefault="006C790B" w:rsidP="006C790B">
      <w:pPr>
        <w:pStyle w:val="BodyText"/>
        <w:ind w:left="979"/>
        <w:rPr>
          <w:lang w:val="sq-AL"/>
        </w:rPr>
      </w:pPr>
      <w:r w:rsidRPr="004D53EC">
        <w:rPr>
          <w:lang w:val="sq-AL"/>
        </w:rPr>
        <w:t xml:space="preserve">Për më tepër, ndërkohë që Autoriteti Kombëtar i Veterinarisë dhe Mbrojtjes së Bimëve rriti stafin e tij të veterinarisë, reforma në sektorin veterinar mbetet e paplotë. Duhet ende shumë punë për të krijuar kapacitetet e nevojshme për mbikëqyrjen pasive dhe aktive, duke përfshirë vlerësime të besueshme të </w:t>
      </w:r>
      <w:proofErr w:type="spellStart"/>
      <w:r w:rsidRPr="004D53EC">
        <w:rPr>
          <w:lang w:val="sq-AL"/>
        </w:rPr>
        <w:t>prevalencës</w:t>
      </w:r>
      <w:proofErr w:type="spellEnd"/>
      <w:r w:rsidRPr="004D53EC">
        <w:rPr>
          <w:lang w:val="sq-AL"/>
        </w:rPr>
        <w:t xml:space="preserve"> së sëmundjeve. Kërkohet gjithashtu punë thelbësore në analizën e të dhënave dhe në hartimin, planifikimin dhe zbatimin e sistemeve efektive për parandalimin dhe/ose çrrënjosjen e sëmundjeve. </w:t>
      </w:r>
    </w:p>
    <w:p w14:paraId="3CBC0571" w14:textId="77777777" w:rsidR="006C790B" w:rsidRPr="004D53EC" w:rsidRDefault="006C790B" w:rsidP="006C790B">
      <w:pPr>
        <w:pStyle w:val="BodyText"/>
        <w:spacing w:before="121"/>
        <w:rPr>
          <w:lang w:val="sq-AL"/>
        </w:rPr>
      </w:pPr>
      <w:r w:rsidRPr="004D53EC">
        <w:rPr>
          <w:lang w:val="sq-AL"/>
        </w:rPr>
        <w:t xml:space="preserve">Shqipëria ka vijuar punën sa i takon sëmundjeve të kafshëve nëpërmjet dy fushatave të vaksinimit kundër tërbimit si dhe zbatimin e programeve të kontrollit dhe çrrënjosjes për monitorimin e brucelozës dhe tuberkulozit në tufat e bagëtive, brucelozës në ripërtypësit e vegjël dhe antraksit. Ndërsa verifikimi dhe regjistrimi mbarëkombëtar i numrit të kafshëve në Shqipëri vazhdon, ku nevojitet shumë punë për të përmirësuar regjistrin e kafshëve me informacion shtesë për kafshët e tjera, si derrat, kuajt dhe shpendët, siç i referohet edhe </w:t>
      </w:r>
      <w:proofErr w:type="spellStart"/>
      <w:r w:rsidRPr="004D53EC">
        <w:rPr>
          <w:i/>
          <w:lang w:val="sq-AL"/>
        </w:rPr>
        <w:t>acquis</w:t>
      </w:r>
      <w:proofErr w:type="spellEnd"/>
      <w:r w:rsidRPr="004D53EC">
        <w:rPr>
          <w:lang w:val="sq-AL"/>
        </w:rPr>
        <w:t xml:space="preserve"> e BE-së, për tu siguruar që janë krijuar sisteme të qëndrueshme </w:t>
      </w:r>
      <w:proofErr w:type="spellStart"/>
      <w:r w:rsidRPr="004D53EC">
        <w:rPr>
          <w:lang w:val="sq-AL"/>
        </w:rPr>
        <w:t>gjurmueshmërie</w:t>
      </w:r>
      <w:proofErr w:type="spellEnd"/>
      <w:r w:rsidRPr="004D53EC">
        <w:rPr>
          <w:lang w:val="sq-AL"/>
        </w:rPr>
        <w:t xml:space="preserve"> për ushqimet me origjinë shtazore.</w:t>
      </w:r>
    </w:p>
    <w:p w14:paraId="14299865" w14:textId="77777777" w:rsidR="006C790B" w:rsidRPr="004D53EC" w:rsidRDefault="006C790B" w:rsidP="006C790B">
      <w:pPr>
        <w:pStyle w:val="BodyText"/>
        <w:spacing w:before="119"/>
        <w:rPr>
          <w:lang w:val="sq-AL"/>
        </w:rPr>
      </w:pPr>
      <w:r w:rsidRPr="004D53EC">
        <w:rPr>
          <w:lang w:val="sq-AL"/>
        </w:rPr>
        <w:lastRenderedPageBreak/>
        <w:t xml:space="preserve">Sa i përket </w:t>
      </w:r>
      <w:r w:rsidRPr="004D53EC">
        <w:rPr>
          <w:b/>
          <w:lang w:val="sq-AL"/>
        </w:rPr>
        <w:t>vendosjes në treg të ushqimit, ushqimit për kafshë dhe nënprodukteve të kafshëve</w:t>
      </w:r>
      <w:r w:rsidRPr="004D53EC">
        <w:rPr>
          <w:lang w:val="sq-AL"/>
        </w:rPr>
        <w:t xml:space="preserve">, ndërkohë që Shqipëria ka bërë progres të mirë në përafrimin e legjislacionit me </w:t>
      </w:r>
      <w:proofErr w:type="spellStart"/>
      <w:r w:rsidRPr="004D53EC">
        <w:rPr>
          <w:i/>
          <w:lang w:val="sq-AL"/>
        </w:rPr>
        <w:t>acquis</w:t>
      </w:r>
      <w:proofErr w:type="spellEnd"/>
      <w:r w:rsidRPr="004D53EC">
        <w:rPr>
          <w:lang w:val="sq-AL"/>
        </w:rPr>
        <w:t xml:space="preserve"> të BE-së, zbatimi i planit të saj kombëtar të monitorimit të mbetjeve mbetet një problematikë. Në veçanti për sa i përket produkteve mjekësore veterinare, mbetjeve të pesticideve, metaleve të rënda dhe </w:t>
      </w:r>
      <w:proofErr w:type="spellStart"/>
      <w:r w:rsidRPr="004D53EC">
        <w:rPr>
          <w:lang w:val="sq-AL"/>
        </w:rPr>
        <w:t>mykotoksinave</w:t>
      </w:r>
      <w:proofErr w:type="spellEnd"/>
      <w:r w:rsidRPr="004D53EC">
        <w:rPr>
          <w:lang w:val="sq-AL"/>
        </w:rPr>
        <w:t xml:space="preserve"> te kafshët e gjalla dhe produkteve me origjinë shtazore, nuk ka ende metoda të verifikimit për të garantuar besueshmërinë e rezultateve për speciet dhe produktet përkatëse. Është bërë përparim i kufizuar në zhvillimin e kapaciteteve dhe metodave të akreditimit dhe </w:t>
      </w:r>
      <w:proofErr w:type="spellStart"/>
      <w:r w:rsidRPr="004D53EC">
        <w:rPr>
          <w:lang w:val="sq-AL"/>
        </w:rPr>
        <w:t>validimit</w:t>
      </w:r>
      <w:proofErr w:type="spellEnd"/>
      <w:r w:rsidRPr="004D53EC">
        <w:rPr>
          <w:lang w:val="sq-AL"/>
        </w:rPr>
        <w:t xml:space="preserve"> për rrjetin laboratorik të Shqipërisë. Nuk është bërë përparim në bazën ligjore të nënprodukteve shtazore. Ka filluar puna paraprake për kategorizimin e stabilimenteve ushqimore, por kërkohet më tepër punë në kuadër të harmonizimit me </w:t>
      </w:r>
      <w:proofErr w:type="spellStart"/>
      <w:r w:rsidRPr="004D53EC">
        <w:rPr>
          <w:i/>
          <w:lang w:val="sq-AL"/>
        </w:rPr>
        <w:t>acquis</w:t>
      </w:r>
      <w:proofErr w:type="spellEnd"/>
      <w:r w:rsidRPr="004D53EC">
        <w:rPr>
          <w:lang w:val="sq-AL"/>
        </w:rPr>
        <w:t>.</w:t>
      </w:r>
    </w:p>
    <w:p w14:paraId="1AC81417" w14:textId="77777777" w:rsidR="006C790B" w:rsidRPr="004D53EC" w:rsidRDefault="006C790B" w:rsidP="006C790B">
      <w:pPr>
        <w:rPr>
          <w:sz w:val="14"/>
          <w:lang w:val="sq-AL"/>
        </w:rPr>
      </w:pPr>
    </w:p>
    <w:p w14:paraId="08B76F14" w14:textId="77777777" w:rsidR="006C790B" w:rsidRPr="004D53EC" w:rsidRDefault="006C790B" w:rsidP="006C790B">
      <w:pPr>
        <w:pStyle w:val="BodyText"/>
        <w:rPr>
          <w:lang w:val="sq-AL"/>
        </w:rPr>
      </w:pPr>
      <w:r w:rsidRPr="004D53EC">
        <w:rPr>
          <w:lang w:val="sq-AL"/>
        </w:rPr>
        <w:t xml:space="preserve">Sa i takon </w:t>
      </w:r>
      <w:r w:rsidRPr="004D53EC">
        <w:rPr>
          <w:b/>
          <w:lang w:val="sq-AL"/>
        </w:rPr>
        <w:t>rregullave të sigurisë ushqimore</w:t>
      </w:r>
      <w:r w:rsidRPr="004D53EC">
        <w:rPr>
          <w:lang w:val="sq-AL"/>
        </w:rPr>
        <w:t xml:space="preserve">, Shqipëria vijon të </w:t>
      </w:r>
      <w:proofErr w:type="spellStart"/>
      <w:r w:rsidRPr="004D53EC">
        <w:rPr>
          <w:lang w:val="sq-AL"/>
        </w:rPr>
        <w:t>të</w:t>
      </w:r>
      <w:proofErr w:type="spellEnd"/>
      <w:r w:rsidRPr="004D53EC">
        <w:rPr>
          <w:lang w:val="sq-AL"/>
        </w:rPr>
        <w:t xml:space="preserve"> përafrohet me </w:t>
      </w:r>
      <w:proofErr w:type="spellStart"/>
      <w:r w:rsidRPr="004D53EC">
        <w:rPr>
          <w:i/>
          <w:lang w:val="sq-AL"/>
        </w:rPr>
        <w:t>acquis</w:t>
      </w:r>
      <w:proofErr w:type="spellEnd"/>
      <w:r w:rsidRPr="004D53EC">
        <w:rPr>
          <w:i/>
          <w:lang w:val="sq-AL"/>
        </w:rPr>
        <w:t xml:space="preserve"> </w:t>
      </w:r>
      <w:r w:rsidRPr="004D53EC">
        <w:rPr>
          <w:lang w:val="sq-AL"/>
        </w:rPr>
        <w:t>për aditivët ushqimorë dhe identifikimin e niveleve maksimale të disa ndotësve në ushqime. Testimi i qumështit të papërpunuar u përfshi në planin zyrtar të kontrollit të vitit 2023, por nevojitet më shumë progres në zhvillimin e një udhërrëfyesi për të përmirësuar cilësinë e qumështit.</w:t>
      </w:r>
    </w:p>
    <w:p w14:paraId="002D1901" w14:textId="77777777" w:rsidR="006C790B" w:rsidRPr="004D53EC" w:rsidRDefault="006C790B" w:rsidP="006C790B">
      <w:pPr>
        <w:pStyle w:val="BodyText"/>
        <w:rPr>
          <w:lang w:val="sq-AL"/>
        </w:rPr>
      </w:pPr>
      <w:r w:rsidRPr="004D53EC">
        <w:rPr>
          <w:lang w:val="sq-AL"/>
        </w:rPr>
        <w:t xml:space="preserve">Progresi në </w:t>
      </w:r>
      <w:r w:rsidRPr="004D53EC">
        <w:rPr>
          <w:b/>
          <w:lang w:val="sq-AL"/>
        </w:rPr>
        <w:t xml:space="preserve">politikën </w:t>
      </w:r>
      <w:proofErr w:type="spellStart"/>
      <w:r w:rsidRPr="004D53EC">
        <w:rPr>
          <w:b/>
          <w:lang w:val="sq-AL"/>
        </w:rPr>
        <w:t>fitosanitare</w:t>
      </w:r>
      <w:proofErr w:type="spellEnd"/>
      <w:r w:rsidRPr="004D53EC">
        <w:rPr>
          <w:lang w:val="sq-AL"/>
        </w:rPr>
        <w:t xml:space="preserve"> mbetet i kufizuar. Shqipëria miratoi një plan veprimi për përdorimin e qëndrueshëm të produkteve për mbrojtjen e bimëve, por ligji për shëndetin e bimëve mbetet për t'u miratuar. </w:t>
      </w:r>
    </w:p>
    <w:p w14:paraId="5D24DA75" w14:textId="77777777" w:rsidR="006C790B" w:rsidRPr="004D53EC" w:rsidRDefault="006C790B" w:rsidP="006C790B">
      <w:pPr>
        <w:spacing w:before="120"/>
        <w:ind w:left="980" w:right="977"/>
        <w:jc w:val="both"/>
        <w:rPr>
          <w:sz w:val="24"/>
          <w:lang w:val="sq-AL"/>
        </w:rPr>
      </w:pPr>
      <w:r w:rsidRPr="004D53EC">
        <w:rPr>
          <w:sz w:val="24"/>
          <w:lang w:val="sq-AL"/>
        </w:rPr>
        <w:t xml:space="preserve">Nuk është bërë progres në lidhje me </w:t>
      </w:r>
      <w:r w:rsidRPr="004D53EC">
        <w:rPr>
          <w:b/>
          <w:sz w:val="24"/>
          <w:lang w:val="sq-AL"/>
        </w:rPr>
        <w:t>ushqimin ose organizmat e modifikuar gjenetikisht</w:t>
      </w:r>
      <w:r w:rsidRPr="004D53EC">
        <w:rPr>
          <w:sz w:val="24"/>
          <w:lang w:val="sq-AL"/>
        </w:rPr>
        <w:t xml:space="preserve"> dhe legjislacioni ende nuk është miratuar.</w:t>
      </w:r>
    </w:p>
    <w:p w14:paraId="69DDA2F4" w14:textId="1988C2E8" w:rsidR="006C790B" w:rsidRPr="004D53EC" w:rsidRDefault="006C790B" w:rsidP="006C790B">
      <w:pPr>
        <w:pStyle w:val="Heading1"/>
        <w:ind w:left="0"/>
        <w:rPr>
          <w:sz w:val="16"/>
          <w:lang w:val="sq-AL"/>
        </w:rPr>
      </w:pPr>
      <w:bookmarkStart w:id="107" w:name="Chapter_13:_Fisheries_and_aquaculture"/>
      <w:bookmarkStart w:id="108" w:name="_bookmark61"/>
      <w:bookmarkEnd w:id="107"/>
      <w:bookmarkEnd w:id="108"/>
      <w:r w:rsidRPr="004D53EC">
        <w:rPr>
          <w:sz w:val="16"/>
          <w:lang w:val="sq-AL"/>
        </w:rPr>
        <w:tab/>
      </w:r>
      <w:r w:rsidR="004D53EC">
        <w:rPr>
          <w:sz w:val="16"/>
          <w:lang w:val="sq-AL"/>
        </w:rPr>
        <w:t xml:space="preserve">   </w:t>
      </w:r>
      <w:r w:rsidRPr="004D53EC">
        <w:rPr>
          <w:sz w:val="16"/>
          <w:lang w:val="sq-AL"/>
        </w:rPr>
        <w:t xml:space="preserve"> </w:t>
      </w:r>
    </w:p>
    <w:p w14:paraId="76C15ACE" w14:textId="77777777" w:rsidR="006C790B" w:rsidRPr="004D53EC" w:rsidRDefault="006C790B" w:rsidP="006C790B">
      <w:pPr>
        <w:pStyle w:val="Heading1"/>
        <w:rPr>
          <w:lang w:val="sq-AL"/>
        </w:rPr>
      </w:pPr>
      <w:r w:rsidRPr="004D53EC">
        <w:rPr>
          <w:lang w:val="sq-AL"/>
        </w:rPr>
        <w:t xml:space="preserve">Kapitulli 13: Peshkimi dhe </w:t>
      </w:r>
      <w:proofErr w:type="spellStart"/>
      <w:r w:rsidRPr="004D53EC">
        <w:rPr>
          <w:lang w:val="sq-AL"/>
        </w:rPr>
        <w:t>akuakultura</w:t>
      </w:r>
      <w:proofErr w:type="spellEnd"/>
    </w:p>
    <w:p w14:paraId="72C58DD0" w14:textId="77777777" w:rsidR="006C790B" w:rsidRPr="004D53EC" w:rsidRDefault="006C790B" w:rsidP="006C790B">
      <w:pPr>
        <w:spacing w:before="120"/>
        <w:ind w:left="980" w:right="976"/>
        <w:jc w:val="both"/>
        <w:rPr>
          <w:i/>
          <w:sz w:val="24"/>
          <w:lang w:val="sq-AL"/>
        </w:rPr>
      </w:pPr>
      <w:r w:rsidRPr="004D53EC">
        <w:rPr>
          <w:i/>
          <w:sz w:val="24"/>
          <w:lang w:val="sq-AL"/>
        </w:rPr>
        <w:t xml:space="preserve">Politika e përbashkët e peshkimit përcakton rregulla për menaxhimin e peshkimit, mbron gjallesat e detit dhe kufizon ndikimin mjedisor të peshkimit. Kjo përfshin përcaktimin e kuotave të kapjes, menaxhimin e kapacitetit të flotës, rregullat për kontrollin dhe inspektimin, rregullat për tregjet dhe </w:t>
      </w:r>
      <w:proofErr w:type="spellStart"/>
      <w:r w:rsidRPr="004D53EC">
        <w:rPr>
          <w:i/>
          <w:sz w:val="24"/>
          <w:lang w:val="sq-AL"/>
        </w:rPr>
        <w:t>akuakulturën</w:t>
      </w:r>
      <w:proofErr w:type="spellEnd"/>
      <w:r w:rsidRPr="004D53EC">
        <w:rPr>
          <w:i/>
          <w:sz w:val="24"/>
          <w:lang w:val="sq-AL"/>
        </w:rPr>
        <w:t xml:space="preserve"> dhe mbështetjen për peshkimin dhe komunitetet bregdetare. Më tej, ajo promovon një </w:t>
      </w:r>
      <w:proofErr w:type="spellStart"/>
      <w:r w:rsidRPr="004D53EC">
        <w:rPr>
          <w:i/>
          <w:sz w:val="24"/>
          <w:lang w:val="sq-AL"/>
        </w:rPr>
        <w:t>akuakulturë</w:t>
      </w:r>
      <w:proofErr w:type="spellEnd"/>
      <w:r w:rsidRPr="004D53EC">
        <w:rPr>
          <w:i/>
          <w:sz w:val="24"/>
          <w:lang w:val="sq-AL"/>
        </w:rPr>
        <w:t xml:space="preserve"> të qëndrueshme.</w:t>
      </w:r>
    </w:p>
    <w:p w14:paraId="1FDE63DE" w14:textId="77777777" w:rsidR="006C790B" w:rsidRPr="004D53EC" w:rsidRDefault="006C790B" w:rsidP="006C790B">
      <w:pPr>
        <w:pStyle w:val="BodyText"/>
        <w:spacing w:before="6"/>
        <w:ind w:left="0" w:right="0"/>
        <w:jc w:val="left"/>
        <w:rPr>
          <w:i/>
          <w:sz w:val="10"/>
          <w:lang w:val="sq-AL"/>
        </w:rPr>
      </w:pP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4"/>
      </w:tblGrid>
      <w:tr w:rsidR="006C790B" w:rsidRPr="004D53EC" w14:paraId="549F928F" w14:textId="77777777" w:rsidTr="005760FF">
        <w:trPr>
          <w:trHeight w:val="4709"/>
        </w:trPr>
        <w:tc>
          <w:tcPr>
            <w:tcW w:w="9254" w:type="dxa"/>
            <w:shd w:val="clear" w:color="auto" w:fill="D9D9D9"/>
          </w:tcPr>
          <w:p w14:paraId="31AA0681" w14:textId="4A9ADAE7" w:rsidR="006C790B" w:rsidRPr="004D53EC" w:rsidRDefault="006C790B" w:rsidP="005760FF">
            <w:pPr>
              <w:pStyle w:val="TableParagraph"/>
              <w:spacing w:before="118" w:line="293" w:lineRule="exact"/>
              <w:ind w:left="113"/>
              <w:jc w:val="both"/>
              <w:rPr>
                <w:sz w:val="24"/>
                <w:lang w:val="sq-AL"/>
              </w:rPr>
            </w:pPr>
            <w:r w:rsidRPr="004D53EC">
              <w:rPr>
                <w:sz w:val="24"/>
                <w:lang w:val="sq-AL"/>
              </w:rPr>
              <w:t xml:space="preserve">Shqipëria </w:t>
            </w:r>
            <w:r w:rsidRPr="004D53EC">
              <w:rPr>
                <w:b/>
                <w:sz w:val="24"/>
                <w:lang w:val="sq-AL"/>
              </w:rPr>
              <w:t>ka një përgatitje mesatare</w:t>
            </w:r>
            <w:r w:rsidRPr="004D53EC">
              <w:rPr>
                <w:sz w:val="24"/>
                <w:lang w:val="sq-AL"/>
              </w:rPr>
              <w:t xml:space="preserve"> në peshkim dhe </w:t>
            </w:r>
            <w:proofErr w:type="spellStart"/>
            <w:r w:rsidRPr="004D53EC">
              <w:rPr>
                <w:sz w:val="24"/>
                <w:lang w:val="sq-AL"/>
              </w:rPr>
              <w:t>akuakulturë</w:t>
            </w:r>
            <w:proofErr w:type="spellEnd"/>
            <w:r w:rsidRPr="004D53EC">
              <w:rPr>
                <w:sz w:val="24"/>
                <w:lang w:val="sq-AL"/>
              </w:rPr>
              <w:t>. Ajo ka bëre një lloj</w:t>
            </w:r>
            <w:r w:rsidR="004D53EC">
              <w:rPr>
                <w:sz w:val="24"/>
                <w:lang w:val="sq-AL"/>
              </w:rPr>
              <w:t xml:space="preserve"> </w:t>
            </w:r>
            <w:r w:rsidRPr="004D53EC">
              <w:rPr>
                <w:sz w:val="24"/>
                <w:lang w:val="sq-AL"/>
              </w:rPr>
              <w:t>progresi, veçanërisht në funksionimin e sistemit të monitorimit të anijeve (VMS) dhe shpërndarjen e burimeve njerëzore për të monitoruar dhe raportuar mbi aktivitetin e mjeteve të peshkimit. Ka pasur progres të kufizuar në plotësimin e vendeve vakante në drejtorinë e peshkimit. Kapaciteti administrativ i inspektoratit dhe administratës qendrore duhet të përmirësohet më tej. Si palë kontraktuese e Komisionit të Përgjithshëm të Peshkimit për Mesdheun (GFCM), Shqipëria po zbaton plotësisht rekomandimet për të kontrolluar përpjekjet e saj të peshkimit.</w:t>
            </w:r>
          </w:p>
          <w:p w14:paraId="62C847F2" w14:textId="77777777" w:rsidR="006C790B" w:rsidRPr="004D53EC" w:rsidRDefault="006C790B" w:rsidP="005760FF">
            <w:pPr>
              <w:pStyle w:val="TableParagraph"/>
              <w:spacing w:before="118" w:line="293" w:lineRule="exact"/>
              <w:ind w:left="113"/>
              <w:jc w:val="both"/>
              <w:rPr>
                <w:sz w:val="24"/>
                <w:lang w:val="sq-AL"/>
              </w:rPr>
            </w:pPr>
            <w:r w:rsidRPr="004D53EC">
              <w:rPr>
                <w:sz w:val="24"/>
                <w:lang w:val="sq-AL"/>
              </w:rPr>
              <w:t>Rekomandimet e Komisionit nga viti 2022 mbeten kryesisht të vlefshme. Në vitin e ardhshëm Shqipëria duhet veçanërisht:</w:t>
            </w:r>
          </w:p>
          <w:p w14:paraId="387CFAE3" w14:textId="77777777" w:rsidR="006C790B" w:rsidRPr="004D53EC" w:rsidRDefault="006C790B" w:rsidP="005760FF">
            <w:pPr>
              <w:pStyle w:val="TableParagraph"/>
              <w:spacing w:before="120"/>
              <w:ind w:left="511" w:right="101" w:hanging="398"/>
              <w:jc w:val="both"/>
              <w:rPr>
                <w:sz w:val="24"/>
                <w:lang w:val="sq-AL"/>
              </w:rPr>
            </w:pPr>
            <w:r w:rsidRPr="004D53EC">
              <w:rPr>
                <w:rFonts w:ascii="Symbol" w:hAnsi="Symbol"/>
                <w:sz w:val="24"/>
                <w:lang w:val="sq-AL"/>
              </w:rPr>
              <w:t></w:t>
            </w:r>
            <w:r w:rsidRPr="004D53EC">
              <w:rPr>
                <w:spacing w:val="40"/>
                <w:sz w:val="24"/>
                <w:lang w:val="sq-AL"/>
              </w:rPr>
              <w:t xml:space="preserve"> </w:t>
            </w:r>
            <w:r w:rsidRPr="004D53EC">
              <w:rPr>
                <w:sz w:val="24"/>
                <w:lang w:val="sq-AL"/>
              </w:rPr>
              <w:t>të ndërtojë kapacitetet e nevojshme administrative në sektorin e peshkimit, veçanërisht nëpërmjet plotësimit me personel e duke forcuar mbledhjen e të dhënave dhe këshillat shkencore, si dhe zbatimin e politikave kombëtare në përputhje me politikën e përbashkët të peshkimit (CFP) të BE-së dhe marrëveshjet ndërkombëtare;</w:t>
            </w:r>
          </w:p>
          <w:p w14:paraId="2DB1A67D" w14:textId="16CC3184" w:rsidR="006C790B" w:rsidRPr="004D53EC" w:rsidRDefault="006C790B" w:rsidP="005760FF">
            <w:pPr>
              <w:pStyle w:val="TableParagraph"/>
              <w:spacing w:before="119"/>
              <w:ind w:left="113"/>
              <w:jc w:val="both"/>
              <w:rPr>
                <w:sz w:val="24"/>
                <w:lang w:val="sq-AL"/>
              </w:rPr>
            </w:pPr>
            <w:r w:rsidRPr="004D53EC">
              <w:rPr>
                <w:rFonts w:ascii="Symbol" w:hAnsi="Symbol"/>
                <w:sz w:val="24"/>
                <w:lang w:val="sq-AL"/>
              </w:rPr>
              <w:t></w:t>
            </w:r>
            <w:r w:rsidRPr="004D53EC">
              <w:rPr>
                <w:spacing w:val="65"/>
                <w:w w:val="150"/>
                <w:sz w:val="24"/>
                <w:lang w:val="sq-AL"/>
              </w:rPr>
              <w:t xml:space="preserve"> </w:t>
            </w:r>
            <w:r w:rsidRPr="004D53EC">
              <w:rPr>
                <w:sz w:val="24"/>
                <w:lang w:val="sq-AL"/>
              </w:rPr>
              <w:t>të ndërmarrë hapa konkretë për zbatimin e planit rajonal të veprimit për peshkimin në shkallë</w:t>
            </w:r>
            <w:r w:rsidR="004D53EC">
              <w:rPr>
                <w:sz w:val="24"/>
                <w:lang w:val="sq-AL"/>
              </w:rPr>
              <w:t xml:space="preserve">  </w:t>
            </w:r>
            <w:r w:rsidRPr="004D53EC">
              <w:rPr>
                <w:sz w:val="24"/>
                <w:lang w:val="sq-AL"/>
              </w:rPr>
              <w:t xml:space="preserve"> të vogël;</w:t>
            </w:r>
          </w:p>
          <w:p w14:paraId="134CE2F4" w14:textId="77777777" w:rsidR="006C790B" w:rsidRPr="004D53EC" w:rsidRDefault="006C790B" w:rsidP="005760FF">
            <w:pPr>
              <w:pStyle w:val="TableParagraph"/>
              <w:spacing w:before="118" w:line="293" w:lineRule="exact"/>
              <w:ind w:left="113"/>
              <w:jc w:val="both"/>
              <w:rPr>
                <w:sz w:val="24"/>
                <w:lang w:val="sq-AL"/>
              </w:rPr>
            </w:pPr>
            <w:r w:rsidRPr="004D53EC">
              <w:rPr>
                <w:rFonts w:ascii="Symbol" w:hAnsi="Symbol"/>
                <w:sz w:val="24"/>
                <w:lang w:val="sq-AL"/>
              </w:rPr>
              <w:t></w:t>
            </w:r>
            <w:r w:rsidRPr="004D53EC">
              <w:rPr>
                <w:sz w:val="24"/>
                <w:lang w:val="sq-AL"/>
              </w:rPr>
              <w:t xml:space="preserve"> të vazhdojë pjesëmarrjen aktive në skemën e inspektimit të GFCM në detin Adriatik.</w:t>
            </w:r>
          </w:p>
          <w:p w14:paraId="07AB6071" w14:textId="77777777" w:rsidR="006C790B" w:rsidRPr="004D53EC" w:rsidRDefault="006C790B" w:rsidP="005760FF">
            <w:pPr>
              <w:pStyle w:val="TableParagraph"/>
              <w:spacing w:before="118" w:line="293" w:lineRule="exact"/>
              <w:ind w:left="113"/>
              <w:jc w:val="both"/>
              <w:rPr>
                <w:sz w:val="24"/>
                <w:lang w:val="sq-AL"/>
              </w:rPr>
            </w:pPr>
          </w:p>
        </w:tc>
      </w:tr>
    </w:tbl>
    <w:p w14:paraId="08C66B0B" w14:textId="77777777" w:rsidR="006C790B" w:rsidRPr="004D53EC" w:rsidRDefault="006C790B" w:rsidP="006C790B">
      <w:pPr>
        <w:pStyle w:val="BodyText"/>
        <w:spacing w:before="121"/>
        <w:ind w:left="979"/>
        <w:rPr>
          <w:lang w:val="sq-AL"/>
        </w:rPr>
      </w:pPr>
      <w:r w:rsidRPr="004D53EC">
        <w:rPr>
          <w:lang w:val="sq-AL"/>
        </w:rPr>
        <w:lastRenderedPageBreak/>
        <w:t xml:space="preserve">Për sa i përket </w:t>
      </w:r>
      <w:r w:rsidRPr="004D53EC">
        <w:rPr>
          <w:b/>
          <w:lang w:val="sq-AL"/>
        </w:rPr>
        <w:t>menaxhimit të burimeve dhe flotës dhe masave strukturore</w:t>
      </w:r>
      <w:r w:rsidRPr="004D53EC">
        <w:rPr>
          <w:lang w:val="sq-AL"/>
        </w:rPr>
        <w:t xml:space="preserve">, regjistri i anijeve është përmirësuar dhe të dhënat e prodhimit të peshkimit mirëmbahen dhe përditësohen rregullisht. Shqipëria vazhdon të zbatojë aktet ligjore në lidhje me menaxhimin e kapacitetit tregtar të peshkimit. Janë nxjerrë urdhra ministrash në përputhje me rekomandimet e GFCM për shfrytëzimin e qëndrueshëm të rezervave të peshkut. Për sa i përket peshkimit në shkallë të vogël, nuk është bërë asnjë hap i rëndësishëm. Qeveria ka vazhduar të zbatojë masat e mbështetjes financiare për sektorin e peshkimit dhe </w:t>
      </w:r>
      <w:proofErr w:type="spellStart"/>
      <w:r w:rsidRPr="004D53EC">
        <w:rPr>
          <w:lang w:val="sq-AL"/>
        </w:rPr>
        <w:t>akuakulturës</w:t>
      </w:r>
      <w:proofErr w:type="spellEnd"/>
      <w:r w:rsidRPr="004D53EC">
        <w:rPr>
          <w:lang w:val="sq-AL"/>
        </w:rPr>
        <w:t xml:space="preserve"> si pjesë e programit të saj kombëtar të financimit 2022-2023 për bujqësinë dhe zhvillimin rural. </w:t>
      </w:r>
    </w:p>
    <w:p w14:paraId="3F053879" w14:textId="77777777" w:rsidR="006C790B" w:rsidRPr="004D53EC" w:rsidRDefault="006C790B" w:rsidP="006C790B">
      <w:pPr>
        <w:pStyle w:val="BodyText"/>
        <w:spacing w:before="119"/>
        <w:ind w:left="979"/>
        <w:rPr>
          <w:lang w:val="sq-AL"/>
        </w:rPr>
      </w:pPr>
      <w:r w:rsidRPr="004D53EC">
        <w:rPr>
          <w:lang w:val="sq-AL"/>
        </w:rPr>
        <w:t xml:space="preserve">Kapaciteti i </w:t>
      </w:r>
      <w:r w:rsidRPr="004D53EC">
        <w:rPr>
          <w:b/>
          <w:lang w:val="sq-AL"/>
        </w:rPr>
        <w:t>inspektimit dhe kontrollit</w:t>
      </w:r>
      <w:r w:rsidRPr="004D53EC">
        <w:rPr>
          <w:lang w:val="sq-AL"/>
        </w:rPr>
        <w:t xml:space="preserve"> është përmirësuar. Sistemi i monitorimit të anijeve (VMS) është funksional dhe </w:t>
      </w:r>
      <w:proofErr w:type="spellStart"/>
      <w:r w:rsidRPr="004D53EC">
        <w:rPr>
          <w:lang w:val="sq-AL"/>
        </w:rPr>
        <w:t>operacional</w:t>
      </w:r>
      <w:proofErr w:type="spellEnd"/>
      <w:r w:rsidRPr="004D53EC">
        <w:rPr>
          <w:lang w:val="sq-AL"/>
        </w:rPr>
        <w:t xml:space="preserve">. Janë blerë dhe janë vënë në funksion dy varka patrullimi për inspektorët e peshkimit. Baza ligjore për sistemin e raportimit elektronik (ERS) është përgatitur dhe miratuar nga Këshilli i Ministrave, si dhe burimet financiare të përcaktuara në buxhet për ngritjen e tij. Ministria e Bujqësisë ka gjashtë operatorë të sistemit në nivel qendror në Drejtorinë e Shërbimit të Peshkimit dhe </w:t>
      </w:r>
      <w:proofErr w:type="spellStart"/>
      <w:r w:rsidRPr="004D53EC">
        <w:rPr>
          <w:lang w:val="sq-AL"/>
        </w:rPr>
        <w:t>Akuakulturës</w:t>
      </w:r>
      <w:proofErr w:type="spellEnd"/>
      <w:r w:rsidRPr="004D53EC">
        <w:rPr>
          <w:lang w:val="sq-AL"/>
        </w:rPr>
        <w:t xml:space="preserve"> të cilët monitorojnë dhe raportojnë mbi aktivitetin e anijeve të peshkimit, përveç qendrës së monitorimit të peshkimit (QNOD). Ka kapacitete të mjaftueshme inspektimi dhe kontrolli për të monitoruar aktivitetin e peshkimit detar për të gjitha anijet mbi 12 metra të gjata 24/7, për të kontrolluar aktivitetet e peshkimit, parandaluar, reduktuar dhe eliminuar peshkimin e paligjshëm, të </w:t>
      </w:r>
      <w:proofErr w:type="spellStart"/>
      <w:r w:rsidRPr="004D53EC">
        <w:rPr>
          <w:lang w:val="sq-AL"/>
        </w:rPr>
        <w:t>paraportuar</w:t>
      </w:r>
      <w:proofErr w:type="spellEnd"/>
      <w:r w:rsidRPr="004D53EC">
        <w:rPr>
          <w:lang w:val="sq-AL"/>
        </w:rPr>
        <w:t xml:space="preserve"> dhe të parregulluar (IUU). Kapaciteti i inspektimit dhe kontrollit për të luftuar kundër IUU u forcua përmes bashkëpunimit me Agjencinë Evropiane të Kontrollit të Peshkimit (EFCA).</w:t>
      </w:r>
    </w:p>
    <w:p w14:paraId="46544BA1" w14:textId="77777777" w:rsidR="006C790B" w:rsidRPr="004D53EC" w:rsidRDefault="006C790B" w:rsidP="006C790B">
      <w:pPr>
        <w:pStyle w:val="BodyText"/>
        <w:spacing w:before="119"/>
        <w:ind w:left="979"/>
        <w:rPr>
          <w:sz w:val="12"/>
          <w:lang w:val="sq-AL"/>
        </w:rPr>
      </w:pPr>
    </w:p>
    <w:p w14:paraId="2AE638E1" w14:textId="77777777" w:rsidR="006C790B" w:rsidRPr="004D53EC" w:rsidRDefault="006C790B" w:rsidP="006C790B">
      <w:pPr>
        <w:pStyle w:val="BodyText"/>
        <w:ind w:left="979" w:right="977"/>
        <w:rPr>
          <w:lang w:val="sq-AL"/>
        </w:rPr>
      </w:pPr>
      <w:r w:rsidRPr="004D53EC">
        <w:rPr>
          <w:lang w:val="sq-AL"/>
        </w:rPr>
        <w:t>Kapaciteti për të interpretuar dhe zbatuar legjislacionin kombëtar në këtë fushë ose politikën e përbashkët të peshkimit të BE-së mbetet i dobët dhe mbledhja e të dhënave duhet të përmirësohet, veçanërisht për kapacitetin shkencor dhe menaxhimin e të dhënave. Struktura dhe burimet njerëzore të administratës qendrore të Drejtorisë së Peshkimit mbeten për t'u përmirësuar.</w:t>
      </w:r>
    </w:p>
    <w:p w14:paraId="5D20DDF6" w14:textId="77777777" w:rsidR="006C790B" w:rsidRPr="004D53EC" w:rsidRDefault="006C790B" w:rsidP="006C790B">
      <w:pPr>
        <w:pStyle w:val="BodyText"/>
        <w:ind w:left="979" w:right="977"/>
        <w:rPr>
          <w:lang w:val="sq-AL"/>
        </w:rPr>
      </w:pPr>
      <w:r w:rsidRPr="004D53EC">
        <w:rPr>
          <w:lang w:val="sq-AL"/>
        </w:rPr>
        <w:t xml:space="preserve">Procedura për miratimin e planeve për zonat e caktuara për </w:t>
      </w:r>
      <w:proofErr w:type="spellStart"/>
      <w:r w:rsidRPr="004D53EC">
        <w:rPr>
          <w:lang w:val="sq-AL"/>
        </w:rPr>
        <w:t>akuakulturën</w:t>
      </w:r>
      <w:proofErr w:type="spellEnd"/>
      <w:r w:rsidRPr="004D53EC">
        <w:rPr>
          <w:lang w:val="sq-AL"/>
        </w:rPr>
        <w:t xml:space="preserve"> (Shëngjin, Durrës dhe Vlorë) është në vazhdim, planet janë aktualisht në konsultim publik. Ndërkohë kanë filluar përpjekjet për përgatitjen e këtyre zonave për ujëra të brendshëm.</w:t>
      </w:r>
    </w:p>
    <w:p w14:paraId="50F0187B" w14:textId="77777777" w:rsidR="006C790B" w:rsidRPr="004D53EC" w:rsidRDefault="006C790B" w:rsidP="006C790B">
      <w:pPr>
        <w:pStyle w:val="BodyText"/>
        <w:ind w:left="979" w:right="977"/>
        <w:rPr>
          <w:lang w:val="sq-AL"/>
        </w:rPr>
      </w:pPr>
      <w:r w:rsidRPr="004D53EC">
        <w:rPr>
          <w:lang w:val="sq-AL"/>
        </w:rPr>
        <w:t xml:space="preserve">Sa i përket </w:t>
      </w:r>
      <w:r w:rsidRPr="004D53EC">
        <w:rPr>
          <w:b/>
          <w:lang w:val="sq-AL"/>
        </w:rPr>
        <w:t>politikës së tregut</w:t>
      </w:r>
      <w:r w:rsidRPr="004D53EC">
        <w:rPr>
          <w:lang w:val="sq-AL"/>
        </w:rPr>
        <w:t xml:space="preserve">, tregu i shitjes me shumicë të produkteve të peshkimit dhe </w:t>
      </w:r>
      <w:proofErr w:type="spellStart"/>
      <w:r w:rsidRPr="004D53EC">
        <w:rPr>
          <w:lang w:val="sq-AL"/>
        </w:rPr>
        <w:t>akuakulturës</w:t>
      </w:r>
      <w:proofErr w:type="spellEnd"/>
      <w:r w:rsidRPr="004D53EC">
        <w:rPr>
          <w:lang w:val="sq-AL"/>
        </w:rPr>
        <w:t xml:space="preserve"> në portin e peshkimit të Shëngjinit dhe në Vlorë nuk është ende plotësisht </w:t>
      </w:r>
      <w:r w:rsidRPr="004D53EC">
        <w:rPr>
          <w:lang w:val="sq-AL"/>
        </w:rPr>
        <w:lastRenderedPageBreak/>
        <w:t xml:space="preserve">funksional. Sa i takon </w:t>
      </w:r>
      <w:r w:rsidRPr="004D53EC">
        <w:rPr>
          <w:b/>
          <w:lang w:val="sq-AL"/>
        </w:rPr>
        <w:t>Ndihmës Shtetërore</w:t>
      </w:r>
      <w:r w:rsidRPr="004D53EC">
        <w:rPr>
          <w:lang w:val="sq-AL"/>
        </w:rPr>
        <w:t>, mbështetja u vu në dispozicion në vitin 2022 për zëvendësimin e anijeve dhe pajisjet e peshkimit (50% bashkëfinancim). U zbatua një skemë e kompensimit të karburanteve për operatorët e mjeteve të peshkimit. Në vitin 2023, ndihma shtetërore jepet në kuadër të skemës kombëtare mbështetëse, si një masë e veçantë financimi për sektorin e peshkimit.</w:t>
      </w:r>
    </w:p>
    <w:p w14:paraId="25E81907" w14:textId="77777777" w:rsidR="006C790B" w:rsidRPr="004D53EC" w:rsidRDefault="006C790B" w:rsidP="006C790B">
      <w:pPr>
        <w:pStyle w:val="BodyText"/>
        <w:rPr>
          <w:lang w:val="sq-AL"/>
        </w:rPr>
      </w:pPr>
      <w:r w:rsidRPr="004D53EC">
        <w:rPr>
          <w:lang w:val="sq-AL"/>
        </w:rPr>
        <w:t xml:space="preserve">Sa i përket </w:t>
      </w:r>
      <w:r w:rsidRPr="004D53EC">
        <w:rPr>
          <w:b/>
          <w:lang w:val="sq-AL"/>
        </w:rPr>
        <w:t>marrëveshjeve ndërkombëtare</w:t>
      </w:r>
      <w:r w:rsidRPr="004D53EC">
        <w:rPr>
          <w:lang w:val="sq-AL"/>
        </w:rPr>
        <w:t xml:space="preserve"> për menaxhimin e peshkimit dhe </w:t>
      </w:r>
      <w:proofErr w:type="spellStart"/>
      <w:r w:rsidRPr="004D53EC">
        <w:rPr>
          <w:lang w:val="sq-AL"/>
        </w:rPr>
        <w:t>akuakulturës</w:t>
      </w:r>
      <w:proofErr w:type="spellEnd"/>
      <w:r w:rsidRPr="004D53EC">
        <w:rPr>
          <w:lang w:val="sq-AL"/>
        </w:rPr>
        <w:t xml:space="preserve">, janë në fuqi dy marrëveshje bashkëpunimi: me Maqedoninë e Veriut për menaxhimin e përbashkët të peshkimit në liqenet e Ohrit dhe Prespës dhe me Malin e Zi për menaxhimin e përbashkët të peshkimit të Liqenit të Shkodrës dhe lumit Buna. Shqipëria është palë kontraktuese e GFCM dhe ka zbatuar plotësisht rekomandimet e këtij organi lidhur me kontrollin e përpjekjeve të saj të peshkimit. Shqipëria duhet të vazhdojë të marrë pjesë aktive dhe të zbatojë masat dhe rekomandimet e GFCM, veçanërisht (i) zbatimin e planeve shumëvjeçare të menaxhimit për ruajtjen dhe shfrytëzimin e qëndrueshëm të peshkimit të vogël </w:t>
      </w:r>
      <w:proofErr w:type="spellStart"/>
      <w:r w:rsidRPr="004D53EC">
        <w:rPr>
          <w:lang w:val="sq-AL"/>
        </w:rPr>
        <w:t>pellagjik</w:t>
      </w:r>
      <w:proofErr w:type="spellEnd"/>
      <w:r w:rsidRPr="004D53EC">
        <w:rPr>
          <w:lang w:val="sq-AL"/>
        </w:rPr>
        <w:t xml:space="preserve"> dhe fundor në detin Adriatik, dhe (</w:t>
      </w:r>
      <w:proofErr w:type="spellStart"/>
      <w:r w:rsidRPr="004D53EC">
        <w:rPr>
          <w:lang w:val="sq-AL"/>
        </w:rPr>
        <w:t>ii</w:t>
      </w:r>
      <w:proofErr w:type="spellEnd"/>
      <w:r w:rsidRPr="004D53EC">
        <w:rPr>
          <w:lang w:val="sq-AL"/>
        </w:rPr>
        <w:t>) rritjen e veprimtarisë për zbatimin e Planit Rajonal të Veprimit për Peshkimin në Shkallë të Vogël në Mesdhe dhe në Detin e Zi (RPOA-SSF).</w:t>
      </w:r>
    </w:p>
    <w:p w14:paraId="250767D7" w14:textId="267AF2E2" w:rsidR="006C790B" w:rsidRPr="004D53EC" w:rsidRDefault="006C790B" w:rsidP="0032048B">
      <w:pPr>
        <w:pStyle w:val="BodyText"/>
        <w:ind w:right="977"/>
        <w:rPr>
          <w:lang w:val="sq-AL"/>
        </w:rPr>
      </w:pPr>
      <w:r w:rsidRPr="004D53EC">
        <w:rPr>
          <w:lang w:val="sq-AL"/>
        </w:rPr>
        <w:t xml:space="preserve">Sa i përket </w:t>
      </w:r>
      <w:r w:rsidRPr="004D53EC">
        <w:rPr>
          <w:b/>
          <w:lang w:val="sq-AL"/>
        </w:rPr>
        <w:t>ekonomisë më të gjerë detare</w:t>
      </w:r>
      <w:r w:rsidRPr="004D53EC">
        <w:rPr>
          <w:lang w:val="sq-AL"/>
        </w:rPr>
        <w:t xml:space="preserve">, për të siguruar zhvillimin optimal të </w:t>
      </w:r>
      <w:proofErr w:type="spellStart"/>
      <w:r w:rsidRPr="004D53EC">
        <w:rPr>
          <w:lang w:val="sq-AL"/>
        </w:rPr>
        <w:t>të</w:t>
      </w:r>
      <w:proofErr w:type="spellEnd"/>
      <w:r w:rsidRPr="004D53EC">
        <w:rPr>
          <w:lang w:val="sq-AL"/>
        </w:rPr>
        <w:t xml:space="preserve"> gjitha veprimtarive të lidhura me detin në mënyrë të qëndrueshme, Shqipëria inkurajohet të promovojë bashkëpunimin rajonal detar me vendet partnere në detin Adriatik-Jon.</w:t>
      </w:r>
      <w:r w:rsidR="0032048B" w:rsidRPr="004D53EC">
        <w:rPr>
          <w:lang w:val="sq-AL"/>
        </w:rPr>
        <w:t xml:space="preserve"> </w:t>
      </w:r>
      <w:bookmarkStart w:id="109" w:name="Chapter_22:_Regional_policy_and_coordina"/>
      <w:bookmarkStart w:id="110" w:name="_bookmark62"/>
      <w:bookmarkEnd w:id="109"/>
      <w:bookmarkEnd w:id="110"/>
    </w:p>
    <w:p w14:paraId="28277441" w14:textId="77777777" w:rsidR="006C790B" w:rsidRPr="004D53EC" w:rsidRDefault="006C790B" w:rsidP="006C790B">
      <w:pPr>
        <w:pStyle w:val="Heading1"/>
        <w:spacing w:before="119"/>
        <w:ind w:left="1039"/>
        <w:rPr>
          <w:lang w:val="sq-AL"/>
        </w:rPr>
      </w:pPr>
    </w:p>
    <w:p w14:paraId="0CA3B097" w14:textId="4A38AC1F" w:rsidR="006C790B" w:rsidRPr="004D53EC" w:rsidRDefault="000857D8" w:rsidP="000857D8">
      <w:pPr>
        <w:spacing w:before="119"/>
        <w:ind w:left="1039"/>
        <w:jc w:val="both"/>
        <w:outlineLvl w:val="0"/>
        <w:rPr>
          <w:b/>
          <w:bCs/>
          <w:spacing w:val="-2"/>
          <w:sz w:val="24"/>
          <w:szCs w:val="24"/>
          <w:lang w:val="sq-AL"/>
        </w:rPr>
      </w:pPr>
      <w:r>
        <w:rPr>
          <w:b/>
          <w:bCs/>
          <w:sz w:val="24"/>
          <w:szCs w:val="24"/>
          <w:lang w:val="sq-AL"/>
        </w:rPr>
        <w:t>Kapitulli</w:t>
      </w:r>
      <w:r w:rsidR="006C790B" w:rsidRPr="004D53EC">
        <w:rPr>
          <w:b/>
          <w:bCs/>
          <w:spacing w:val="-4"/>
          <w:sz w:val="24"/>
          <w:szCs w:val="24"/>
          <w:lang w:val="sq-AL"/>
        </w:rPr>
        <w:t xml:space="preserve"> </w:t>
      </w:r>
      <w:r w:rsidR="006C790B" w:rsidRPr="004D53EC">
        <w:rPr>
          <w:b/>
          <w:bCs/>
          <w:sz w:val="24"/>
          <w:szCs w:val="24"/>
          <w:lang w:val="sq-AL"/>
        </w:rPr>
        <w:t>22:</w:t>
      </w:r>
      <w:r w:rsidR="006C790B" w:rsidRPr="004D53EC">
        <w:rPr>
          <w:b/>
          <w:bCs/>
          <w:spacing w:val="-2"/>
          <w:sz w:val="24"/>
          <w:szCs w:val="24"/>
          <w:lang w:val="sq-AL"/>
        </w:rPr>
        <w:t xml:space="preserve"> </w:t>
      </w:r>
      <w:r>
        <w:rPr>
          <w:b/>
          <w:bCs/>
          <w:spacing w:val="-2"/>
          <w:sz w:val="24"/>
          <w:szCs w:val="24"/>
          <w:lang w:val="sq-AL"/>
        </w:rPr>
        <w:t xml:space="preserve">Politika rajonale dhe koordinimi i instrumenteve strukturore </w:t>
      </w:r>
    </w:p>
    <w:p w14:paraId="7EBA5590" w14:textId="77777777" w:rsidR="006C790B" w:rsidRPr="004D53EC" w:rsidRDefault="006C790B" w:rsidP="006C790B">
      <w:pPr>
        <w:spacing w:before="120"/>
        <w:ind w:left="980" w:right="976"/>
        <w:jc w:val="both"/>
        <w:rPr>
          <w:sz w:val="24"/>
          <w:lang w:val="sq-AL"/>
        </w:rPr>
      </w:pPr>
      <w:r w:rsidRPr="004D53EC">
        <w:rPr>
          <w:i/>
          <w:sz w:val="24"/>
          <w:lang w:val="sq-AL"/>
        </w:rPr>
        <w:t xml:space="preserve">Politika rajonale është mjeti kryesor i BE-së për reduktimin e pabarazive rajonale dhe investimin në një rritje të qëndrueshme dhe gjithëpërfshirëse socio-ekonomike. Ajo funksionon përmes “menaxhimit të përbashkët” ndërmjet Komisionit dhe Shteteve Anëtare të BE-së. Zbatimi i programeve të politikës së kohezionit kërkon kapacitete të përshtatshme administrative në nivel programi dhe projekti, ngritjen e sistemeve të menaxhimit dhe kontrollit financiar të shëndoshë dhe gjithashtu përmbushjen e elementeve të tjera të </w:t>
      </w:r>
      <w:proofErr w:type="spellStart"/>
      <w:r w:rsidRPr="004D53EC">
        <w:rPr>
          <w:i/>
          <w:sz w:val="24"/>
          <w:lang w:val="sq-AL"/>
        </w:rPr>
        <w:t>acquis</w:t>
      </w:r>
      <w:proofErr w:type="spellEnd"/>
      <w:r w:rsidRPr="004D53EC">
        <w:rPr>
          <w:i/>
          <w:sz w:val="24"/>
          <w:lang w:val="sq-AL"/>
        </w:rPr>
        <w:t xml:space="preserve"> të BE-së si legjislacioni mjedisor ose i prokurimit publik.</w:t>
      </w:r>
      <w:r w:rsidRPr="004D53EC">
        <w:rPr>
          <w:lang w:val="sq-AL"/>
        </w:rPr>
        <mc:AlternateContent>
          <mc:Choice Requires="wpg">
            <w:drawing>
              <wp:anchor distT="0" distB="0" distL="0" distR="0" simplePos="0" relativeHeight="251681792" behindDoc="0" locked="0" layoutInCell="1" allowOverlap="1" wp14:anchorId="543E3BE7" wp14:editId="728CDD77">
                <wp:simplePos x="0" y="0"/>
                <wp:positionH relativeFrom="page">
                  <wp:posOffset>771277</wp:posOffset>
                </wp:positionH>
                <wp:positionV relativeFrom="paragraph">
                  <wp:posOffset>1377619</wp:posOffset>
                </wp:positionV>
                <wp:extent cx="5946885" cy="5963477"/>
                <wp:effectExtent l="0" t="0" r="0" b="0"/>
                <wp:wrapNone/>
                <wp:docPr id="283"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6885" cy="5963477"/>
                          <a:chOff x="0" y="0"/>
                          <a:chExt cx="5883275" cy="5963477"/>
                        </a:xfrm>
                      </wpg:grpSpPr>
                      <wps:wsp>
                        <wps:cNvPr id="284" name="Graphic 284"/>
                        <wps:cNvSpPr/>
                        <wps:spPr>
                          <a:xfrm>
                            <a:off x="6095" y="6108"/>
                            <a:ext cx="5870575" cy="187960"/>
                          </a:xfrm>
                          <a:custGeom>
                            <a:avLst/>
                            <a:gdLst/>
                            <a:ahLst/>
                            <a:cxnLst/>
                            <a:rect l="l" t="t" r="r" b="b"/>
                            <a:pathLst>
                              <a:path w="5870575" h="187960">
                                <a:moveTo>
                                  <a:pt x="5870447" y="0"/>
                                </a:moveTo>
                                <a:lnTo>
                                  <a:pt x="0" y="0"/>
                                </a:lnTo>
                                <a:lnTo>
                                  <a:pt x="0" y="187452"/>
                                </a:lnTo>
                                <a:lnTo>
                                  <a:pt x="5870447" y="187452"/>
                                </a:lnTo>
                                <a:lnTo>
                                  <a:pt x="5870447" y="0"/>
                                </a:lnTo>
                                <a:close/>
                              </a:path>
                            </a:pathLst>
                          </a:custGeom>
                          <a:solidFill>
                            <a:srgbClr val="D9D9D9"/>
                          </a:solidFill>
                        </wps:spPr>
                        <wps:bodyPr wrap="square" lIns="0" tIns="0" rIns="0" bIns="0" rtlCol="0">
                          <a:prstTxWarp prst="textNoShape">
                            <a:avLst/>
                          </a:prstTxWarp>
                          <a:noAutofit/>
                        </wps:bodyPr>
                      </wps:wsp>
                      <wps:wsp>
                        <wps:cNvPr id="285" name="Graphic 285"/>
                        <wps:cNvSpPr/>
                        <wps:spPr>
                          <a:xfrm>
                            <a:off x="0" y="0"/>
                            <a:ext cx="5883275" cy="193675"/>
                          </a:xfrm>
                          <a:custGeom>
                            <a:avLst/>
                            <a:gdLst/>
                            <a:ahLst/>
                            <a:cxnLst/>
                            <a:rect l="l" t="t" r="r" b="b"/>
                            <a:pathLst>
                              <a:path w="5883275" h="193675">
                                <a:moveTo>
                                  <a:pt x="5882652" y="0"/>
                                </a:moveTo>
                                <a:lnTo>
                                  <a:pt x="5876544" y="0"/>
                                </a:lnTo>
                                <a:lnTo>
                                  <a:pt x="6096" y="0"/>
                                </a:lnTo>
                                <a:lnTo>
                                  <a:pt x="0" y="0"/>
                                </a:lnTo>
                                <a:lnTo>
                                  <a:pt x="0" y="6108"/>
                                </a:lnTo>
                                <a:lnTo>
                                  <a:pt x="0" y="193560"/>
                                </a:lnTo>
                                <a:lnTo>
                                  <a:pt x="6096" y="193560"/>
                                </a:lnTo>
                                <a:lnTo>
                                  <a:pt x="6096" y="6108"/>
                                </a:lnTo>
                                <a:lnTo>
                                  <a:pt x="5876544" y="6108"/>
                                </a:lnTo>
                                <a:lnTo>
                                  <a:pt x="5876544" y="193560"/>
                                </a:lnTo>
                                <a:lnTo>
                                  <a:pt x="5882652" y="193560"/>
                                </a:lnTo>
                                <a:lnTo>
                                  <a:pt x="5882652" y="6108"/>
                                </a:lnTo>
                                <a:lnTo>
                                  <a:pt x="5882652" y="0"/>
                                </a:lnTo>
                                <a:close/>
                              </a:path>
                            </a:pathLst>
                          </a:custGeom>
                          <a:solidFill>
                            <a:srgbClr val="000000"/>
                          </a:solidFill>
                        </wps:spPr>
                        <wps:bodyPr wrap="square" lIns="0" tIns="0" rIns="0" bIns="0" rtlCol="0">
                          <a:prstTxWarp prst="textNoShape">
                            <a:avLst/>
                          </a:prstTxWarp>
                          <a:noAutofit/>
                        </wps:bodyPr>
                      </wps:wsp>
                      <wps:wsp>
                        <wps:cNvPr id="286" name="Graphic 286"/>
                        <wps:cNvSpPr/>
                        <wps:spPr>
                          <a:xfrm>
                            <a:off x="6095" y="193560"/>
                            <a:ext cx="5870575" cy="175260"/>
                          </a:xfrm>
                          <a:custGeom>
                            <a:avLst/>
                            <a:gdLst/>
                            <a:ahLst/>
                            <a:cxnLst/>
                            <a:rect l="l" t="t" r="r" b="b"/>
                            <a:pathLst>
                              <a:path w="5870575" h="175260">
                                <a:moveTo>
                                  <a:pt x="5870447" y="0"/>
                                </a:moveTo>
                                <a:lnTo>
                                  <a:pt x="0" y="0"/>
                                </a:lnTo>
                                <a:lnTo>
                                  <a:pt x="0" y="175260"/>
                                </a:lnTo>
                                <a:lnTo>
                                  <a:pt x="5870447" y="175260"/>
                                </a:lnTo>
                                <a:lnTo>
                                  <a:pt x="5870447" y="0"/>
                                </a:lnTo>
                                <a:close/>
                              </a:path>
                            </a:pathLst>
                          </a:custGeom>
                          <a:solidFill>
                            <a:srgbClr val="D9D9D9"/>
                          </a:solidFill>
                        </wps:spPr>
                        <wps:bodyPr wrap="square" lIns="0" tIns="0" rIns="0" bIns="0" rtlCol="0">
                          <a:prstTxWarp prst="textNoShape">
                            <a:avLst/>
                          </a:prstTxWarp>
                          <a:noAutofit/>
                        </wps:bodyPr>
                      </wps:wsp>
                      <wps:wsp>
                        <wps:cNvPr id="287" name="Graphic 287"/>
                        <wps:cNvSpPr/>
                        <wps:spPr>
                          <a:xfrm>
                            <a:off x="0" y="193560"/>
                            <a:ext cx="5883275" cy="175260"/>
                          </a:xfrm>
                          <a:custGeom>
                            <a:avLst/>
                            <a:gdLst/>
                            <a:ahLst/>
                            <a:cxnLst/>
                            <a:rect l="l" t="t" r="r" b="b"/>
                            <a:pathLst>
                              <a:path w="5883275" h="175260">
                                <a:moveTo>
                                  <a:pt x="6096" y="0"/>
                                </a:moveTo>
                                <a:lnTo>
                                  <a:pt x="0" y="0"/>
                                </a:lnTo>
                                <a:lnTo>
                                  <a:pt x="0" y="175260"/>
                                </a:lnTo>
                                <a:lnTo>
                                  <a:pt x="6096" y="175260"/>
                                </a:lnTo>
                                <a:lnTo>
                                  <a:pt x="6096" y="0"/>
                                </a:lnTo>
                                <a:close/>
                              </a:path>
                              <a:path w="5883275" h="175260">
                                <a:moveTo>
                                  <a:pt x="5882652" y="0"/>
                                </a:moveTo>
                                <a:lnTo>
                                  <a:pt x="5876544" y="0"/>
                                </a:lnTo>
                                <a:lnTo>
                                  <a:pt x="5876544" y="175260"/>
                                </a:lnTo>
                                <a:lnTo>
                                  <a:pt x="5882652" y="175260"/>
                                </a:lnTo>
                                <a:lnTo>
                                  <a:pt x="5882652" y="0"/>
                                </a:lnTo>
                                <a:close/>
                              </a:path>
                            </a:pathLst>
                          </a:custGeom>
                          <a:solidFill>
                            <a:srgbClr val="000000"/>
                          </a:solidFill>
                        </wps:spPr>
                        <wps:bodyPr wrap="square" lIns="0" tIns="0" rIns="0" bIns="0" rtlCol="0">
                          <a:prstTxWarp prst="textNoShape">
                            <a:avLst/>
                          </a:prstTxWarp>
                          <a:noAutofit/>
                        </wps:bodyPr>
                      </wps:wsp>
                      <wps:wsp>
                        <wps:cNvPr id="288" name="Graphic 288"/>
                        <wps:cNvSpPr/>
                        <wps:spPr>
                          <a:xfrm>
                            <a:off x="6095" y="368820"/>
                            <a:ext cx="5870575" cy="175260"/>
                          </a:xfrm>
                          <a:custGeom>
                            <a:avLst/>
                            <a:gdLst/>
                            <a:ahLst/>
                            <a:cxnLst/>
                            <a:rect l="l" t="t" r="r" b="b"/>
                            <a:pathLst>
                              <a:path w="5870575" h="175260">
                                <a:moveTo>
                                  <a:pt x="5870447" y="0"/>
                                </a:moveTo>
                                <a:lnTo>
                                  <a:pt x="0" y="0"/>
                                </a:lnTo>
                                <a:lnTo>
                                  <a:pt x="0" y="175260"/>
                                </a:lnTo>
                                <a:lnTo>
                                  <a:pt x="5870447" y="175260"/>
                                </a:lnTo>
                                <a:lnTo>
                                  <a:pt x="5870447" y="0"/>
                                </a:lnTo>
                                <a:close/>
                              </a:path>
                            </a:pathLst>
                          </a:custGeom>
                          <a:solidFill>
                            <a:srgbClr val="D9D9D9"/>
                          </a:solidFill>
                        </wps:spPr>
                        <wps:bodyPr wrap="square" lIns="0" tIns="0" rIns="0" bIns="0" rtlCol="0">
                          <a:prstTxWarp prst="textNoShape">
                            <a:avLst/>
                          </a:prstTxWarp>
                          <a:noAutofit/>
                        </wps:bodyPr>
                      </wps:wsp>
                      <wps:wsp>
                        <wps:cNvPr id="289" name="Graphic 289"/>
                        <wps:cNvSpPr/>
                        <wps:spPr>
                          <a:xfrm>
                            <a:off x="0" y="368820"/>
                            <a:ext cx="5883275" cy="175260"/>
                          </a:xfrm>
                          <a:custGeom>
                            <a:avLst/>
                            <a:gdLst/>
                            <a:ahLst/>
                            <a:cxnLst/>
                            <a:rect l="l" t="t" r="r" b="b"/>
                            <a:pathLst>
                              <a:path w="5883275" h="175260">
                                <a:moveTo>
                                  <a:pt x="6096" y="0"/>
                                </a:moveTo>
                                <a:lnTo>
                                  <a:pt x="0" y="0"/>
                                </a:lnTo>
                                <a:lnTo>
                                  <a:pt x="0" y="175260"/>
                                </a:lnTo>
                                <a:lnTo>
                                  <a:pt x="6096" y="175260"/>
                                </a:lnTo>
                                <a:lnTo>
                                  <a:pt x="6096" y="0"/>
                                </a:lnTo>
                                <a:close/>
                              </a:path>
                              <a:path w="5883275" h="175260">
                                <a:moveTo>
                                  <a:pt x="5882652" y="0"/>
                                </a:moveTo>
                                <a:lnTo>
                                  <a:pt x="5876544" y="0"/>
                                </a:lnTo>
                                <a:lnTo>
                                  <a:pt x="5876544" y="175260"/>
                                </a:lnTo>
                                <a:lnTo>
                                  <a:pt x="5882652" y="175260"/>
                                </a:lnTo>
                                <a:lnTo>
                                  <a:pt x="5882652" y="0"/>
                                </a:lnTo>
                                <a:close/>
                              </a:path>
                            </a:pathLst>
                          </a:custGeom>
                          <a:solidFill>
                            <a:srgbClr val="000000"/>
                          </a:solidFill>
                        </wps:spPr>
                        <wps:bodyPr wrap="square" lIns="0" tIns="0" rIns="0" bIns="0" rtlCol="0">
                          <a:prstTxWarp prst="textNoShape">
                            <a:avLst/>
                          </a:prstTxWarp>
                          <a:noAutofit/>
                        </wps:bodyPr>
                      </wps:wsp>
                      <wps:wsp>
                        <wps:cNvPr id="290" name="Graphic 290"/>
                        <wps:cNvSpPr/>
                        <wps:spPr>
                          <a:xfrm>
                            <a:off x="6095" y="544080"/>
                            <a:ext cx="5870575" cy="175260"/>
                          </a:xfrm>
                          <a:custGeom>
                            <a:avLst/>
                            <a:gdLst/>
                            <a:ahLst/>
                            <a:cxnLst/>
                            <a:rect l="l" t="t" r="r" b="b"/>
                            <a:pathLst>
                              <a:path w="5870575" h="175260">
                                <a:moveTo>
                                  <a:pt x="5870447" y="0"/>
                                </a:moveTo>
                                <a:lnTo>
                                  <a:pt x="0" y="0"/>
                                </a:lnTo>
                                <a:lnTo>
                                  <a:pt x="0" y="175259"/>
                                </a:lnTo>
                                <a:lnTo>
                                  <a:pt x="5870447" y="175259"/>
                                </a:lnTo>
                                <a:lnTo>
                                  <a:pt x="5870447" y="0"/>
                                </a:lnTo>
                                <a:close/>
                              </a:path>
                            </a:pathLst>
                          </a:custGeom>
                          <a:solidFill>
                            <a:srgbClr val="D9D9D9"/>
                          </a:solidFill>
                        </wps:spPr>
                        <wps:bodyPr wrap="square" lIns="0" tIns="0" rIns="0" bIns="0" rtlCol="0">
                          <a:prstTxWarp prst="textNoShape">
                            <a:avLst/>
                          </a:prstTxWarp>
                          <a:noAutofit/>
                        </wps:bodyPr>
                      </wps:wsp>
                      <wps:wsp>
                        <wps:cNvPr id="291" name="Graphic 291"/>
                        <wps:cNvSpPr/>
                        <wps:spPr>
                          <a:xfrm>
                            <a:off x="0" y="544067"/>
                            <a:ext cx="5883275" cy="175895"/>
                          </a:xfrm>
                          <a:custGeom>
                            <a:avLst/>
                            <a:gdLst/>
                            <a:ahLst/>
                            <a:cxnLst/>
                            <a:rect l="l" t="t" r="r" b="b"/>
                            <a:pathLst>
                              <a:path w="5883275" h="175895">
                                <a:moveTo>
                                  <a:pt x="6096" y="0"/>
                                </a:moveTo>
                                <a:lnTo>
                                  <a:pt x="0" y="0"/>
                                </a:lnTo>
                                <a:lnTo>
                                  <a:pt x="0" y="175272"/>
                                </a:lnTo>
                                <a:lnTo>
                                  <a:pt x="6096" y="175272"/>
                                </a:lnTo>
                                <a:lnTo>
                                  <a:pt x="6096" y="0"/>
                                </a:lnTo>
                                <a:close/>
                              </a:path>
                              <a:path w="5883275" h="175895">
                                <a:moveTo>
                                  <a:pt x="5882652" y="0"/>
                                </a:moveTo>
                                <a:lnTo>
                                  <a:pt x="5876544" y="0"/>
                                </a:lnTo>
                                <a:lnTo>
                                  <a:pt x="5876544" y="175272"/>
                                </a:lnTo>
                                <a:lnTo>
                                  <a:pt x="5882652" y="175272"/>
                                </a:lnTo>
                                <a:lnTo>
                                  <a:pt x="5882652" y="0"/>
                                </a:lnTo>
                                <a:close/>
                              </a:path>
                            </a:pathLst>
                          </a:custGeom>
                          <a:solidFill>
                            <a:srgbClr val="000000"/>
                          </a:solidFill>
                        </wps:spPr>
                        <wps:bodyPr wrap="square" lIns="0" tIns="0" rIns="0" bIns="0" rtlCol="0">
                          <a:prstTxWarp prst="textNoShape">
                            <a:avLst/>
                          </a:prstTxWarp>
                          <a:noAutofit/>
                        </wps:bodyPr>
                      </wps:wsp>
                      <wps:wsp>
                        <wps:cNvPr id="292" name="Graphic 292"/>
                        <wps:cNvSpPr/>
                        <wps:spPr>
                          <a:xfrm>
                            <a:off x="6095" y="719340"/>
                            <a:ext cx="5870575" cy="251460"/>
                          </a:xfrm>
                          <a:custGeom>
                            <a:avLst/>
                            <a:gdLst/>
                            <a:ahLst/>
                            <a:cxnLst/>
                            <a:rect l="l" t="t" r="r" b="b"/>
                            <a:pathLst>
                              <a:path w="5870575" h="251460">
                                <a:moveTo>
                                  <a:pt x="5870447" y="0"/>
                                </a:moveTo>
                                <a:lnTo>
                                  <a:pt x="0" y="0"/>
                                </a:lnTo>
                                <a:lnTo>
                                  <a:pt x="0" y="251460"/>
                                </a:lnTo>
                                <a:lnTo>
                                  <a:pt x="5870447" y="251460"/>
                                </a:lnTo>
                                <a:lnTo>
                                  <a:pt x="5870447" y="0"/>
                                </a:lnTo>
                                <a:close/>
                              </a:path>
                            </a:pathLst>
                          </a:custGeom>
                          <a:solidFill>
                            <a:srgbClr val="D9D9D9"/>
                          </a:solidFill>
                        </wps:spPr>
                        <wps:bodyPr wrap="square" lIns="0" tIns="0" rIns="0" bIns="0" rtlCol="0">
                          <a:prstTxWarp prst="textNoShape">
                            <a:avLst/>
                          </a:prstTxWarp>
                          <a:noAutofit/>
                        </wps:bodyPr>
                      </wps:wsp>
                      <wps:wsp>
                        <wps:cNvPr id="293" name="Graphic 293"/>
                        <wps:cNvSpPr/>
                        <wps:spPr>
                          <a:xfrm>
                            <a:off x="0" y="719340"/>
                            <a:ext cx="5883275" cy="251460"/>
                          </a:xfrm>
                          <a:custGeom>
                            <a:avLst/>
                            <a:gdLst/>
                            <a:ahLst/>
                            <a:cxnLst/>
                            <a:rect l="l" t="t" r="r" b="b"/>
                            <a:pathLst>
                              <a:path w="5883275" h="251460">
                                <a:moveTo>
                                  <a:pt x="6096" y="0"/>
                                </a:moveTo>
                                <a:lnTo>
                                  <a:pt x="0" y="0"/>
                                </a:lnTo>
                                <a:lnTo>
                                  <a:pt x="0" y="251460"/>
                                </a:lnTo>
                                <a:lnTo>
                                  <a:pt x="6096" y="251460"/>
                                </a:lnTo>
                                <a:lnTo>
                                  <a:pt x="6096" y="0"/>
                                </a:lnTo>
                                <a:close/>
                              </a:path>
                              <a:path w="5883275" h="251460">
                                <a:moveTo>
                                  <a:pt x="5882652" y="0"/>
                                </a:moveTo>
                                <a:lnTo>
                                  <a:pt x="5876544" y="0"/>
                                </a:lnTo>
                                <a:lnTo>
                                  <a:pt x="5876544" y="251460"/>
                                </a:lnTo>
                                <a:lnTo>
                                  <a:pt x="5882652" y="251460"/>
                                </a:lnTo>
                                <a:lnTo>
                                  <a:pt x="5882652" y="0"/>
                                </a:lnTo>
                                <a:close/>
                              </a:path>
                            </a:pathLst>
                          </a:custGeom>
                          <a:solidFill>
                            <a:srgbClr val="000000"/>
                          </a:solidFill>
                        </wps:spPr>
                        <wps:bodyPr wrap="square" lIns="0" tIns="0" rIns="0" bIns="0" rtlCol="0">
                          <a:prstTxWarp prst="textNoShape">
                            <a:avLst/>
                          </a:prstTxWarp>
                          <a:noAutofit/>
                        </wps:bodyPr>
                      </wps:wsp>
                      <wps:wsp>
                        <wps:cNvPr id="294" name="Graphic 294"/>
                        <wps:cNvSpPr/>
                        <wps:spPr>
                          <a:xfrm>
                            <a:off x="6095" y="970800"/>
                            <a:ext cx="5870575" cy="175260"/>
                          </a:xfrm>
                          <a:custGeom>
                            <a:avLst/>
                            <a:gdLst/>
                            <a:ahLst/>
                            <a:cxnLst/>
                            <a:rect l="l" t="t" r="r" b="b"/>
                            <a:pathLst>
                              <a:path w="5870575" h="175260">
                                <a:moveTo>
                                  <a:pt x="5870447" y="0"/>
                                </a:moveTo>
                                <a:lnTo>
                                  <a:pt x="0" y="0"/>
                                </a:lnTo>
                                <a:lnTo>
                                  <a:pt x="0" y="175259"/>
                                </a:lnTo>
                                <a:lnTo>
                                  <a:pt x="5870447" y="175259"/>
                                </a:lnTo>
                                <a:lnTo>
                                  <a:pt x="5870447" y="0"/>
                                </a:lnTo>
                                <a:close/>
                              </a:path>
                            </a:pathLst>
                          </a:custGeom>
                          <a:solidFill>
                            <a:srgbClr val="D9D9D9"/>
                          </a:solidFill>
                        </wps:spPr>
                        <wps:bodyPr wrap="square" lIns="0" tIns="0" rIns="0" bIns="0" rtlCol="0">
                          <a:prstTxWarp prst="textNoShape">
                            <a:avLst/>
                          </a:prstTxWarp>
                          <a:noAutofit/>
                        </wps:bodyPr>
                      </wps:wsp>
                      <wps:wsp>
                        <wps:cNvPr id="295" name="Graphic 295"/>
                        <wps:cNvSpPr/>
                        <wps:spPr>
                          <a:xfrm>
                            <a:off x="0" y="970800"/>
                            <a:ext cx="5883275" cy="175260"/>
                          </a:xfrm>
                          <a:custGeom>
                            <a:avLst/>
                            <a:gdLst/>
                            <a:ahLst/>
                            <a:cxnLst/>
                            <a:rect l="l" t="t" r="r" b="b"/>
                            <a:pathLst>
                              <a:path w="5883275" h="175260">
                                <a:moveTo>
                                  <a:pt x="6096" y="0"/>
                                </a:moveTo>
                                <a:lnTo>
                                  <a:pt x="0" y="0"/>
                                </a:lnTo>
                                <a:lnTo>
                                  <a:pt x="0" y="175260"/>
                                </a:lnTo>
                                <a:lnTo>
                                  <a:pt x="6096" y="175260"/>
                                </a:lnTo>
                                <a:lnTo>
                                  <a:pt x="6096" y="0"/>
                                </a:lnTo>
                                <a:close/>
                              </a:path>
                              <a:path w="5883275" h="175260">
                                <a:moveTo>
                                  <a:pt x="5882652" y="0"/>
                                </a:moveTo>
                                <a:lnTo>
                                  <a:pt x="5876544" y="0"/>
                                </a:lnTo>
                                <a:lnTo>
                                  <a:pt x="5876544" y="175260"/>
                                </a:lnTo>
                                <a:lnTo>
                                  <a:pt x="5882652" y="175260"/>
                                </a:lnTo>
                                <a:lnTo>
                                  <a:pt x="5882652" y="0"/>
                                </a:lnTo>
                                <a:close/>
                              </a:path>
                            </a:pathLst>
                          </a:custGeom>
                          <a:solidFill>
                            <a:srgbClr val="000000"/>
                          </a:solidFill>
                        </wps:spPr>
                        <wps:bodyPr wrap="square" lIns="0" tIns="0" rIns="0" bIns="0" rtlCol="0">
                          <a:prstTxWarp prst="textNoShape">
                            <a:avLst/>
                          </a:prstTxWarp>
                          <a:noAutofit/>
                        </wps:bodyPr>
                      </wps:wsp>
                      <wps:wsp>
                        <wps:cNvPr id="296" name="Graphic 296"/>
                        <wps:cNvSpPr/>
                        <wps:spPr>
                          <a:xfrm>
                            <a:off x="6095" y="1146060"/>
                            <a:ext cx="5870575" cy="251460"/>
                          </a:xfrm>
                          <a:custGeom>
                            <a:avLst/>
                            <a:gdLst/>
                            <a:ahLst/>
                            <a:cxnLst/>
                            <a:rect l="l" t="t" r="r" b="b"/>
                            <a:pathLst>
                              <a:path w="5870575" h="251460">
                                <a:moveTo>
                                  <a:pt x="5870447" y="0"/>
                                </a:moveTo>
                                <a:lnTo>
                                  <a:pt x="0" y="0"/>
                                </a:lnTo>
                                <a:lnTo>
                                  <a:pt x="0" y="251460"/>
                                </a:lnTo>
                                <a:lnTo>
                                  <a:pt x="5870447" y="251460"/>
                                </a:lnTo>
                                <a:lnTo>
                                  <a:pt x="5870447" y="0"/>
                                </a:lnTo>
                                <a:close/>
                              </a:path>
                            </a:pathLst>
                          </a:custGeom>
                          <a:solidFill>
                            <a:srgbClr val="D9D9D9"/>
                          </a:solidFill>
                        </wps:spPr>
                        <wps:bodyPr wrap="square" lIns="0" tIns="0" rIns="0" bIns="0" rtlCol="0">
                          <a:prstTxWarp prst="textNoShape">
                            <a:avLst/>
                          </a:prstTxWarp>
                          <a:noAutofit/>
                        </wps:bodyPr>
                      </wps:wsp>
                      <wps:wsp>
                        <wps:cNvPr id="297" name="Graphic 297"/>
                        <wps:cNvSpPr/>
                        <wps:spPr>
                          <a:xfrm>
                            <a:off x="0" y="1146060"/>
                            <a:ext cx="5883275" cy="251460"/>
                          </a:xfrm>
                          <a:custGeom>
                            <a:avLst/>
                            <a:gdLst/>
                            <a:ahLst/>
                            <a:cxnLst/>
                            <a:rect l="l" t="t" r="r" b="b"/>
                            <a:pathLst>
                              <a:path w="5883275" h="251460">
                                <a:moveTo>
                                  <a:pt x="6096" y="0"/>
                                </a:moveTo>
                                <a:lnTo>
                                  <a:pt x="0" y="0"/>
                                </a:lnTo>
                                <a:lnTo>
                                  <a:pt x="0" y="251460"/>
                                </a:lnTo>
                                <a:lnTo>
                                  <a:pt x="6096" y="251460"/>
                                </a:lnTo>
                                <a:lnTo>
                                  <a:pt x="6096" y="0"/>
                                </a:lnTo>
                                <a:close/>
                              </a:path>
                              <a:path w="5883275" h="251460">
                                <a:moveTo>
                                  <a:pt x="5882652" y="0"/>
                                </a:moveTo>
                                <a:lnTo>
                                  <a:pt x="5876544" y="0"/>
                                </a:lnTo>
                                <a:lnTo>
                                  <a:pt x="5876544" y="251460"/>
                                </a:lnTo>
                                <a:lnTo>
                                  <a:pt x="5882652" y="251460"/>
                                </a:lnTo>
                                <a:lnTo>
                                  <a:pt x="5882652" y="0"/>
                                </a:lnTo>
                                <a:close/>
                              </a:path>
                            </a:pathLst>
                          </a:custGeom>
                          <a:solidFill>
                            <a:srgbClr val="000000"/>
                          </a:solidFill>
                        </wps:spPr>
                        <wps:bodyPr wrap="square" lIns="0" tIns="0" rIns="0" bIns="0" rtlCol="0">
                          <a:prstTxWarp prst="textNoShape">
                            <a:avLst/>
                          </a:prstTxWarp>
                          <a:noAutofit/>
                        </wps:bodyPr>
                      </wps:wsp>
                      <wps:wsp>
                        <wps:cNvPr id="298" name="Graphic 298"/>
                        <wps:cNvSpPr/>
                        <wps:spPr>
                          <a:xfrm>
                            <a:off x="6095" y="1397520"/>
                            <a:ext cx="5870575" cy="186690"/>
                          </a:xfrm>
                          <a:custGeom>
                            <a:avLst/>
                            <a:gdLst/>
                            <a:ahLst/>
                            <a:cxnLst/>
                            <a:rect l="l" t="t" r="r" b="b"/>
                            <a:pathLst>
                              <a:path w="5870575" h="186690">
                                <a:moveTo>
                                  <a:pt x="5870447" y="0"/>
                                </a:moveTo>
                                <a:lnTo>
                                  <a:pt x="0" y="0"/>
                                </a:lnTo>
                                <a:lnTo>
                                  <a:pt x="0" y="186689"/>
                                </a:lnTo>
                                <a:lnTo>
                                  <a:pt x="5870447" y="186689"/>
                                </a:lnTo>
                                <a:lnTo>
                                  <a:pt x="5870447" y="0"/>
                                </a:lnTo>
                                <a:close/>
                              </a:path>
                            </a:pathLst>
                          </a:custGeom>
                          <a:solidFill>
                            <a:srgbClr val="D9D9D9"/>
                          </a:solidFill>
                        </wps:spPr>
                        <wps:bodyPr wrap="square" lIns="0" tIns="0" rIns="0" bIns="0" rtlCol="0">
                          <a:prstTxWarp prst="textNoShape">
                            <a:avLst/>
                          </a:prstTxWarp>
                          <a:noAutofit/>
                        </wps:bodyPr>
                      </wps:wsp>
                      <wps:wsp>
                        <wps:cNvPr id="299" name="Graphic 299"/>
                        <wps:cNvSpPr/>
                        <wps:spPr>
                          <a:xfrm>
                            <a:off x="0" y="1397533"/>
                            <a:ext cx="5883275" cy="186690"/>
                          </a:xfrm>
                          <a:custGeom>
                            <a:avLst/>
                            <a:gdLst/>
                            <a:ahLst/>
                            <a:cxnLst/>
                            <a:rect l="l" t="t" r="r" b="b"/>
                            <a:pathLst>
                              <a:path w="5883275" h="186690">
                                <a:moveTo>
                                  <a:pt x="6096" y="0"/>
                                </a:moveTo>
                                <a:lnTo>
                                  <a:pt x="0" y="0"/>
                                </a:lnTo>
                                <a:lnTo>
                                  <a:pt x="0" y="186677"/>
                                </a:lnTo>
                                <a:lnTo>
                                  <a:pt x="6096" y="186677"/>
                                </a:lnTo>
                                <a:lnTo>
                                  <a:pt x="6096" y="0"/>
                                </a:lnTo>
                                <a:close/>
                              </a:path>
                              <a:path w="5883275" h="186690">
                                <a:moveTo>
                                  <a:pt x="5882652" y="0"/>
                                </a:moveTo>
                                <a:lnTo>
                                  <a:pt x="5876544" y="0"/>
                                </a:lnTo>
                                <a:lnTo>
                                  <a:pt x="5876544" y="186677"/>
                                </a:lnTo>
                                <a:lnTo>
                                  <a:pt x="5882652" y="186677"/>
                                </a:lnTo>
                                <a:lnTo>
                                  <a:pt x="5882652" y="0"/>
                                </a:lnTo>
                                <a:close/>
                              </a:path>
                            </a:pathLst>
                          </a:custGeom>
                          <a:solidFill>
                            <a:srgbClr val="000000"/>
                          </a:solidFill>
                        </wps:spPr>
                        <wps:bodyPr wrap="square" lIns="0" tIns="0" rIns="0" bIns="0" rtlCol="0">
                          <a:prstTxWarp prst="textNoShape">
                            <a:avLst/>
                          </a:prstTxWarp>
                          <a:noAutofit/>
                        </wps:bodyPr>
                      </wps:wsp>
                      <wps:wsp>
                        <wps:cNvPr id="300" name="Graphic 300"/>
                        <wps:cNvSpPr/>
                        <wps:spPr>
                          <a:xfrm>
                            <a:off x="6095" y="1584210"/>
                            <a:ext cx="5870575" cy="175260"/>
                          </a:xfrm>
                          <a:custGeom>
                            <a:avLst/>
                            <a:gdLst/>
                            <a:ahLst/>
                            <a:cxnLst/>
                            <a:rect l="l" t="t" r="r" b="b"/>
                            <a:pathLst>
                              <a:path w="5870575" h="175260">
                                <a:moveTo>
                                  <a:pt x="5870447" y="0"/>
                                </a:moveTo>
                                <a:lnTo>
                                  <a:pt x="0" y="0"/>
                                </a:lnTo>
                                <a:lnTo>
                                  <a:pt x="0" y="175260"/>
                                </a:lnTo>
                                <a:lnTo>
                                  <a:pt x="5870447" y="175260"/>
                                </a:lnTo>
                                <a:lnTo>
                                  <a:pt x="5870447" y="0"/>
                                </a:lnTo>
                                <a:close/>
                              </a:path>
                            </a:pathLst>
                          </a:custGeom>
                          <a:solidFill>
                            <a:srgbClr val="D9D9D9"/>
                          </a:solidFill>
                        </wps:spPr>
                        <wps:bodyPr wrap="square" lIns="0" tIns="0" rIns="0" bIns="0" rtlCol="0">
                          <a:prstTxWarp prst="textNoShape">
                            <a:avLst/>
                          </a:prstTxWarp>
                          <a:noAutofit/>
                        </wps:bodyPr>
                      </wps:wsp>
                      <wps:wsp>
                        <wps:cNvPr id="301" name="Graphic 301"/>
                        <wps:cNvSpPr/>
                        <wps:spPr>
                          <a:xfrm>
                            <a:off x="0" y="1584197"/>
                            <a:ext cx="5883275" cy="175895"/>
                          </a:xfrm>
                          <a:custGeom>
                            <a:avLst/>
                            <a:gdLst/>
                            <a:ahLst/>
                            <a:cxnLst/>
                            <a:rect l="l" t="t" r="r" b="b"/>
                            <a:pathLst>
                              <a:path w="5883275" h="175895">
                                <a:moveTo>
                                  <a:pt x="6096" y="0"/>
                                </a:moveTo>
                                <a:lnTo>
                                  <a:pt x="0" y="0"/>
                                </a:lnTo>
                                <a:lnTo>
                                  <a:pt x="0" y="175272"/>
                                </a:lnTo>
                                <a:lnTo>
                                  <a:pt x="6096" y="175272"/>
                                </a:lnTo>
                                <a:lnTo>
                                  <a:pt x="6096" y="0"/>
                                </a:lnTo>
                                <a:close/>
                              </a:path>
                              <a:path w="5883275" h="175895">
                                <a:moveTo>
                                  <a:pt x="5882652" y="0"/>
                                </a:moveTo>
                                <a:lnTo>
                                  <a:pt x="5876544" y="0"/>
                                </a:lnTo>
                                <a:lnTo>
                                  <a:pt x="5876544" y="175272"/>
                                </a:lnTo>
                                <a:lnTo>
                                  <a:pt x="5882652" y="175272"/>
                                </a:lnTo>
                                <a:lnTo>
                                  <a:pt x="5882652" y="0"/>
                                </a:lnTo>
                                <a:close/>
                              </a:path>
                            </a:pathLst>
                          </a:custGeom>
                          <a:solidFill>
                            <a:srgbClr val="000000"/>
                          </a:solidFill>
                        </wps:spPr>
                        <wps:bodyPr wrap="square" lIns="0" tIns="0" rIns="0" bIns="0" rtlCol="0">
                          <a:prstTxWarp prst="textNoShape">
                            <a:avLst/>
                          </a:prstTxWarp>
                          <a:noAutofit/>
                        </wps:bodyPr>
                      </wps:wsp>
                      <wps:wsp>
                        <wps:cNvPr id="302" name="Graphic 302"/>
                        <wps:cNvSpPr/>
                        <wps:spPr>
                          <a:xfrm>
                            <a:off x="6095" y="1759470"/>
                            <a:ext cx="5870575" cy="174625"/>
                          </a:xfrm>
                          <a:custGeom>
                            <a:avLst/>
                            <a:gdLst/>
                            <a:ahLst/>
                            <a:cxnLst/>
                            <a:rect l="l" t="t" r="r" b="b"/>
                            <a:pathLst>
                              <a:path w="5870575" h="174625">
                                <a:moveTo>
                                  <a:pt x="5870447" y="0"/>
                                </a:moveTo>
                                <a:lnTo>
                                  <a:pt x="0" y="0"/>
                                </a:lnTo>
                                <a:lnTo>
                                  <a:pt x="0" y="174497"/>
                                </a:lnTo>
                                <a:lnTo>
                                  <a:pt x="5870447" y="174497"/>
                                </a:lnTo>
                                <a:lnTo>
                                  <a:pt x="5870447" y="0"/>
                                </a:lnTo>
                                <a:close/>
                              </a:path>
                            </a:pathLst>
                          </a:custGeom>
                          <a:solidFill>
                            <a:srgbClr val="D9D9D9"/>
                          </a:solidFill>
                        </wps:spPr>
                        <wps:bodyPr wrap="square" lIns="0" tIns="0" rIns="0" bIns="0" rtlCol="0">
                          <a:prstTxWarp prst="textNoShape">
                            <a:avLst/>
                          </a:prstTxWarp>
                          <a:noAutofit/>
                        </wps:bodyPr>
                      </wps:wsp>
                      <wps:wsp>
                        <wps:cNvPr id="303" name="Graphic 303"/>
                        <wps:cNvSpPr/>
                        <wps:spPr>
                          <a:xfrm>
                            <a:off x="0" y="1759483"/>
                            <a:ext cx="5883275" cy="174625"/>
                          </a:xfrm>
                          <a:custGeom>
                            <a:avLst/>
                            <a:gdLst/>
                            <a:ahLst/>
                            <a:cxnLst/>
                            <a:rect l="l" t="t" r="r" b="b"/>
                            <a:pathLst>
                              <a:path w="5883275" h="174625">
                                <a:moveTo>
                                  <a:pt x="6096" y="0"/>
                                </a:moveTo>
                                <a:lnTo>
                                  <a:pt x="0" y="0"/>
                                </a:lnTo>
                                <a:lnTo>
                                  <a:pt x="0" y="174485"/>
                                </a:lnTo>
                                <a:lnTo>
                                  <a:pt x="6096" y="174485"/>
                                </a:lnTo>
                                <a:lnTo>
                                  <a:pt x="6096" y="0"/>
                                </a:lnTo>
                                <a:close/>
                              </a:path>
                              <a:path w="5883275" h="174625">
                                <a:moveTo>
                                  <a:pt x="5882652" y="0"/>
                                </a:moveTo>
                                <a:lnTo>
                                  <a:pt x="5876544" y="0"/>
                                </a:lnTo>
                                <a:lnTo>
                                  <a:pt x="5876544" y="174485"/>
                                </a:lnTo>
                                <a:lnTo>
                                  <a:pt x="5882652" y="174485"/>
                                </a:lnTo>
                                <a:lnTo>
                                  <a:pt x="5882652" y="0"/>
                                </a:lnTo>
                                <a:close/>
                              </a:path>
                            </a:pathLst>
                          </a:custGeom>
                          <a:solidFill>
                            <a:srgbClr val="000000"/>
                          </a:solidFill>
                        </wps:spPr>
                        <wps:bodyPr wrap="square" lIns="0" tIns="0" rIns="0" bIns="0" rtlCol="0">
                          <a:prstTxWarp prst="textNoShape">
                            <a:avLst/>
                          </a:prstTxWarp>
                          <a:noAutofit/>
                        </wps:bodyPr>
                      </wps:wsp>
                      <wps:wsp>
                        <wps:cNvPr id="304" name="Graphic 304"/>
                        <wps:cNvSpPr/>
                        <wps:spPr>
                          <a:xfrm>
                            <a:off x="6095" y="1933968"/>
                            <a:ext cx="5870575" cy="175260"/>
                          </a:xfrm>
                          <a:custGeom>
                            <a:avLst/>
                            <a:gdLst/>
                            <a:ahLst/>
                            <a:cxnLst/>
                            <a:rect l="l" t="t" r="r" b="b"/>
                            <a:pathLst>
                              <a:path w="5870575" h="175260">
                                <a:moveTo>
                                  <a:pt x="5870447" y="0"/>
                                </a:moveTo>
                                <a:lnTo>
                                  <a:pt x="0" y="0"/>
                                </a:lnTo>
                                <a:lnTo>
                                  <a:pt x="0" y="175260"/>
                                </a:lnTo>
                                <a:lnTo>
                                  <a:pt x="5870447" y="175260"/>
                                </a:lnTo>
                                <a:lnTo>
                                  <a:pt x="5870447" y="0"/>
                                </a:lnTo>
                                <a:close/>
                              </a:path>
                            </a:pathLst>
                          </a:custGeom>
                          <a:solidFill>
                            <a:srgbClr val="D9D9D9"/>
                          </a:solidFill>
                        </wps:spPr>
                        <wps:bodyPr wrap="square" lIns="0" tIns="0" rIns="0" bIns="0" rtlCol="0">
                          <a:prstTxWarp prst="textNoShape">
                            <a:avLst/>
                          </a:prstTxWarp>
                          <a:noAutofit/>
                        </wps:bodyPr>
                      </wps:wsp>
                      <wps:wsp>
                        <wps:cNvPr id="305" name="Graphic 305"/>
                        <wps:cNvSpPr/>
                        <wps:spPr>
                          <a:xfrm>
                            <a:off x="0" y="1933955"/>
                            <a:ext cx="5883275" cy="175895"/>
                          </a:xfrm>
                          <a:custGeom>
                            <a:avLst/>
                            <a:gdLst/>
                            <a:ahLst/>
                            <a:cxnLst/>
                            <a:rect l="l" t="t" r="r" b="b"/>
                            <a:pathLst>
                              <a:path w="5883275" h="175895">
                                <a:moveTo>
                                  <a:pt x="6096" y="0"/>
                                </a:moveTo>
                                <a:lnTo>
                                  <a:pt x="0" y="0"/>
                                </a:lnTo>
                                <a:lnTo>
                                  <a:pt x="0" y="175272"/>
                                </a:lnTo>
                                <a:lnTo>
                                  <a:pt x="6096" y="175272"/>
                                </a:lnTo>
                                <a:lnTo>
                                  <a:pt x="6096" y="0"/>
                                </a:lnTo>
                                <a:close/>
                              </a:path>
                              <a:path w="5883275" h="175895">
                                <a:moveTo>
                                  <a:pt x="5882652" y="0"/>
                                </a:moveTo>
                                <a:lnTo>
                                  <a:pt x="5876544" y="0"/>
                                </a:lnTo>
                                <a:lnTo>
                                  <a:pt x="5876544" y="175272"/>
                                </a:lnTo>
                                <a:lnTo>
                                  <a:pt x="5882652" y="175272"/>
                                </a:lnTo>
                                <a:lnTo>
                                  <a:pt x="5882652" y="0"/>
                                </a:lnTo>
                                <a:close/>
                              </a:path>
                            </a:pathLst>
                          </a:custGeom>
                          <a:solidFill>
                            <a:srgbClr val="000000"/>
                          </a:solidFill>
                        </wps:spPr>
                        <wps:bodyPr wrap="square" lIns="0" tIns="0" rIns="0" bIns="0" rtlCol="0">
                          <a:prstTxWarp prst="textNoShape">
                            <a:avLst/>
                          </a:prstTxWarp>
                          <a:noAutofit/>
                        </wps:bodyPr>
                      </wps:wsp>
                      <wps:wsp>
                        <wps:cNvPr id="306" name="Graphic 306"/>
                        <wps:cNvSpPr/>
                        <wps:spPr>
                          <a:xfrm>
                            <a:off x="6095" y="2109228"/>
                            <a:ext cx="5870575" cy="251460"/>
                          </a:xfrm>
                          <a:custGeom>
                            <a:avLst/>
                            <a:gdLst/>
                            <a:ahLst/>
                            <a:cxnLst/>
                            <a:rect l="l" t="t" r="r" b="b"/>
                            <a:pathLst>
                              <a:path w="5870575" h="251460">
                                <a:moveTo>
                                  <a:pt x="5870447" y="0"/>
                                </a:moveTo>
                                <a:lnTo>
                                  <a:pt x="0" y="0"/>
                                </a:lnTo>
                                <a:lnTo>
                                  <a:pt x="0" y="251459"/>
                                </a:lnTo>
                                <a:lnTo>
                                  <a:pt x="5870447" y="251459"/>
                                </a:lnTo>
                                <a:lnTo>
                                  <a:pt x="5870447" y="0"/>
                                </a:lnTo>
                                <a:close/>
                              </a:path>
                            </a:pathLst>
                          </a:custGeom>
                          <a:solidFill>
                            <a:srgbClr val="D9D9D9"/>
                          </a:solidFill>
                        </wps:spPr>
                        <wps:bodyPr wrap="square" lIns="0" tIns="0" rIns="0" bIns="0" rtlCol="0">
                          <a:prstTxWarp prst="textNoShape">
                            <a:avLst/>
                          </a:prstTxWarp>
                          <a:noAutofit/>
                        </wps:bodyPr>
                      </wps:wsp>
                      <wps:wsp>
                        <wps:cNvPr id="307" name="Graphic 307"/>
                        <wps:cNvSpPr/>
                        <wps:spPr>
                          <a:xfrm>
                            <a:off x="0" y="2109228"/>
                            <a:ext cx="5883275" cy="251460"/>
                          </a:xfrm>
                          <a:custGeom>
                            <a:avLst/>
                            <a:gdLst/>
                            <a:ahLst/>
                            <a:cxnLst/>
                            <a:rect l="l" t="t" r="r" b="b"/>
                            <a:pathLst>
                              <a:path w="5883275" h="251460">
                                <a:moveTo>
                                  <a:pt x="6096" y="0"/>
                                </a:moveTo>
                                <a:lnTo>
                                  <a:pt x="0" y="0"/>
                                </a:lnTo>
                                <a:lnTo>
                                  <a:pt x="0" y="251460"/>
                                </a:lnTo>
                                <a:lnTo>
                                  <a:pt x="6096" y="251460"/>
                                </a:lnTo>
                                <a:lnTo>
                                  <a:pt x="6096" y="0"/>
                                </a:lnTo>
                                <a:close/>
                              </a:path>
                              <a:path w="5883275" h="251460">
                                <a:moveTo>
                                  <a:pt x="5882652" y="0"/>
                                </a:moveTo>
                                <a:lnTo>
                                  <a:pt x="5876544" y="0"/>
                                </a:lnTo>
                                <a:lnTo>
                                  <a:pt x="5876544" y="251460"/>
                                </a:lnTo>
                                <a:lnTo>
                                  <a:pt x="5882652" y="251460"/>
                                </a:lnTo>
                                <a:lnTo>
                                  <a:pt x="5882652" y="0"/>
                                </a:lnTo>
                                <a:close/>
                              </a:path>
                            </a:pathLst>
                          </a:custGeom>
                          <a:solidFill>
                            <a:srgbClr val="000000"/>
                          </a:solidFill>
                        </wps:spPr>
                        <wps:bodyPr wrap="square" lIns="0" tIns="0" rIns="0" bIns="0" rtlCol="0">
                          <a:prstTxWarp prst="textNoShape">
                            <a:avLst/>
                          </a:prstTxWarp>
                          <a:noAutofit/>
                        </wps:bodyPr>
                      </wps:wsp>
                      <wps:wsp>
                        <wps:cNvPr id="308" name="Textbox 308"/>
                        <wps:cNvSpPr txBox="1"/>
                        <wps:spPr>
                          <a:xfrm>
                            <a:off x="6095" y="6104"/>
                            <a:ext cx="5870575" cy="5957373"/>
                          </a:xfrm>
                          <a:prstGeom prst="rect">
                            <a:avLst/>
                          </a:prstGeom>
                        </wps:spPr>
                        <wps:txbx>
                          <w:txbxContent>
                            <w:p w14:paraId="1A742BE3" w14:textId="77777777" w:rsidR="006C790B" w:rsidRPr="000857D8" w:rsidRDefault="006C790B" w:rsidP="006C790B">
                              <w:pPr>
                                <w:spacing w:before="120"/>
                                <w:ind w:left="108" w:right="106"/>
                                <w:jc w:val="both"/>
                                <w:rPr>
                                  <w:sz w:val="24"/>
                                  <w:lang w:val="sq-AL"/>
                                </w:rPr>
                              </w:pPr>
                              <w:r w:rsidRPr="000857D8">
                                <w:rPr>
                                  <w:sz w:val="24"/>
                                  <w:lang w:val="sq-AL"/>
                                </w:rPr>
                                <w:t xml:space="preserve">Shqipëria është </w:t>
                              </w:r>
                              <w:r w:rsidRPr="000857D8">
                                <w:rPr>
                                  <w:b/>
                                  <w:sz w:val="24"/>
                                  <w:lang w:val="sq-AL"/>
                                </w:rPr>
                                <w:t>mesatarisht e përgatitur</w:t>
                              </w:r>
                              <w:r w:rsidRPr="000857D8">
                                <w:rPr>
                                  <w:sz w:val="24"/>
                                  <w:lang w:val="sq-AL"/>
                                </w:rPr>
                                <w:t xml:space="preserve"> sa i përket politikës rajonale dhe koordinimit të instrumenteve strukturore. Është bërë </w:t>
                              </w:r>
                              <w:r w:rsidRPr="000857D8">
                                <w:rPr>
                                  <w:b/>
                                  <w:sz w:val="24"/>
                                  <w:lang w:val="sq-AL"/>
                                </w:rPr>
                                <w:t>progres i kufizuar</w:t>
                              </w:r>
                              <w:r w:rsidRPr="000857D8">
                                <w:rPr>
                                  <w:sz w:val="24"/>
                                  <w:lang w:val="sq-AL"/>
                                </w:rPr>
                                <w:t xml:space="preserve"> gjatë periudhës raportuese. Megjithatë, vlen të përmendet miratimi në korrik 2022 i legjislacionit zbatues bazuar në Ligjin Shqiptar për zhvillimin dhe kohezionin rajonal me ngritjen e Komitetit Kombëtar për Zhvillimin dhe Kohezionin Rajonal.</w:t>
                              </w:r>
                            </w:p>
                            <w:p w14:paraId="75C46759" w14:textId="2C76069B" w:rsidR="006C790B" w:rsidRPr="000857D8" w:rsidRDefault="004D53EC" w:rsidP="006C790B">
                              <w:pPr>
                                <w:spacing w:before="120"/>
                                <w:ind w:left="506" w:right="106" w:hanging="398"/>
                                <w:jc w:val="both"/>
                                <w:rPr>
                                  <w:sz w:val="24"/>
                                  <w:lang w:val="sq-AL"/>
                                </w:rPr>
                              </w:pPr>
                              <w:r w:rsidRPr="000857D8">
                                <w:rPr>
                                  <w:sz w:val="24"/>
                                  <w:lang w:val="sq-AL"/>
                                </w:rPr>
                                <w:t xml:space="preserve">   </w:t>
                              </w:r>
                              <w:r w:rsidR="006C790B" w:rsidRPr="000857D8">
                                <w:rPr>
                                  <w:sz w:val="24"/>
                                  <w:lang w:val="sq-AL"/>
                                </w:rPr>
                                <w:t xml:space="preserve">Rekomandimet për vitin 2022 mbeten pjesërisht të vlefshme. Në vitin e ardhshëm, vendi duhet në veçanti: </w:t>
                              </w:r>
                            </w:p>
                            <w:p w14:paraId="0ABDB0E7" w14:textId="55AC0F95" w:rsidR="006C790B" w:rsidRPr="000857D8" w:rsidRDefault="006C790B" w:rsidP="006C790B">
                              <w:pPr>
                                <w:spacing w:before="120"/>
                                <w:ind w:left="506" w:right="106" w:hanging="398"/>
                                <w:jc w:val="both"/>
                                <w:rPr>
                                  <w:sz w:val="24"/>
                                  <w:lang w:val="sq-AL"/>
                                </w:rPr>
                              </w:pPr>
                              <w:r w:rsidRPr="000857D8">
                                <w:rPr>
                                  <w:rFonts w:ascii="Symbol" w:hAnsi="Symbol"/>
                                  <w:sz w:val="24"/>
                                  <w:lang w:val="sq-AL"/>
                                </w:rPr>
                                <w:t></w:t>
                              </w:r>
                              <w:r w:rsidR="004D53EC" w:rsidRPr="000857D8">
                                <w:rPr>
                                  <w:spacing w:val="80"/>
                                  <w:sz w:val="24"/>
                                  <w:lang w:val="sq-AL"/>
                                </w:rPr>
                                <w:t xml:space="preserve"> </w:t>
                              </w:r>
                              <w:proofErr w:type="spellStart"/>
                              <w:r w:rsidRPr="000857D8">
                                <w:rPr>
                                  <w:spacing w:val="80"/>
                                  <w:sz w:val="24"/>
                                  <w:lang w:val="sq-AL"/>
                                </w:rPr>
                                <w:t>të</w:t>
                              </w:r>
                              <w:r w:rsidRPr="000857D8">
                                <w:rPr>
                                  <w:sz w:val="24"/>
                                  <w:lang w:val="sq-AL"/>
                                </w:rPr>
                                <w:t>përgatitet</w:t>
                              </w:r>
                              <w:proofErr w:type="spellEnd"/>
                              <w:r w:rsidRPr="000857D8">
                                <w:rPr>
                                  <w:sz w:val="24"/>
                                  <w:lang w:val="sq-AL"/>
                                </w:rPr>
                                <w:t xml:space="preserve"> për zbatimin efektiv të </w:t>
                              </w:r>
                              <w:proofErr w:type="spellStart"/>
                              <w:r w:rsidRPr="000857D8">
                                <w:rPr>
                                  <w:i/>
                                  <w:sz w:val="24"/>
                                  <w:lang w:val="sq-AL"/>
                                </w:rPr>
                                <w:t>acquis</w:t>
                              </w:r>
                              <w:proofErr w:type="spellEnd"/>
                              <w:r w:rsidRPr="000857D8">
                                <w:rPr>
                                  <w:sz w:val="24"/>
                                  <w:lang w:val="sq-AL"/>
                                </w:rPr>
                                <w:t xml:space="preserve"> të BE-së sipas Kapitullit 22, si dhe të marrë parasysh kërkesat e fondeve të ardhshme strukturore dhe të kohezionit në strukturën institucionale dhe në sistemet e menaxhimit financiar dhe kontrollit, duke siguruar që të gjitha instrumentet dhe fondet e saj të bëhen gradualisht në përputhje me kërkesat e BE-së për sa i përket parimeve të programimit dhe të partneritetit; </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43E3BE7" id="Group 283" o:spid="_x0000_s1227" style="position:absolute;left:0;text-align:left;margin-left:60.75pt;margin-top:108.45pt;width:468.25pt;height:469.55pt;z-index:251681792;mso-wrap-distance-left:0;mso-wrap-distance-right:0;mso-position-horizontal-relative:page;mso-width-relative:margin;mso-height-relative:margin" coordsize="58832,59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">
                <v:shape id="Graphic 284" o:spid="_x0000_s1228" style="position:absolute;left:60;top:61;width:58706;height:1879;visibility:visible;mso-wrap-style:square;v-text-anchor:top" coordsize="5870575,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" path="m5870447,l,,,187452r5870447,l5870447,xe" fillcolor="#d9d9d9" stroked="f">
                  <v:path arrowok="t"/>
                </v:shape>
                <v:shape id="Graphic 285" o:spid="_x0000_s1229" style="position:absolute;width:58832;height:1936;visibility:visible;mso-wrap-style:square;v-text-anchor:top" coordsize="58832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" path="m5882652,r-6108,l6096,,,,,6108,,193560r6096,l6096,6108r5870448,l5876544,193560r6108,l5882652,6108r,-6108xe" fillcolor="black" stroked="f">
                  <v:path arrowok="t"/>
                </v:shape>
                <v:shape id="Graphic 286" o:spid="_x0000_s1230" style="position:absolute;left:60;top:1935;width:58706;height:1753;visibility:visible;mso-wrap-style:square;v-text-anchor:top" coordsize="587057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" path="m5870447,l,,,175260r5870447,l5870447,xe" fillcolor="#d9d9d9" stroked="f">
                  <v:path arrowok="t"/>
                </v:shape>
                <v:shape id="Graphic 287" o:spid="_x0000_s1231" style="position:absolute;top:1935;width:58832;height:1753;visibility:visible;mso-wrap-style:square;v-text-anchor:top" coordsize="588327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" path="m6096,l,,,175260r6096,l6096,xem5882652,r-6108,l5876544,175260r6108,l5882652,xe" fillcolor="black" stroked="f">
                  <v:path arrowok="t"/>
                </v:shape>
                <v:shape id="Graphic 288" o:spid="_x0000_s1232" style="position:absolute;left:60;top:3688;width:58706;height:1752;visibility:visible;mso-wrap-style:square;v-text-anchor:top" coordsize="587057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" path="m5870447,l,,,175260r5870447,l5870447,xe" fillcolor="#d9d9d9" stroked="f">
                  <v:path arrowok="t"/>
                </v:shape>
                <v:shape id="Graphic 289" o:spid="_x0000_s1233" style="position:absolute;top:3688;width:58832;height:1752;visibility:visible;mso-wrap-style:square;v-text-anchor:top" coordsize="588327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" path="m6096,l,,,175260r6096,l6096,xem5882652,r-6108,l5876544,175260r6108,l5882652,xe" fillcolor="black" stroked="f">
                  <v:path arrowok="t"/>
                </v:shape>
                <v:shape id="Graphic 290" o:spid="_x0000_s1234" style="position:absolute;left:60;top:5440;width:58706;height:1753;visibility:visible;mso-wrap-style:square;v-text-anchor:top" coordsize="587057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" path="m5870447,l,,,175259r5870447,l5870447,xe" fillcolor="#d9d9d9" stroked="f">
                  <v:path arrowok="t"/>
                </v:shape>
                <v:shape id="Graphic 291" o:spid="_x0000_s1235" style="position:absolute;top:5440;width:58832;height:1759;visibility:visible;mso-wrap-style:square;v-text-anchor:top" coordsize="588327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" path="m6096,l,,,175272r6096,l6096,xem5882652,r-6108,l5876544,175272r6108,l5882652,xe" fillcolor="black" stroked="f">
                  <v:path arrowok="t"/>
                </v:shape>
                <v:shape id="Graphic 292" o:spid="_x0000_s1236" style="position:absolute;left:60;top:7193;width:58706;height:2515;visibility:visible;mso-wrap-style:square;v-text-anchor:top" coordsize="587057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" path="m5870447,l,,,251460r5870447,l5870447,xe" fillcolor="#d9d9d9" stroked="f">
                  <v:path arrowok="t"/>
                </v:shape>
                <v:shape id="Graphic 293" o:spid="_x0000_s1237" style="position:absolute;top:7193;width:58832;height:2515;visibility:visible;mso-wrap-style:square;v-text-anchor:top" coordsize="588327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" path="m6096,l,,,251460r6096,l6096,xem5882652,r-6108,l5876544,251460r6108,l5882652,xe" fillcolor="black" stroked="f">
                  <v:path arrowok="t"/>
                </v:shape>
                <v:shape id="Graphic 294" o:spid="_x0000_s1238" style="position:absolute;left:60;top:9708;width:58706;height:1752;visibility:visible;mso-wrap-style:square;v-text-anchor:top" coordsize="587057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" path="m5870447,l,,,175259r5870447,l5870447,xe" fillcolor="#d9d9d9" stroked="f">
                  <v:path arrowok="t"/>
                </v:shape>
                <v:shape id="Graphic 295" o:spid="_x0000_s1239" style="position:absolute;top:9708;width:58832;height:1752;visibility:visible;mso-wrap-style:square;v-text-anchor:top" coordsize="588327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" path="m6096,l,,,175260r6096,l6096,xem5882652,r-6108,l5876544,175260r6108,l5882652,xe" fillcolor="black" stroked="f">
                  <v:path arrowok="t"/>
                </v:shape>
                <v:shape id="Graphic 296" o:spid="_x0000_s1240" style="position:absolute;left:60;top:11460;width:58706;height:2515;visibility:visible;mso-wrap-style:square;v-text-anchor:top" coordsize="587057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" path="m5870447,l,,,251460r5870447,l5870447,xe" fillcolor="#d9d9d9" stroked="f">
                  <v:path arrowok="t"/>
                </v:shape>
                <v:shape id="Graphic 297" o:spid="_x0000_s1241" style="position:absolute;top:11460;width:58832;height:2515;visibility:visible;mso-wrap-style:square;v-text-anchor:top" coordsize="588327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" path="m6096,l,,,251460r6096,l6096,xem5882652,r-6108,l5876544,251460r6108,l5882652,xe" fillcolor="black" stroked="f">
                  <v:path arrowok="t"/>
                </v:shape>
                <v:shape id="Graphic 298" o:spid="_x0000_s1242" style="position:absolute;left:60;top:13975;width:58706;height:1867;visibility:visible;mso-wrap-style:square;v-text-anchor:top" coordsize="5870575,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" path="m5870447,l,,,186689r5870447,l5870447,xe" fillcolor="#d9d9d9" stroked="f">
                  <v:path arrowok="t"/>
                </v:shape>
                <v:shape id="Graphic 299" o:spid="_x0000_s1243" style="position:absolute;top:13975;width:58832;height:1867;visibility:visible;mso-wrap-style:square;v-text-anchor:top" coordsize="5883275,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" path="m6096,l,,,186677r6096,l6096,xem5882652,r-6108,l5876544,186677r6108,l5882652,xe" fillcolor="black" stroked="f">
                  <v:path arrowok="t"/>
                </v:shape>
                <v:shape id="Graphic 300" o:spid="_x0000_s1244" style="position:absolute;left:60;top:15842;width:58706;height:1752;visibility:visible;mso-wrap-style:square;v-text-anchor:top" coordsize="587057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" path="m5870447,l,,,175260r5870447,l5870447,xe" fillcolor="#d9d9d9" stroked="f">
                  <v:path arrowok="t"/>
                </v:shape>
                <v:shape id="Graphic 301" o:spid="_x0000_s1245" style="position:absolute;top:15841;width:58832;height:1759;visibility:visible;mso-wrap-style:square;v-text-anchor:top" coordsize="588327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" path="m6096,l,,,175272r6096,l6096,xem5882652,r-6108,l5876544,175272r6108,l5882652,xe" fillcolor="black" stroked="f">
                  <v:path arrowok="t"/>
                </v:shape>
                <v:shape id="Graphic 302" o:spid="_x0000_s1246" style="position:absolute;left:60;top:17594;width:58706;height:1746;visibility:visible;mso-wrap-style:square;v-text-anchor:top" coordsize="587057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" path="m5870447,l,,,174497r5870447,l5870447,xe" fillcolor="#d9d9d9" stroked="f">
                  <v:path arrowok="t"/>
                </v:shape>
                <v:shape id="Graphic 303" o:spid="_x0000_s1247" style="position:absolute;top:17594;width:58832;height:1747;visibility:visible;mso-wrap-style:square;v-text-anchor:top" coordsize="588327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" path="m6096,l,,,174485r6096,l6096,xem5882652,r-6108,l5876544,174485r6108,l5882652,xe" fillcolor="black" stroked="f">
                  <v:path arrowok="t"/>
                </v:shape>
                <v:shape id="Graphic 304" o:spid="_x0000_s1248" style="position:absolute;left:60;top:19339;width:58706;height:1753;visibility:visible;mso-wrap-style:square;v-text-anchor:top" coordsize="587057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" path="m5870447,l,,,175260r5870447,l5870447,xe" fillcolor="#d9d9d9" stroked="f">
                  <v:path arrowok="t"/>
                </v:shape>
                <v:shape id="Graphic 305" o:spid="_x0000_s1249" style="position:absolute;top:19339;width:58832;height:1759;visibility:visible;mso-wrap-style:square;v-text-anchor:top" coordsize="588327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" path="m6096,l,,,175272r6096,l6096,xem5882652,r-6108,l5876544,175272r6108,l5882652,xe" fillcolor="black" stroked="f">
                  <v:path arrowok="t"/>
                </v:shape>
                <v:shape id="Graphic 306" o:spid="_x0000_s1250" style="position:absolute;left:60;top:21092;width:58706;height:2514;visibility:visible;mso-wrap-style:square;v-text-anchor:top" coordsize="587057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" path="m5870447,l,,,251459r5870447,l5870447,xe" fillcolor="#d9d9d9" stroked="f">
                  <v:path arrowok="t"/>
                </v:shape>
                <v:shape id="Graphic 307" o:spid="_x0000_s1251" style="position:absolute;top:21092;width:58832;height:2514;visibility:visible;mso-wrap-style:square;v-text-anchor:top" coordsize="588327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" path="m6096,l,,,251460r6096,l6096,xem5882652,r-6108,l5876544,251460r6108,l5882652,xe" fillcolor="black" stroked="f">
                  <v:path arrowok="t"/>
                </v:shape>
                <v:shape id="Textbox 308" o:spid="_x0000_s1252" type="#_x0000_t202" style="position:absolute;left:60;top:61;width:58706;height:59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DMIwQAAANwAAAAPAAAAZHJzL2Rvd25yZXYueG1sRE/Pa8Iw&#10;FL4P/B/CE3abiRvI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DJsMwjBAAAA3AAAAA8AAAAA&#10;AAAAAAAAAAAABwIAAGRycy9kb3ducmV2LnhtbFBLBQYAAAAAAwADALcAAAD1AgAAAAA=&#10;" filled="f" stroked="f">
                  <v:textbox inset="0,0,0,0">
                    <w:txbxContent>
                      <w:p w14:paraId="1A742BE3" w14:textId="77777777" w:rsidR="006C790B" w:rsidRPr="000857D8" w:rsidRDefault="006C790B" w:rsidP="006C790B">
                        <w:pPr>
                          <w:spacing w:before="120"/>
                          <w:ind w:left="108" w:right="106"/>
                          <w:jc w:val="both"/>
                          <w:rPr>
                            <w:sz w:val="24"/>
                            <w:lang w:val="sq-AL"/>
                          </w:rPr>
                        </w:pPr>
                        <w:r w:rsidRPr="000857D8">
                          <w:rPr>
                            <w:sz w:val="24"/>
                            <w:lang w:val="sq-AL"/>
                          </w:rPr>
                          <w:t xml:space="preserve">Shqipëria është </w:t>
                        </w:r>
                        <w:r w:rsidRPr="000857D8">
                          <w:rPr>
                            <w:b/>
                            <w:sz w:val="24"/>
                            <w:lang w:val="sq-AL"/>
                          </w:rPr>
                          <w:t>mesatarisht e përgatitur</w:t>
                        </w:r>
                        <w:r w:rsidRPr="000857D8">
                          <w:rPr>
                            <w:sz w:val="24"/>
                            <w:lang w:val="sq-AL"/>
                          </w:rPr>
                          <w:t xml:space="preserve"> sa i përket politikës rajonale dhe koordinimit të instrumenteve strukturore. Është bërë </w:t>
                        </w:r>
                        <w:r w:rsidRPr="000857D8">
                          <w:rPr>
                            <w:b/>
                            <w:sz w:val="24"/>
                            <w:lang w:val="sq-AL"/>
                          </w:rPr>
                          <w:t>progres i kufizuar</w:t>
                        </w:r>
                        <w:r w:rsidRPr="000857D8">
                          <w:rPr>
                            <w:sz w:val="24"/>
                            <w:lang w:val="sq-AL"/>
                          </w:rPr>
                          <w:t xml:space="preserve"> gjatë periudhës raportuese. Megjithatë, vlen të përmendet miratimi në korrik 2022 i legjislacionit zbatues bazuar në Ligjin Shqiptar për zhvillimin dhe kohezionin rajonal me ngritjen e Komitetit Kombëtar për Zhvillimin dhe Kohezionin Rajonal.</w:t>
                        </w:r>
                      </w:p>
                      <w:p w14:paraId="75C46759" w14:textId="2C76069B" w:rsidR="006C790B" w:rsidRPr="000857D8" w:rsidRDefault="004D53EC" w:rsidP="006C790B">
                        <w:pPr>
                          <w:spacing w:before="120"/>
                          <w:ind w:left="506" w:right="106" w:hanging="398"/>
                          <w:jc w:val="both"/>
                          <w:rPr>
                            <w:sz w:val="24"/>
                            <w:lang w:val="sq-AL"/>
                          </w:rPr>
                        </w:pPr>
                        <w:r w:rsidRPr="000857D8">
                          <w:rPr>
                            <w:sz w:val="24"/>
                            <w:lang w:val="sq-AL"/>
                          </w:rPr>
                          <w:t xml:space="preserve">   </w:t>
                        </w:r>
                        <w:r w:rsidR="006C790B" w:rsidRPr="000857D8">
                          <w:rPr>
                            <w:sz w:val="24"/>
                            <w:lang w:val="sq-AL"/>
                          </w:rPr>
                          <w:t xml:space="preserve">Rekomandimet për vitin 2022 mbeten pjesërisht të vlefshme. Në vitin e ardhshëm, vendi duhet në veçanti: </w:t>
                        </w:r>
                      </w:p>
                      <w:p w14:paraId="0ABDB0E7" w14:textId="55AC0F95" w:rsidR="006C790B" w:rsidRPr="000857D8" w:rsidRDefault="006C790B" w:rsidP="006C790B">
                        <w:pPr>
                          <w:spacing w:before="120"/>
                          <w:ind w:left="506" w:right="106" w:hanging="398"/>
                          <w:jc w:val="both"/>
                          <w:rPr>
                            <w:sz w:val="24"/>
                            <w:lang w:val="sq-AL"/>
                          </w:rPr>
                        </w:pPr>
                        <w:r w:rsidRPr="000857D8">
                          <w:rPr>
                            <w:rFonts w:ascii="Symbol" w:hAnsi="Symbol"/>
                            <w:sz w:val="24"/>
                            <w:lang w:val="sq-AL"/>
                          </w:rPr>
                          <w:t></w:t>
                        </w:r>
                        <w:r w:rsidR="004D53EC" w:rsidRPr="000857D8">
                          <w:rPr>
                            <w:spacing w:val="80"/>
                            <w:sz w:val="24"/>
                            <w:lang w:val="sq-AL"/>
                          </w:rPr>
                          <w:t xml:space="preserve"> </w:t>
                        </w:r>
                        <w:proofErr w:type="spellStart"/>
                        <w:r w:rsidRPr="000857D8">
                          <w:rPr>
                            <w:spacing w:val="80"/>
                            <w:sz w:val="24"/>
                            <w:lang w:val="sq-AL"/>
                          </w:rPr>
                          <w:t>të</w:t>
                        </w:r>
                        <w:r w:rsidRPr="000857D8">
                          <w:rPr>
                            <w:sz w:val="24"/>
                            <w:lang w:val="sq-AL"/>
                          </w:rPr>
                          <w:t>përgatitet</w:t>
                        </w:r>
                        <w:proofErr w:type="spellEnd"/>
                        <w:r w:rsidRPr="000857D8">
                          <w:rPr>
                            <w:sz w:val="24"/>
                            <w:lang w:val="sq-AL"/>
                          </w:rPr>
                          <w:t xml:space="preserve"> për zbatimin efektiv të </w:t>
                        </w:r>
                        <w:proofErr w:type="spellStart"/>
                        <w:r w:rsidRPr="000857D8">
                          <w:rPr>
                            <w:i/>
                            <w:sz w:val="24"/>
                            <w:lang w:val="sq-AL"/>
                          </w:rPr>
                          <w:t>acquis</w:t>
                        </w:r>
                        <w:proofErr w:type="spellEnd"/>
                        <w:r w:rsidRPr="000857D8">
                          <w:rPr>
                            <w:sz w:val="24"/>
                            <w:lang w:val="sq-AL"/>
                          </w:rPr>
                          <w:t xml:space="preserve"> të BE-së sipas Kapitullit 22, si dhe të marrë parasysh kërkesat e fondeve të ardhshme strukturore dhe të kohezionit në strukturën institucionale dhe në sistemet e menaxhimit financiar dhe kontrollit, duke siguruar që të gjitha instrumentet dhe fondet e saj të bëhen gradualisht në përputhje me kërkesat e BE-së për sa i përket parimeve të programimit dhe të partneritetit; </w:t>
                        </w:r>
                      </w:p>
                    </w:txbxContent>
                  </v:textbox>
                </v:shape>
                <w10:wrap anchorx="page"/>
              </v:group>
            </w:pict>
          </mc:Fallback>
        </mc:AlternateContent>
      </w:r>
    </w:p>
    <w:p w14:paraId="4D7164CE" w14:textId="77777777" w:rsidR="006C790B" w:rsidRPr="004D53EC" w:rsidRDefault="006C790B" w:rsidP="006C790B">
      <w:pPr>
        <w:jc w:val="both"/>
        <w:rPr>
          <w:sz w:val="24"/>
          <w:lang w:val="sq-AL"/>
        </w:rPr>
      </w:pPr>
    </w:p>
    <w:p w14:paraId="12351778" w14:textId="77777777" w:rsidR="006C790B" w:rsidRPr="004D53EC" w:rsidRDefault="006C790B" w:rsidP="006C790B">
      <w:pPr>
        <w:jc w:val="both"/>
        <w:rPr>
          <w:sz w:val="24"/>
          <w:lang w:val="sq-AL"/>
        </w:rPr>
        <w:sectPr w:rsidR="006C790B" w:rsidRPr="004D53EC">
          <w:footerReference w:type="default" r:id="rId20"/>
          <w:pgSz w:w="11910" w:h="16840"/>
          <w:pgMar w:top="1360" w:right="460" w:bottom="1480" w:left="460" w:header="0" w:footer="1248" w:gutter="0"/>
          <w:cols w:space="720"/>
        </w:sectPr>
      </w:pP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4"/>
      </w:tblGrid>
      <w:tr w:rsidR="006C790B" w:rsidRPr="004D53EC" w14:paraId="34566813" w14:textId="77777777" w:rsidTr="005760FF">
        <w:trPr>
          <w:trHeight w:val="2381"/>
        </w:trPr>
        <w:tc>
          <w:tcPr>
            <w:tcW w:w="9254" w:type="dxa"/>
            <w:tcBorders>
              <w:top w:val="nil"/>
            </w:tcBorders>
            <w:shd w:val="clear" w:color="auto" w:fill="D9D9D9"/>
          </w:tcPr>
          <w:p w14:paraId="19D207E6" w14:textId="77777777" w:rsidR="006C790B" w:rsidRPr="004D53EC" w:rsidRDefault="006C790B" w:rsidP="005760FF">
            <w:pPr>
              <w:spacing w:before="118"/>
              <w:ind w:left="511" w:right="103" w:hanging="398"/>
              <w:jc w:val="both"/>
              <w:rPr>
                <w:sz w:val="24"/>
                <w:lang w:val="sq-AL"/>
              </w:rPr>
            </w:pPr>
            <w:r w:rsidRPr="004D53EC">
              <w:rPr>
                <w:rFonts w:ascii="Symbol" w:hAnsi="Symbol"/>
                <w:sz w:val="24"/>
                <w:lang w:val="sq-AL"/>
              </w:rPr>
              <w:lastRenderedPageBreak/>
              <w:t></w:t>
            </w:r>
            <w:r w:rsidRPr="004D53EC">
              <w:rPr>
                <w:rFonts w:ascii="Symbol" w:hAnsi="Symbol"/>
                <w:sz w:val="24"/>
                <w:lang w:val="sq-AL"/>
              </w:rPr>
              <w:t></w:t>
            </w:r>
            <w:r w:rsidRPr="004D53EC">
              <w:rPr>
                <w:rFonts w:ascii="Symbol" w:hAnsi="Symbol"/>
                <w:sz w:val="24"/>
                <w:lang w:val="sq-AL"/>
              </w:rPr>
              <w:t></w:t>
            </w:r>
            <w:r w:rsidRPr="004D53EC">
              <w:rPr>
                <w:sz w:val="24"/>
                <w:lang w:val="sq-AL"/>
              </w:rPr>
              <w:t>të zbatojë strategjisë kombëtare për zhvillimin dhe kohezionin rajonal (2021-2027) dhe plotësimin e planeve të zhvillimit rajonal (2021-2024). Këto dy masa duhet të nxisin potencialin zhvillimor nëpërmjet ndërhyrjes së decentralizuar të bazuar në plane dhe strategji të integruara lokale dhe/ose rajonale;</w:t>
            </w:r>
          </w:p>
          <w:p w14:paraId="2985C9F7" w14:textId="77777777" w:rsidR="006C790B" w:rsidRPr="004D53EC" w:rsidRDefault="006C790B" w:rsidP="005760FF">
            <w:pPr>
              <w:spacing w:before="118"/>
              <w:ind w:left="511" w:right="103" w:hanging="398"/>
              <w:jc w:val="both"/>
              <w:rPr>
                <w:sz w:val="24"/>
                <w:lang w:val="sq-AL"/>
              </w:rPr>
            </w:pPr>
            <w:r w:rsidRPr="004D53EC">
              <w:rPr>
                <w:rFonts w:ascii="Symbol" w:hAnsi="Symbol"/>
                <w:sz w:val="24"/>
                <w:lang w:val="sq-AL"/>
              </w:rPr>
              <w:t></w:t>
            </w:r>
            <w:r w:rsidRPr="004D53EC">
              <w:rPr>
                <w:sz w:val="24"/>
                <w:lang w:val="sq-AL"/>
              </w:rPr>
              <w:t xml:space="preserve"> të qartësojë përgjegjësitë ndërmjet autoriteteve qendrore dhe lokale, dhe të forcojë më tej kapacitetet administrative në organet qendrore, rajonale dhe lokale, duke siguruar plotësim të përshtatshëm të personelit, dhe rishikimin e strukturës së pagave të pushtetit vendor dhe decentralizimi fiskal të shihet me përparësi. </w:t>
            </w:r>
          </w:p>
          <w:p w14:paraId="0CA1C02E" w14:textId="77777777" w:rsidR="006C790B" w:rsidRPr="004D53EC" w:rsidRDefault="006C790B" w:rsidP="005760FF">
            <w:pPr>
              <w:spacing w:line="270" w:lineRule="atLeast"/>
              <w:ind w:left="511" w:right="102"/>
              <w:jc w:val="both"/>
              <w:rPr>
                <w:sz w:val="24"/>
                <w:lang w:val="sq-AL"/>
              </w:rPr>
            </w:pPr>
          </w:p>
        </w:tc>
      </w:tr>
    </w:tbl>
    <w:p w14:paraId="71E35FB1" w14:textId="77777777" w:rsidR="006C790B" w:rsidRPr="004D53EC" w:rsidRDefault="006C790B" w:rsidP="006C790B">
      <w:pPr>
        <w:pStyle w:val="BodyText"/>
        <w:ind w:left="979"/>
        <w:rPr>
          <w:lang w:val="sq-AL"/>
        </w:rPr>
      </w:pPr>
      <w:r w:rsidRPr="004D53EC">
        <w:rPr>
          <w:lang w:val="sq-AL"/>
        </w:rPr>
        <w:t xml:space="preserve">Sa i takon </w:t>
      </w:r>
      <w:r w:rsidRPr="004D53EC">
        <w:rPr>
          <w:b/>
          <w:lang w:val="sq-AL"/>
        </w:rPr>
        <w:t xml:space="preserve">kuadrit legjislativ </w:t>
      </w:r>
      <w:r w:rsidRPr="004D53EC">
        <w:rPr>
          <w:lang w:val="sq-AL"/>
        </w:rPr>
        <w:t>për politikën rajonale, legjislacioni zbatues u miratua në korrik 2022 në lidhje me krijimin, organizimin dhe rregullat e funksionimit të Komitetit Kombëtar për Zhvillimin Rajonal dhe Kohezionin nga zyra e Kryeministrit.</w:t>
      </w:r>
    </w:p>
    <w:p w14:paraId="3ADAEB62" w14:textId="77777777" w:rsidR="006C790B" w:rsidRPr="004D53EC" w:rsidRDefault="006C790B" w:rsidP="006C790B">
      <w:pPr>
        <w:pStyle w:val="BodyText"/>
        <w:ind w:left="979"/>
        <w:rPr>
          <w:lang w:val="sq-AL"/>
        </w:rPr>
      </w:pPr>
      <w:r w:rsidRPr="004D53EC">
        <w:rPr>
          <w:lang w:val="sq-AL"/>
        </w:rPr>
        <w:t>Ligji për zhvillimin dhe kohezionin rajonal e ndan territorin e Shqipërisë në katër rajone zhvillimi, ku secili prej tyre mbulon tre qarqe. Duhet të bëhen përpjekje për hartimin e planeve kombëtare dhe rajonale (2021-2024) si pjesë e strategjisë kombëtare për zhvillimin rajonal (2021-2027).</w:t>
      </w:r>
    </w:p>
    <w:p w14:paraId="7B84DF99" w14:textId="77777777" w:rsidR="006C790B" w:rsidRPr="004D53EC" w:rsidRDefault="006C790B" w:rsidP="006C790B">
      <w:pPr>
        <w:pStyle w:val="BodyText"/>
        <w:ind w:left="979"/>
        <w:rPr>
          <w:lang w:val="sq-AL"/>
        </w:rPr>
      </w:pPr>
      <w:r w:rsidRPr="004D53EC">
        <w:rPr>
          <w:lang w:val="sq-AL"/>
        </w:rPr>
        <w:t xml:space="preserve">Fondi Shqiptar i Zhvillimit (FSHZH) është përgjegjës për zbatimin e ligjit për zhvillimin rajonal. Ai ka gjithashtu mandat të përgatisë planin kombëtar për zhvillimin rajonal, si dhe planet rajonale për katër rajonet e zhvillimit, që do të zbatohen nëpërmjet një programi </w:t>
      </w:r>
      <w:proofErr w:type="spellStart"/>
      <w:r w:rsidRPr="004D53EC">
        <w:rPr>
          <w:lang w:val="sq-AL"/>
        </w:rPr>
        <w:t>operacional</w:t>
      </w:r>
      <w:proofErr w:type="spellEnd"/>
      <w:r w:rsidRPr="004D53EC">
        <w:rPr>
          <w:lang w:val="sq-AL"/>
        </w:rPr>
        <w:t xml:space="preserve"> kombëtar për zhvillimin rajonal me autoritet </w:t>
      </w:r>
      <w:proofErr w:type="spellStart"/>
      <w:r w:rsidRPr="004D53EC">
        <w:rPr>
          <w:lang w:val="sq-AL"/>
        </w:rPr>
        <w:t>menaxhues</w:t>
      </w:r>
      <w:proofErr w:type="spellEnd"/>
      <w:r w:rsidRPr="004D53EC">
        <w:rPr>
          <w:lang w:val="sq-AL"/>
        </w:rPr>
        <w:t xml:space="preserve"> FSHZH-në.</w:t>
      </w:r>
    </w:p>
    <w:p w14:paraId="3382D7FC" w14:textId="77777777" w:rsidR="006C790B" w:rsidRPr="004D53EC" w:rsidRDefault="006C790B" w:rsidP="006C790B">
      <w:pPr>
        <w:pStyle w:val="BodyText"/>
        <w:spacing w:before="121"/>
        <w:ind w:left="979" w:right="977"/>
        <w:rPr>
          <w:lang w:val="sq-AL"/>
        </w:rPr>
      </w:pPr>
      <w:r w:rsidRPr="004D53EC">
        <w:rPr>
          <w:lang w:val="sq-AL"/>
        </w:rPr>
        <w:t>Në</w:t>
      </w:r>
      <w:r w:rsidRPr="004D53EC">
        <w:rPr>
          <w:b/>
          <w:lang w:val="sq-AL"/>
        </w:rPr>
        <w:t xml:space="preserve"> kuadrin institucional</w:t>
      </w:r>
      <w:r w:rsidRPr="004D53EC">
        <w:rPr>
          <w:lang w:val="sq-AL"/>
        </w:rPr>
        <w:t>, aktet nënligjore përkatëse për krijimin e një sistemi gjithëpërfshirës të zhvillimit rajonal duhet të pasqyrojnë rolin dhe përgjegjësitë e secilit prej organeve të përfshira dhe të sigurojnë koordinimin ndërmjet tyre. U krijua një grup pune ndërinstitucional për negociatat e Kapitullit 22, i kryesuar nga Ministria e Brendshme. Autoritetet duhet të forcojnë dialogun e politikave rajonale duke e bërë atë më gjithëpërfshirës dhe duke përmirësuar koordinimin ndërmjet ministrive dhe qeverive vendore autonome. Kapaciteti për të menaxhuar fondet publike në nivel lokal duhet të forcohet. (Shih më lart Kriteret Politike - Qeverisja).</w:t>
      </w:r>
    </w:p>
    <w:p w14:paraId="3DA4AB80" w14:textId="77777777" w:rsidR="006C790B" w:rsidRPr="004D53EC" w:rsidRDefault="006C790B" w:rsidP="006C790B">
      <w:pPr>
        <w:pStyle w:val="BodyText"/>
        <w:spacing w:before="121"/>
        <w:ind w:left="979" w:right="977"/>
        <w:rPr>
          <w:lang w:val="sq-AL"/>
        </w:rPr>
      </w:pPr>
      <w:r w:rsidRPr="004D53EC">
        <w:rPr>
          <w:lang w:val="sq-AL"/>
        </w:rPr>
        <w:t>Shqipëria gjithashtu duhet të trajtojë çështjet e planifikimit strategjik, zbatimin dhe kapacitetin monitorues për projektet e infrastrukturës të financuara nga fondi i investimeve të Ballkanit Perëndimor (WBIF) në kuadër të planit ekonomik dhe të investimeve (EIP).</w:t>
      </w:r>
    </w:p>
    <w:p w14:paraId="715415E1" w14:textId="77777777" w:rsidR="006C790B" w:rsidRPr="004D53EC" w:rsidRDefault="006C790B" w:rsidP="006C790B">
      <w:pPr>
        <w:pStyle w:val="BodyText"/>
        <w:ind w:left="979"/>
        <w:rPr>
          <w:lang w:val="sq-AL"/>
        </w:rPr>
      </w:pPr>
      <w:r w:rsidRPr="004D53EC">
        <w:rPr>
          <w:lang w:val="sq-AL"/>
        </w:rPr>
        <w:t xml:space="preserve">Për </w:t>
      </w:r>
      <w:r w:rsidRPr="004D53EC">
        <w:rPr>
          <w:b/>
          <w:lang w:val="sq-AL"/>
        </w:rPr>
        <w:t>kapacitetet administrative,</w:t>
      </w:r>
      <w:r w:rsidRPr="004D53EC">
        <w:rPr>
          <w:lang w:val="sq-AL"/>
        </w:rPr>
        <w:t xml:space="preserve"> stafi i organeve të përfshira në menaxhimin indirekt duhet të vazhdojë të marrë trajnime, veçanërisht ato që janë të reja në menaxhimin e fondeve të BE-së. Forcimi i burimeve njerëzore duhet të jetë në fokus, së bashku me një politikë adekuate të mbajtjes së stafit. Ka një përmirësim të kapacitetit administrativ për koordinimin dhe monitorimin e reformës sektoriale nëpërmjet grupeve të integruara të menaxhimit të politikave dhe komiteteve drejtuese sektoriale. Përfshirja e partnerëve të zhvillimit, qeverive vendore dhe organizatave të shoqërisë civile në dialogun sektorial ka ende nevojë për përmirësim.</w:t>
      </w:r>
    </w:p>
    <w:p w14:paraId="41D84469" w14:textId="77777777" w:rsidR="006C790B" w:rsidRPr="004D53EC" w:rsidRDefault="006C790B" w:rsidP="006C790B">
      <w:pPr>
        <w:pStyle w:val="BodyText"/>
        <w:spacing w:before="62"/>
        <w:ind w:right="979"/>
        <w:rPr>
          <w:sz w:val="10"/>
          <w:lang w:val="sq-AL"/>
        </w:rPr>
      </w:pPr>
    </w:p>
    <w:p w14:paraId="20C54ABC" w14:textId="77777777" w:rsidR="006C790B" w:rsidRPr="004D53EC" w:rsidRDefault="006C790B" w:rsidP="006C790B">
      <w:pPr>
        <w:pStyle w:val="BodyText"/>
        <w:spacing w:before="62"/>
        <w:ind w:right="979"/>
        <w:rPr>
          <w:lang w:val="sq-AL"/>
        </w:rPr>
      </w:pPr>
      <w:r w:rsidRPr="004D53EC">
        <w:rPr>
          <w:lang w:val="sq-AL"/>
        </w:rPr>
        <w:t xml:space="preserve">Sa i përket </w:t>
      </w:r>
      <w:r w:rsidRPr="004D53EC">
        <w:rPr>
          <w:b/>
          <w:lang w:val="sq-AL"/>
        </w:rPr>
        <w:t>programimit</w:t>
      </w:r>
      <w:r w:rsidRPr="004D53EC">
        <w:rPr>
          <w:lang w:val="sq-AL"/>
        </w:rPr>
        <w:t>, përpjekjet duhet të vazhdojnë për të zhvilluar kapacitetin autonom të programimit për periudhën në vijim. Në dhjetor 2022, u miratua një vendim për të harmonizuar prioritetet strategjike dhe buxhetin afatmesëm. Mbetet për t'u miratuar projekti i vetëm kombëtar i investimeve, duke përfshirë zhvillimin rajonal. Një element kyç për zhvillimin rajonal do të jetë sigurimi i pronësisë nga organet publike dhe private në nivel kombëtar dhe rajonal.</w:t>
      </w:r>
    </w:p>
    <w:p w14:paraId="4BD0D8ED" w14:textId="77777777" w:rsidR="006C790B" w:rsidRPr="004D53EC" w:rsidRDefault="006C790B" w:rsidP="006C790B">
      <w:pPr>
        <w:pStyle w:val="BodyText"/>
        <w:spacing w:before="62"/>
        <w:ind w:right="979"/>
        <w:rPr>
          <w:lang w:val="sq-AL"/>
        </w:rPr>
      </w:pPr>
      <w:r w:rsidRPr="004D53EC">
        <w:rPr>
          <w:lang w:val="sq-AL"/>
        </w:rPr>
        <w:t xml:space="preserve">Shqipëria vazhdon të fitojë përvojë në programimin dhe zbatimin e bashkëpunimit të politikave rajonale nëpërmjet pjesëmarrjes në programet e bashkëpunimit ndërkufitar, ndërkombëtar dhe ndër-rajonal. Shqipëria merr pjesë në strategjinë e BE-së për rajonin e Adriatikut dhe Jonit </w:t>
      </w:r>
      <w:r w:rsidRPr="004D53EC">
        <w:rPr>
          <w:lang w:val="sq-AL"/>
        </w:rPr>
        <w:lastRenderedPageBreak/>
        <w:t xml:space="preserve">(EUSAIR), i cili promovon bashkëpunimin dhe </w:t>
      </w:r>
      <w:proofErr w:type="spellStart"/>
      <w:r w:rsidRPr="004D53EC">
        <w:rPr>
          <w:lang w:val="sq-AL"/>
        </w:rPr>
        <w:t>sinergjitë</w:t>
      </w:r>
      <w:proofErr w:type="spellEnd"/>
      <w:r w:rsidRPr="004D53EC">
        <w:rPr>
          <w:lang w:val="sq-AL"/>
        </w:rPr>
        <w:t xml:space="preserve"> midis vendeve pjesëmarrëse të BE-së dhe vendeve jo anëtare të BE-së.</w:t>
      </w:r>
    </w:p>
    <w:p w14:paraId="261ED2A4" w14:textId="77777777" w:rsidR="006C790B" w:rsidRPr="004D53EC" w:rsidRDefault="006C790B" w:rsidP="006C790B">
      <w:pPr>
        <w:pStyle w:val="BodyText"/>
        <w:ind w:right="977"/>
        <w:rPr>
          <w:lang w:val="sq-AL"/>
        </w:rPr>
      </w:pPr>
      <w:r w:rsidRPr="004D53EC">
        <w:rPr>
          <w:lang w:val="sq-AL"/>
        </w:rPr>
        <w:t xml:space="preserve">Për </w:t>
      </w:r>
      <w:r w:rsidRPr="004D53EC">
        <w:rPr>
          <w:b/>
          <w:lang w:val="sq-AL"/>
        </w:rPr>
        <w:t>monitorimin dhe vlerësimin</w:t>
      </w:r>
      <w:r w:rsidRPr="004D53EC">
        <w:rPr>
          <w:lang w:val="sq-AL"/>
        </w:rPr>
        <w:t xml:space="preserve">, komiteti sektorial i monitorimit nxjerr rekomandime </w:t>
      </w:r>
      <w:proofErr w:type="spellStart"/>
      <w:r w:rsidRPr="004D53EC">
        <w:rPr>
          <w:lang w:val="sq-AL"/>
        </w:rPr>
        <w:t>operacionale</w:t>
      </w:r>
      <w:proofErr w:type="spellEnd"/>
      <w:r w:rsidRPr="004D53EC">
        <w:rPr>
          <w:lang w:val="sq-AL"/>
        </w:rPr>
        <w:t xml:space="preserve"> për të gjithë sektorët e IPA-s dhe çështjet strategjike janë duke u diskutuar në komitetin monitorues të IPA-s. Puna për të siguruar monitorimin adekuat të </w:t>
      </w:r>
      <w:proofErr w:type="spellStart"/>
      <w:r w:rsidRPr="004D53EC">
        <w:rPr>
          <w:lang w:val="sq-AL"/>
        </w:rPr>
        <w:t>të</w:t>
      </w:r>
      <w:proofErr w:type="spellEnd"/>
      <w:r w:rsidRPr="004D53EC">
        <w:rPr>
          <w:lang w:val="sq-AL"/>
        </w:rPr>
        <w:t xml:space="preserve"> gjitha aktiviteteve programore nga Agjencia Shtetërore e Programimit Strategjik dhe Koordinimin e Ndihmës (ASHPSKN) duhet të vazhdojë. Zyrat mbështetëse të Zyrtarit Kombëtar Autorizues dhe Koordinatorit Kombëtar të IPA-s nuk kanë krijuar ende një listë të treguesve kryesorë të </w:t>
      </w:r>
      <w:proofErr w:type="spellStart"/>
      <w:r w:rsidRPr="004D53EC">
        <w:rPr>
          <w:lang w:val="sq-AL"/>
        </w:rPr>
        <w:t>performancës</w:t>
      </w:r>
      <w:proofErr w:type="spellEnd"/>
      <w:r w:rsidRPr="004D53EC">
        <w:rPr>
          <w:lang w:val="sq-AL"/>
        </w:rPr>
        <w:t xml:space="preserve"> për vlerësimin e </w:t>
      </w:r>
      <w:proofErr w:type="spellStart"/>
      <w:r w:rsidRPr="004D53EC">
        <w:rPr>
          <w:lang w:val="sq-AL"/>
        </w:rPr>
        <w:t>performancës</w:t>
      </w:r>
      <w:proofErr w:type="spellEnd"/>
      <w:r w:rsidRPr="004D53EC">
        <w:rPr>
          <w:lang w:val="sq-AL"/>
        </w:rPr>
        <w:t>.</w:t>
      </w:r>
    </w:p>
    <w:p w14:paraId="0783AF8E" w14:textId="77777777" w:rsidR="006C790B" w:rsidRPr="004D53EC" w:rsidRDefault="006C790B" w:rsidP="006C790B">
      <w:pPr>
        <w:pStyle w:val="BodyText"/>
        <w:ind w:left="979"/>
        <w:rPr>
          <w:lang w:val="sq-AL"/>
        </w:rPr>
      </w:pPr>
      <w:r w:rsidRPr="004D53EC">
        <w:rPr>
          <w:lang w:val="sq-AL"/>
        </w:rPr>
        <w:t xml:space="preserve">Për </w:t>
      </w:r>
      <w:r w:rsidRPr="004D53EC">
        <w:rPr>
          <w:b/>
          <w:lang w:val="sq-AL"/>
        </w:rPr>
        <w:t xml:space="preserve">menaxhimin financiar, kontrollin dhe </w:t>
      </w:r>
      <w:proofErr w:type="spellStart"/>
      <w:r w:rsidRPr="004D53EC">
        <w:rPr>
          <w:b/>
          <w:lang w:val="sq-AL"/>
        </w:rPr>
        <w:t>auditimin</w:t>
      </w:r>
      <w:proofErr w:type="spellEnd"/>
      <w:r w:rsidRPr="004D53EC">
        <w:rPr>
          <w:lang w:val="sq-AL"/>
        </w:rPr>
        <w:t xml:space="preserve">, një vlerësim i menaxhimit indirekt nga vendi përfitues sipas IPAII evidentoi se ligji shqiptar për autoritetin e </w:t>
      </w:r>
      <w:proofErr w:type="spellStart"/>
      <w:r w:rsidRPr="004D53EC">
        <w:rPr>
          <w:lang w:val="sq-AL"/>
        </w:rPr>
        <w:t>auditimit</w:t>
      </w:r>
      <w:proofErr w:type="spellEnd"/>
      <w:r w:rsidRPr="004D53EC">
        <w:rPr>
          <w:lang w:val="sq-AL"/>
        </w:rPr>
        <w:t xml:space="preserve"> duhet të ndryshohet, për të siguruar që kompetencat e menaxhimit i mbeten Drejtorit të Përgjithshëm dhe nuk janë në varësi të Këshillit Mbikëqyrës. Zyrtari Kombëtar Autorizues (ZKA) duhet të sigurojë që deklarata e tij e menaxhimit të pasqyrojë në mënyrë adekuate rezultatet e mbikëqyrjes dhe monitorimit të sistemeve të menaxhimit dhe kontrollit. Zyra mbështetëse e ZKA-së do të duhet gjithashtu të forcojë punën e saj me synimin për të monitoruar zbatimin e programeve </w:t>
      </w:r>
      <w:proofErr w:type="spellStart"/>
      <w:r w:rsidRPr="004D53EC">
        <w:rPr>
          <w:lang w:val="sq-AL"/>
        </w:rPr>
        <w:t>operacionale</w:t>
      </w:r>
      <w:proofErr w:type="spellEnd"/>
      <w:r w:rsidRPr="004D53EC">
        <w:rPr>
          <w:lang w:val="sq-AL"/>
        </w:rPr>
        <w:t xml:space="preserve"> sektoriale në menaxhimin indirekt nga organet e sapoemëruara. Zyra Mbështetëse e Zyrtarit ende nuk ka vendosur procedura për të siguruar shpërndarjen dhe zbatimin e menjëhershëm nëpër institucione, në lidhje me kontrollin e brendshëm të kryer nga Komisioni. Parregullsitë mbeten për tu identifikuar plotësisht dhe pa vonesë në sistemin e menaxhimit të parregullsive, bashkë me dobësitë e kontrollit të brendshëm dhe mospërputhjet të cilat duhet të raportohen sistematikisht në një regjistër të dedikuar.</w:t>
      </w:r>
    </w:p>
    <w:p w14:paraId="61F2831F" w14:textId="77777777" w:rsidR="006C790B" w:rsidRPr="004D53EC" w:rsidRDefault="006C790B" w:rsidP="006C790B">
      <w:pPr>
        <w:pStyle w:val="Heading1"/>
        <w:rPr>
          <w:sz w:val="2"/>
          <w:lang w:val="sq-AL"/>
        </w:rPr>
      </w:pPr>
      <w:bookmarkStart w:id="111" w:name="Chapter_33:_Financial_and_budgetary_prov"/>
      <w:bookmarkStart w:id="112" w:name="_bookmark63"/>
      <w:bookmarkEnd w:id="111"/>
      <w:bookmarkEnd w:id="112"/>
    </w:p>
    <w:p w14:paraId="2F9D205E" w14:textId="77777777" w:rsidR="006C790B" w:rsidRPr="004D53EC" w:rsidRDefault="006C790B" w:rsidP="006C790B">
      <w:pPr>
        <w:pStyle w:val="Heading1"/>
        <w:rPr>
          <w:lang w:val="sq-AL"/>
        </w:rPr>
      </w:pPr>
      <w:r w:rsidRPr="004D53EC">
        <w:rPr>
          <w:lang w:val="sq-AL"/>
        </w:rPr>
        <w:t>Kapitulli 33: Dispozitat financiare dhe buxhetore</w:t>
      </w: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4"/>
      </w:tblGrid>
      <w:tr w:rsidR="006C790B" w:rsidRPr="004D53EC" w14:paraId="377C4CB5" w14:textId="77777777" w:rsidTr="005760FF">
        <w:trPr>
          <w:trHeight w:val="5105"/>
        </w:trPr>
        <w:tc>
          <w:tcPr>
            <w:tcW w:w="9254" w:type="dxa"/>
            <w:shd w:val="clear" w:color="auto" w:fill="D9D9D9"/>
          </w:tcPr>
          <w:p w14:paraId="3490C44F" w14:textId="55C4938E" w:rsidR="006C790B" w:rsidRPr="004D53EC" w:rsidRDefault="006C790B" w:rsidP="005760FF">
            <w:pPr>
              <w:pStyle w:val="TableParagraph"/>
              <w:spacing w:before="135" w:line="276" w:lineRule="exact"/>
              <w:ind w:left="113" w:right="102"/>
              <w:jc w:val="both"/>
              <w:rPr>
                <w:sz w:val="24"/>
                <w:lang w:val="sq-AL"/>
              </w:rPr>
            </w:pPr>
            <w:r w:rsidRPr="004D53EC">
              <w:rPr>
                <w:i/>
                <w:sz w:val="24"/>
                <w:lang w:val="sq-AL"/>
              </w:rPr>
              <w:t xml:space="preserve">Ky kapitull mbulon rregullat që drejtojnë financimet nga buxheti i BE-së ("burimet </w:t>
            </w:r>
            <w:proofErr w:type="spellStart"/>
            <w:r w:rsidRPr="004D53EC">
              <w:rPr>
                <w:i/>
                <w:sz w:val="24"/>
                <w:lang w:val="sq-AL"/>
              </w:rPr>
              <w:t>vetanake</w:t>
            </w:r>
            <w:proofErr w:type="spellEnd"/>
            <w:r w:rsidRPr="004D53EC">
              <w:rPr>
                <w:i/>
                <w:sz w:val="24"/>
                <w:lang w:val="sq-AL"/>
              </w:rPr>
              <w:t>"). Këto burime përbëhen kryesisht nga: (i) kontributet mbi bazën e të ardhurave kombëtare bruto të secilit Shtet Anëtar; (</w:t>
            </w:r>
            <w:proofErr w:type="spellStart"/>
            <w:r w:rsidRPr="004D53EC">
              <w:rPr>
                <w:i/>
                <w:sz w:val="24"/>
                <w:lang w:val="sq-AL"/>
              </w:rPr>
              <w:t>ii</w:t>
            </w:r>
            <w:proofErr w:type="spellEnd"/>
            <w:r w:rsidRPr="004D53EC">
              <w:rPr>
                <w:i/>
                <w:sz w:val="24"/>
                <w:lang w:val="sq-AL"/>
              </w:rPr>
              <w:t>) detyrimet doganore; (</w:t>
            </w:r>
            <w:proofErr w:type="spellStart"/>
            <w:r w:rsidRPr="004D53EC">
              <w:rPr>
                <w:i/>
                <w:sz w:val="24"/>
                <w:lang w:val="sq-AL"/>
              </w:rPr>
              <w:t>iii</w:t>
            </w:r>
            <w:proofErr w:type="spellEnd"/>
            <w:r w:rsidRPr="004D53EC">
              <w:rPr>
                <w:i/>
                <w:sz w:val="24"/>
                <w:lang w:val="sq-AL"/>
              </w:rPr>
              <w:t>) plastika e pa ricikluar dhe (</w:t>
            </w:r>
            <w:proofErr w:type="spellStart"/>
            <w:r w:rsidRPr="004D53EC">
              <w:rPr>
                <w:i/>
                <w:sz w:val="24"/>
                <w:lang w:val="sq-AL"/>
              </w:rPr>
              <w:t>iv</w:t>
            </w:r>
            <w:proofErr w:type="spellEnd"/>
            <w:r w:rsidRPr="004D53EC">
              <w:rPr>
                <w:i/>
                <w:sz w:val="24"/>
                <w:lang w:val="sq-AL"/>
              </w:rPr>
              <w:t xml:space="preserve">) tatimi mbi vlerën e shtuar. Shtetet Anëtare të BE-së duhet të kenë aftësinë e duhur administrative për të koordinuar dhe siguruar llogaritjen, e saktë, mbledhjen, pagesën dhe kontrollin e burimeve të tyre. </w:t>
            </w:r>
            <w:r w:rsidRPr="004D53EC">
              <w:rPr>
                <w:sz w:val="24"/>
                <w:lang w:val="sq-AL"/>
              </w:rPr>
              <w:t xml:space="preserve">Shqipëria ka një </w:t>
            </w:r>
            <w:r w:rsidRPr="004D53EC">
              <w:rPr>
                <w:b/>
                <w:sz w:val="24"/>
                <w:lang w:val="sq-AL"/>
              </w:rPr>
              <w:t>përgatitje të mjaftueshme</w:t>
            </w:r>
            <w:r w:rsidRPr="004D53EC">
              <w:rPr>
                <w:sz w:val="24"/>
                <w:lang w:val="sq-AL"/>
              </w:rPr>
              <w:t xml:space="preserve"> për dispozitat financiare dhe buxhetore. Është bërë </w:t>
            </w:r>
            <w:r w:rsidRPr="004D53EC">
              <w:rPr>
                <w:b/>
                <w:sz w:val="24"/>
                <w:lang w:val="sq-AL"/>
              </w:rPr>
              <w:t>progres i kufizuar</w:t>
            </w:r>
            <w:r w:rsidRPr="004D53EC">
              <w:rPr>
                <w:sz w:val="24"/>
                <w:lang w:val="sq-AL"/>
              </w:rPr>
              <w:t xml:space="preserve"> në përafrimin me </w:t>
            </w:r>
            <w:proofErr w:type="spellStart"/>
            <w:r w:rsidRPr="004D53EC">
              <w:rPr>
                <w:sz w:val="24"/>
                <w:lang w:val="sq-AL"/>
              </w:rPr>
              <w:t>acquis</w:t>
            </w:r>
            <w:proofErr w:type="spellEnd"/>
            <w:r w:rsidRPr="004D53EC">
              <w:rPr>
                <w:sz w:val="24"/>
                <w:lang w:val="sq-AL"/>
              </w:rPr>
              <w:t xml:space="preserve"> të BE-së në fushat themelore të politikave që ndikojnë në funksionimin e sistemit të financimit të BE-së.</w:t>
            </w:r>
          </w:p>
          <w:p w14:paraId="30C7E5E3" w14:textId="77777777" w:rsidR="006C790B" w:rsidRPr="004D53EC" w:rsidRDefault="006C790B" w:rsidP="005760FF">
            <w:pPr>
              <w:pStyle w:val="TableParagraph"/>
              <w:spacing w:before="120"/>
              <w:ind w:left="113" w:right="100"/>
              <w:jc w:val="both"/>
              <w:rPr>
                <w:sz w:val="24"/>
                <w:lang w:val="sq-AL"/>
              </w:rPr>
            </w:pPr>
            <w:r w:rsidRPr="004D53EC">
              <w:rPr>
                <w:sz w:val="24"/>
                <w:lang w:val="sq-AL"/>
              </w:rPr>
              <w:t xml:space="preserve"> Kanë vazhduar përmirësimet metodologjike sa i takon përafrimit me standardet ESA 2010 (Sistemi Evropian i Llogarive) si dhe përmirësimi i transmetimit të </w:t>
            </w:r>
            <w:proofErr w:type="spellStart"/>
            <w:r w:rsidRPr="004D53EC">
              <w:rPr>
                <w:sz w:val="24"/>
                <w:lang w:val="sq-AL"/>
              </w:rPr>
              <w:t>të</w:t>
            </w:r>
            <w:proofErr w:type="spellEnd"/>
            <w:r w:rsidRPr="004D53EC">
              <w:rPr>
                <w:sz w:val="24"/>
                <w:lang w:val="sq-AL"/>
              </w:rPr>
              <w:t xml:space="preserve"> dhënave të tabelave të procedurës së deficitit të tepërt (PDT) nëpërmjet sistemit të përpilimit të Statistikave Financiare të Qeverisë së Integruar Shqiptare (SFQISH).</w:t>
            </w:r>
          </w:p>
          <w:p w14:paraId="7FCB1179" w14:textId="77777777" w:rsidR="006C790B" w:rsidRPr="004D53EC" w:rsidRDefault="006C790B" w:rsidP="005760FF">
            <w:pPr>
              <w:pStyle w:val="TableParagraph"/>
              <w:spacing w:before="120"/>
              <w:ind w:left="113" w:right="102"/>
              <w:jc w:val="both"/>
              <w:rPr>
                <w:sz w:val="24"/>
                <w:lang w:val="sq-AL"/>
              </w:rPr>
            </w:pPr>
            <w:r w:rsidRPr="004D53EC">
              <w:rPr>
                <w:sz w:val="24"/>
                <w:lang w:val="sq-AL"/>
              </w:rPr>
              <w:t>Rekomandimet e vitit të kaluar mbeten të vlefshme, pasi nevojitet më shumë progres. Në vitin e ardhshëm, vendi duhet në veçanti:</w:t>
            </w:r>
          </w:p>
          <w:p w14:paraId="2C6A5142" w14:textId="77777777" w:rsidR="006C790B" w:rsidRPr="004D53EC" w:rsidRDefault="006C790B" w:rsidP="005760FF">
            <w:pPr>
              <w:pStyle w:val="TableParagraph"/>
              <w:spacing w:before="120"/>
              <w:ind w:left="511" w:right="101" w:hanging="398"/>
              <w:jc w:val="both"/>
              <w:rPr>
                <w:sz w:val="24"/>
                <w:lang w:val="sq-AL"/>
              </w:rPr>
            </w:pPr>
            <w:r w:rsidRPr="004D53EC">
              <w:rPr>
                <w:sz w:val="24"/>
                <w:lang w:val="sq-AL"/>
              </w:rPr>
              <w:t xml:space="preserve"> </w:t>
            </w:r>
            <w:r w:rsidRPr="004D53EC">
              <w:rPr>
                <w:rFonts w:ascii="Symbol" w:hAnsi="Symbol"/>
                <w:sz w:val="24"/>
                <w:lang w:val="sq-AL"/>
              </w:rPr>
              <w:t></w:t>
            </w:r>
            <w:r w:rsidRPr="004D53EC">
              <w:rPr>
                <w:rFonts w:ascii="Symbol" w:hAnsi="Symbol"/>
                <w:sz w:val="24"/>
                <w:lang w:val="sq-AL"/>
              </w:rPr>
              <w:t></w:t>
            </w:r>
            <w:r w:rsidRPr="004D53EC">
              <w:rPr>
                <w:rFonts w:ascii="Symbol" w:hAnsi="Symbol"/>
                <w:sz w:val="24"/>
                <w:lang w:val="sq-AL"/>
              </w:rPr>
              <w:t></w:t>
            </w:r>
            <w:r w:rsidRPr="004D53EC">
              <w:rPr>
                <w:sz w:val="24"/>
                <w:lang w:val="sq-AL"/>
              </w:rPr>
              <w:t xml:space="preserve">të vazhdojë harmonizimin e të dhënave për Llogaritë Kombëtare me ESA 2010 dhe përmirësimin e </w:t>
            </w:r>
            <w:proofErr w:type="spellStart"/>
            <w:r w:rsidRPr="004D53EC">
              <w:rPr>
                <w:sz w:val="24"/>
                <w:lang w:val="sq-AL"/>
              </w:rPr>
              <w:t>gjithëpërfshirjes</w:t>
            </w:r>
            <w:proofErr w:type="spellEnd"/>
            <w:r w:rsidRPr="004D53EC">
              <w:rPr>
                <w:sz w:val="24"/>
                <w:lang w:val="sq-AL"/>
              </w:rPr>
              <w:t xml:space="preserve"> së transmetimit të </w:t>
            </w:r>
            <w:proofErr w:type="spellStart"/>
            <w:r w:rsidRPr="004D53EC">
              <w:rPr>
                <w:sz w:val="24"/>
                <w:lang w:val="sq-AL"/>
              </w:rPr>
              <w:t>të</w:t>
            </w:r>
            <w:proofErr w:type="spellEnd"/>
            <w:r w:rsidRPr="004D53EC">
              <w:rPr>
                <w:sz w:val="24"/>
                <w:lang w:val="sq-AL"/>
              </w:rPr>
              <w:t xml:space="preserve"> dhënave në </w:t>
            </w:r>
            <w:proofErr w:type="spellStart"/>
            <w:r w:rsidRPr="004D53EC">
              <w:rPr>
                <w:sz w:val="24"/>
                <w:lang w:val="sq-AL"/>
              </w:rPr>
              <w:t>Eurostat</w:t>
            </w:r>
            <w:proofErr w:type="spellEnd"/>
            <w:r w:rsidRPr="004D53EC">
              <w:rPr>
                <w:sz w:val="24"/>
                <w:lang w:val="sq-AL"/>
              </w:rPr>
              <w:t xml:space="preserve">, duke përfshirë procedurën e deficitit të tepërt; </w:t>
            </w:r>
          </w:p>
          <w:p w14:paraId="05BC2606" w14:textId="77777777" w:rsidR="006C790B" w:rsidRPr="004D53EC" w:rsidRDefault="006C790B" w:rsidP="005760FF">
            <w:pPr>
              <w:pStyle w:val="TableParagraph"/>
              <w:spacing w:before="120"/>
              <w:ind w:left="511" w:right="101" w:hanging="398"/>
              <w:jc w:val="both"/>
              <w:rPr>
                <w:sz w:val="24"/>
                <w:lang w:val="sq-AL"/>
              </w:rPr>
            </w:pPr>
            <w:r w:rsidRPr="004D53EC">
              <w:rPr>
                <w:rFonts w:ascii="Symbol" w:hAnsi="Symbol"/>
                <w:sz w:val="24"/>
                <w:lang w:val="sq-AL"/>
              </w:rPr>
              <w:t></w:t>
            </w:r>
            <w:r w:rsidRPr="004D53EC">
              <w:rPr>
                <w:spacing w:val="40"/>
                <w:sz w:val="24"/>
                <w:lang w:val="sq-AL"/>
              </w:rPr>
              <w:t xml:space="preserve"> </w:t>
            </w:r>
            <w:r w:rsidRPr="004D53EC">
              <w:rPr>
                <w:sz w:val="24"/>
                <w:lang w:val="sq-AL"/>
              </w:rPr>
              <w:t xml:space="preserve">të harmonizojë legjislacionin e saj me dispozitat e BE-së mbi TVSH-në dhe detyrimet doganore, si dhe të forcojë përpjekjet për të luftuar evazionin fiskal dhe </w:t>
            </w:r>
            <w:proofErr w:type="spellStart"/>
            <w:r w:rsidRPr="004D53EC">
              <w:rPr>
                <w:sz w:val="24"/>
                <w:lang w:val="sq-AL"/>
              </w:rPr>
              <w:t>informalitetin</w:t>
            </w:r>
            <w:proofErr w:type="spellEnd"/>
            <w:r w:rsidRPr="004D53EC">
              <w:rPr>
                <w:sz w:val="24"/>
                <w:lang w:val="sq-AL"/>
              </w:rPr>
              <w:t>;</w:t>
            </w:r>
          </w:p>
          <w:p w14:paraId="1E0B6DE0" w14:textId="77777777" w:rsidR="006C790B" w:rsidRPr="004D53EC" w:rsidRDefault="006C790B" w:rsidP="005760FF">
            <w:pPr>
              <w:pStyle w:val="TableParagraph"/>
              <w:spacing w:before="135" w:line="276" w:lineRule="exact"/>
              <w:ind w:left="511" w:right="102" w:hanging="398"/>
              <w:jc w:val="both"/>
              <w:rPr>
                <w:sz w:val="24"/>
                <w:lang w:val="sq-AL"/>
              </w:rPr>
            </w:pPr>
            <w:r w:rsidRPr="004D53EC">
              <w:rPr>
                <w:rFonts w:ascii="Symbol" w:hAnsi="Symbol"/>
                <w:sz w:val="24"/>
                <w:lang w:val="sq-AL"/>
              </w:rPr>
              <w:t></w:t>
            </w:r>
            <w:r w:rsidRPr="004D53EC">
              <w:rPr>
                <w:spacing w:val="80"/>
                <w:sz w:val="24"/>
                <w:lang w:val="sq-AL"/>
              </w:rPr>
              <w:t xml:space="preserve"> </w:t>
            </w:r>
            <w:r w:rsidRPr="004D53EC">
              <w:rPr>
                <w:sz w:val="24"/>
                <w:lang w:val="sq-AL"/>
              </w:rPr>
              <w:t xml:space="preserve">të rrisë kapacitetet administrative dhe mekanizmat koordinues ndërmjet palëve kryesore të interesit në sistemin e burimeve </w:t>
            </w:r>
            <w:proofErr w:type="spellStart"/>
            <w:r w:rsidRPr="004D53EC">
              <w:rPr>
                <w:sz w:val="24"/>
                <w:lang w:val="sq-AL"/>
              </w:rPr>
              <w:t>vetanake</w:t>
            </w:r>
            <w:proofErr w:type="spellEnd"/>
            <w:r w:rsidRPr="004D53EC">
              <w:rPr>
                <w:sz w:val="24"/>
                <w:lang w:val="sq-AL"/>
              </w:rPr>
              <w:t>.</w:t>
            </w:r>
          </w:p>
          <w:p w14:paraId="3782FEF8" w14:textId="77777777" w:rsidR="006C790B" w:rsidRPr="004D53EC" w:rsidRDefault="006C790B" w:rsidP="005760FF">
            <w:pPr>
              <w:pStyle w:val="TableParagraph"/>
              <w:spacing w:before="135" w:line="276" w:lineRule="exact"/>
              <w:ind w:left="511" w:right="102" w:hanging="398"/>
              <w:jc w:val="both"/>
              <w:rPr>
                <w:sz w:val="24"/>
                <w:lang w:val="sq-AL"/>
              </w:rPr>
            </w:pPr>
            <w:r w:rsidRPr="004D53EC">
              <w:rPr>
                <w:sz w:val="24"/>
                <w:lang w:val="sq-AL"/>
              </w:rPr>
              <w:t xml:space="preserve"> </w:t>
            </w:r>
          </w:p>
        </w:tc>
      </w:tr>
    </w:tbl>
    <w:p w14:paraId="369782B6" w14:textId="77777777" w:rsidR="006C790B" w:rsidRPr="004D53EC" w:rsidRDefault="006C790B" w:rsidP="006C790B">
      <w:pPr>
        <w:pStyle w:val="BodyText"/>
        <w:rPr>
          <w:lang w:val="sq-AL"/>
        </w:rPr>
      </w:pPr>
      <w:r w:rsidRPr="004D53EC">
        <w:rPr>
          <w:lang w:val="sq-AL"/>
        </w:rPr>
        <w:t xml:space="preserve">Ka progres të mirë në fushat themelore të politikave që ndikojnë në mënyrë indirekte në sistemin e burimeve të veta (për progresin në këto fusha, shih Kapitujt 16 – Tatimet, 18 – </w:t>
      </w:r>
      <w:r w:rsidRPr="004D53EC">
        <w:rPr>
          <w:lang w:val="sq-AL"/>
        </w:rPr>
        <w:lastRenderedPageBreak/>
        <w:t>Statistikat, 29 – Bashkimi Doganor dhe 32 – Kontrolli financiar).</w:t>
      </w:r>
    </w:p>
    <w:p w14:paraId="6D7E5A7A" w14:textId="77777777" w:rsidR="006C790B" w:rsidRPr="004D53EC" w:rsidRDefault="006C790B" w:rsidP="006C790B">
      <w:pPr>
        <w:pStyle w:val="BodyText"/>
        <w:rPr>
          <w:lang w:val="sq-AL"/>
        </w:rPr>
      </w:pPr>
      <w:r w:rsidRPr="004D53EC">
        <w:rPr>
          <w:lang w:val="sq-AL"/>
        </w:rPr>
        <w:t xml:space="preserve">Lidhur me </w:t>
      </w:r>
      <w:r w:rsidRPr="004D53EC">
        <w:rPr>
          <w:b/>
          <w:lang w:val="sq-AL"/>
        </w:rPr>
        <w:t>burimet e veta tradicionale</w:t>
      </w:r>
      <w:r w:rsidRPr="004D53EC">
        <w:rPr>
          <w:lang w:val="sq-AL"/>
        </w:rPr>
        <w:t xml:space="preserve">, një ligj i ri për tatimin mbi të ardhurat u miratua në mars 2023, i cili do të hyjë në fuqi në vitin 2024. Shqipëria nuk ka ende një strategji afatmesme të </w:t>
      </w:r>
      <w:proofErr w:type="spellStart"/>
      <w:r w:rsidRPr="004D53EC">
        <w:rPr>
          <w:lang w:val="sq-AL"/>
        </w:rPr>
        <w:t>të</w:t>
      </w:r>
      <w:proofErr w:type="spellEnd"/>
      <w:r w:rsidRPr="004D53EC">
        <w:rPr>
          <w:lang w:val="sq-AL"/>
        </w:rPr>
        <w:t xml:space="preserve"> ardhurave. Legjislacioni aktual mbetet pjesërisht i harmonizuar me direktivat përkatëse të BE-së. Janë bërë ndryshime në legjislacionin e TVSH-së dhe akcizës, me synim përafrimin e tij me direktivat përkatëse të BE-së, reduktimin e disa rasteve përjashtimeve nga tatimet dhe përmirësimin e tarifave të akcizës.</w:t>
      </w:r>
    </w:p>
    <w:p w14:paraId="2361FCC6" w14:textId="77777777" w:rsidR="006C790B" w:rsidRPr="004D53EC" w:rsidRDefault="006C790B" w:rsidP="006C790B">
      <w:pPr>
        <w:pStyle w:val="BodyText"/>
        <w:rPr>
          <w:lang w:val="sq-AL"/>
        </w:rPr>
      </w:pPr>
      <w:r w:rsidRPr="004D53EC">
        <w:rPr>
          <w:lang w:val="sq-AL"/>
        </w:rPr>
        <w:t xml:space="preserve">Sa i përket burimit të </w:t>
      </w:r>
      <w:proofErr w:type="spellStart"/>
      <w:r w:rsidRPr="004D53EC">
        <w:rPr>
          <w:lang w:val="sq-AL"/>
        </w:rPr>
        <w:t>të</w:t>
      </w:r>
      <w:proofErr w:type="spellEnd"/>
      <w:r w:rsidRPr="004D53EC">
        <w:rPr>
          <w:lang w:val="sq-AL"/>
        </w:rPr>
        <w:t xml:space="preserve"> </w:t>
      </w:r>
      <w:r w:rsidRPr="004D53EC">
        <w:rPr>
          <w:b/>
          <w:lang w:val="sq-AL"/>
        </w:rPr>
        <w:t>Ardhurave Kombëtare Bruto</w:t>
      </w:r>
      <w:r w:rsidRPr="004D53EC">
        <w:rPr>
          <w:lang w:val="sq-AL"/>
        </w:rPr>
        <w:t xml:space="preserve"> (AKB), Instituti i Statistikave (INSTAT) ka vazhduar transmetimin e rregullt të </w:t>
      </w:r>
      <w:proofErr w:type="spellStart"/>
      <w:r w:rsidRPr="004D53EC">
        <w:rPr>
          <w:lang w:val="sq-AL"/>
        </w:rPr>
        <w:t>të</w:t>
      </w:r>
      <w:proofErr w:type="spellEnd"/>
      <w:r w:rsidRPr="004D53EC">
        <w:rPr>
          <w:lang w:val="sq-AL"/>
        </w:rPr>
        <w:t xml:space="preserve"> dhënave të AKB dhe PBB-së drejt </w:t>
      </w:r>
      <w:proofErr w:type="spellStart"/>
      <w:r w:rsidRPr="004D53EC">
        <w:rPr>
          <w:lang w:val="sq-AL"/>
        </w:rPr>
        <w:t>Eurostat</w:t>
      </w:r>
      <w:proofErr w:type="spellEnd"/>
      <w:r w:rsidRPr="004D53EC">
        <w:rPr>
          <w:lang w:val="sq-AL"/>
        </w:rPr>
        <w:t xml:space="preserve">-it, në kuadër të programit të transmetimit ESA 2010. Megjithatë, ka ende shumë vend për përmirësim për të arritur përputhshmërinë e plotë, kryesisht në qasjen ndaj PBB-së tremujore sipas të ardhurave dhe të dhënave të popullsisë dhe punësimit, dhe inventari i AKB-së duhet të përditësohet. Puna ka vazhduar për të përmirësuar të dhënat e plota të llogarive </w:t>
      </w:r>
      <w:proofErr w:type="spellStart"/>
      <w:r w:rsidRPr="004D53EC">
        <w:rPr>
          <w:lang w:val="sq-AL"/>
        </w:rPr>
        <w:t>jofinanciare</w:t>
      </w:r>
      <w:proofErr w:type="spellEnd"/>
      <w:r w:rsidRPr="004D53EC">
        <w:rPr>
          <w:lang w:val="sq-AL"/>
        </w:rPr>
        <w:t xml:space="preserve">, komponentët e vlerësimit për ekonominë e </w:t>
      </w:r>
      <w:proofErr w:type="spellStart"/>
      <w:r w:rsidRPr="004D53EC">
        <w:rPr>
          <w:lang w:val="sq-AL"/>
        </w:rPr>
        <w:t>pavëzhguar</w:t>
      </w:r>
      <w:proofErr w:type="spellEnd"/>
      <w:r w:rsidRPr="004D53EC">
        <w:rPr>
          <w:lang w:val="sq-AL"/>
        </w:rPr>
        <w:t xml:space="preserve"> dhe llogaritë rajonale, si dhe integrimin e plotë të ofertës dhe përdorimin e tabelave në llogaritë kombëtare.</w:t>
      </w:r>
    </w:p>
    <w:p w14:paraId="012AF48D" w14:textId="77777777" w:rsidR="006C790B" w:rsidRPr="004D53EC" w:rsidRDefault="006C790B" w:rsidP="006C790B">
      <w:pPr>
        <w:pStyle w:val="BodyText"/>
        <w:rPr>
          <w:lang w:val="sq-AL"/>
        </w:rPr>
      </w:pPr>
      <w:r w:rsidRPr="004D53EC">
        <w:rPr>
          <w:lang w:val="sq-AL"/>
        </w:rPr>
        <w:t>Shqipëria ka vazhduar përafrimin e legjislacionit të saj me standardet ESA 2010 dhe publikimin e inventarit të burimeve dhe metodave të përdorura në llogaritë kombëtare. Vendi mbetet pjesërisht në përputhje me ESA 2010. INSTAT ofroi një draft-inventar të metodave, procedurave dhe burimeve që përdorej për përpilimin e të dhënave të deficitit dhe borxhit dhe të llogarive kryesore të sektorit qeverisës, sipas ESA.</w:t>
      </w:r>
    </w:p>
    <w:p w14:paraId="67F476AC" w14:textId="77777777" w:rsidR="006C790B" w:rsidRPr="004D53EC" w:rsidRDefault="006C790B" w:rsidP="006C790B">
      <w:pPr>
        <w:pStyle w:val="BodyText"/>
        <w:rPr>
          <w:lang w:val="sq-AL"/>
        </w:rPr>
      </w:pPr>
      <w:r w:rsidRPr="004D53EC">
        <w:rPr>
          <w:lang w:val="sq-AL"/>
        </w:rPr>
        <w:t xml:space="preserve">Megjithatë, nevojiten përpjekje të mëtejshme për të përmirësuar përputhshmërinë me ESA 2010 dhe për të bërë Inventarin e AKB-së në përputhje të plotë me rekomandimet e </w:t>
      </w:r>
      <w:proofErr w:type="spellStart"/>
      <w:r w:rsidRPr="004D53EC">
        <w:rPr>
          <w:lang w:val="sq-AL"/>
        </w:rPr>
        <w:t>Eurostat</w:t>
      </w:r>
      <w:proofErr w:type="spellEnd"/>
      <w:r w:rsidRPr="004D53EC">
        <w:rPr>
          <w:lang w:val="sq-AL"/>
        </w:rPr>
        <w:t xml:space="preserve">-it. Rishikimi standard i llogarive kombëtare shtyhet për në vitin 2024 dhe inventari i ri i AKB-së do të sigurohet pas zbatimit të tij. INSTAT ka vijuar punën për të përmirësuar Përpunimin Elektronik të </w:t>
      </w:r>
      <w:proofErr w:type="spellStart"/>
      <w:r w:rsidRPr="004D53EC">
        <w:rPr>
          <w:lang w:val="sq-AL"/>
        </w:rPr>
        <w:t>të</w:t>
      </w:r>
      <w:proofErr w:type="spellEnd"/>
      <w:r w:rsidRPr="004D53EC">
        <w:rPr>
          <w:lang w:val="sq-AL"/>
        </w:rPr>
        <w:t xml:space="preserve"> Dhënave dhe paraqitjen e pyetësorëve dhe vlerësimeve pilot drejt </w:t>
      </w:r>
      <w:proofErr w:type="spellStart"/>
      <w:r w:rsidRPr="004D53EC">
        <w:rPr>
          <w:lang w:val="sq-AL"/>
        </w:rPr>
        <w:t>Eurostat</w:t>
      </w:r>
      <w:proofErr w:type="spellEnd"/>
      <w:r w:rsidRPr="004D53EC">
        <w:rPr>
          <w:lang w:val="sq-AL"/>
        </w:rPr>
        <w:t xml:space="preserve">, duke ndjekur ESA 2010 dhe manualin për deficitin dhe borxhin e qeverisë (MGDD), por nevojiten përpjekje të konsiderueshme për të arritur përputhjen e plotë me kërkesat e ESA 2010. </w:t>
      </w:r>
    </w:p>
    <w:p w14:paraId="2879A032" w14:textId="77777777" w:rsidR="006C790B" w:rsidRPr="004D53EC" w:rsidRDefault="006C790B" w:rsidP="006C790B">
      <w:pPr>
        <w:pStyle w:val="BodyText"/>
        <w:spacing w:before="119"/>
        <w:ind w:left="979"/>
        <w:rPr>
          <w:lang w:val="sq-AL"/>
        </w:rPr>
      </w:pPr>
      <w:r w:rsidRPr="004D53EC">
        <w:rPr>
          <w:lang w:val="sq-AL"/>
        </w:rPr>
        <w:t xml:space="preserve">Shqipëria ka vijuar përgatitjet për përmirësimin e vlerësimit të ekonomisë së saj të </w:t>
      </w:r>
      <w:proofErr w:type="spellStart"/>
      <w:r w:rsidRPr="004D53EC">
        <w:rPr>
          <w:lang w:val="sq-AL"/>
        </w:rPr>
        <w:t>pavëzhguar</w:t>
      </w:r>
      <w:proofErr w:type="spellEnd"/>
      <w:r w:rsidRPr="004D53EC">
        <w:rPr>
          <w:lang w:val="sq-AL"/>
        </w:rPr>
        <w:t xml:space="preserve">. U zbatua një projekt pilot për të përmirësuar rregullimet shteruese të vlerësimeve të PBB/AKB, i projektuar veçanërisht për të zhvilluar vlerësime të reja eksperimentale të aktiviteteve të paligjshme dhe </w:t>
      </w:r>
      <w:proofErr w:type="spellStart"/>
      <w:r w:rsidRPr="004D53EC">
        <w:rPr>
          <w:lang w:val="sq-AL"/>
        </w:rPr>
        <w:t>auditimeve</w:t>
      </w:r>
      <w:proofErr w:type="spellEnd"/>
      <w:r w:rsidRPr="004D53EC">
        <w:rPr>
          <w:lang w:val="sq-AL"/>
        </w:rPr>
        <w:t xml:space="preserve"> fiskale. Vazhduan përpjekjet për të përmirësuar </w:t>
      </w:r>
      <w:proofErr w:type="spellStart"/>
      <w:r w:rsidRPr="004D53EC">
        <w:rPr>
          <w:lang w:val="sq-AL"/>
        </w:rPr>
        <w:t>shterueshmërinë</w:t>
      </w:r>
      <w:proofErr w:type="spellEnd"/>
      <w:r w:rsidRPr="004D53EC">
        <w:rPr>
          <w:lang w:val="sq-AL"/>
        </w:rPr>
        <w:t xml:space="preserve"> e vlerësimeve të llogarive kombëtare. Bazuar në metodologjinë ESA 2010 (Sistemi Evropian i Llogarive) dhe burimet e të dhënave të </w:t>
      </w:r>
      <w:proofErr w:type="spellStart"/>
      <w:r w:rsidRPr="004D53EC">
        <w:rPr>
          <w:lang w:val="sq-AL"/>
        </w:rPr>
        <w:t>disponueshme</w:t>
      </w:r>
      <w:proofErr w:type="spellEnd"/>
      <w:r w:rsidRPr="004D53EC">
        <w:rPr>
          <w:lang w:val="sq-AL"/>
        </w:rPr>
        <w:t xml:space="preserve">, u realizua një vlerësim i drejtpërdrejtë i ekonomisë së </w:t>
      </w:r>
      <w:proofErr w:type="spellStart"/>
      <w:r w:rsidRPr="004D53EC">
        <w:rPr>
          <w:lang w:val="sq-AL"/>
        </w:rPr>
        <w:t>pavëzhguar</w:t>
      </w:r>
      <w:proofErr w:type="spellEnd"/>
      <w:r w:rsidRPr="004D53EC">
        <w:rPr>
          <w:lang w:val="sq-AL"/>
        </w:rPr>
        <w:t>, por ai nuk përfshin të gjitha llojet e rregullimeve shteruese. Është planifikuar një rishikim i PBB-së në vitin 2024 si rezultat i përmirësimeve të vazhdueshme metodologjike të zbatuara vitet e fundit.</w:t>
      </w:r>
    </w:p>
    <w:p w14:paraId="5D0358D5" w14:textId="77777777" w:rsidR="006C790B" w:rsidRPr="004D53EC" w:rsidRDefault="006C790B" w:rsidP="006C790B">
      <w:pPr>
        <w:pStyle w:val="BodyText"/>
        <w:spacing w:before="119"/>
        <w:ind w:left="979"/>
        <w:rPr>
          <w:lang w:val="sq-AL"/>
        </w:rPr>
      </w:pPr>
      <w:r w:rsidRPr="004D53EC">
        <w:rPr>
          <w:lang w:val="sq-AL"/>
        </w:rPr>
        <w:t xml:space="preserve">Sa i takon </w:t>
      </w:r>
      <w:r w:rsidRPr="004D53EC">
        <w:rPr>
          <w:b/>
          <w:lang w:val="sq-AL"/>
        </w:rPr>
        <w:t>infrastrukturën administrative</w:t>
      </w:r>
      <w:r w:rsidRPr="004D53EC">
        <w:rPr>
          <w:lang w:val="sq-AL"/>
        </w:rPr>
        <w:t xml:space="preserve">, Shqipëria duhet të vazhdojë punën për krijimin e institucioneve përkatëse të përfshira në sistemin e burimeve </w:t>
      </w:r>
      <w:proofErr w:type="spellStart"/>
      <w:r w:rsidRPr="004D53EC">
        <w:rPr>
          <w:lang w:val="sq-AL"/>
        </w:rPr>
        <w:t>vetanake</w:t>
      </w:r>
      <w:proofErr w:type="spellEnd"/>
      <w:r w:rsidRPr="004D53EC">
        <w:rPr>
          <w:lang w:val="sq-AL"/>
        </w:rPr>
        <w:t xml:space="preserve"> dhe një organ koordinues të burimeve </w:t>
      </w:r>
      <w:proofErr w:type="spellStart"/>
      <w:r w:rsidRPr="004D53EC">
        <w:rPr>
          <w:lang w:val="sq-AL"/>
        </w:rPr>
        <w:t>vetanake</w:t>
      </w:r>
      <w:proofErr w:type="spellEnd"/>
      <w:r w:rsidRPr="004D53EC">
        <w:rPr>
          <w:lang w:val="sq-AL"/>
        </w:rPr>
        <w:t xml:space="preserve">, si dhe mbi zbatimin e rregullave. Këto nevojiten për të siguruar që kur Shqipëria të anëtarësohet në BE, të jetë në gjendje të llogarisë, të parashikojë, të mbledhë, të paguajë, të kontrollojë dhe t'i raportojë BE-së për burimet e veta, në përputhje me </w:t>
      </w:r>
      <w:proofErr w:type="spellStart"/>
      <w:r w:rsidRPr="004D53EC">
        <w:rPr>
          <w:lang w:val="sq-AL"/>
        </w:rPr>
        <w:t>acquis</w:t>
      </w:r>
      <w:proofErr w:type="spellEnd"/>
      <w:r w:rsidRPr="004D53EC">
        <w:rPr>
          <w:lang w:val="sq-AL"/>
        </w:rPr>
        <w:t xml:space="preserve"> të BE-së.</w:t>
      </w:r>
    </w:p>
    <w:p w14:paraId="6473C5D5" w14:textId="77777777" w:rsidR="006C790B" w:rsidRPr="004D53EC" w:rsidRDefault="006C790B" w:rsidP="006C790B">
      <w:pPr>
        <w:pStyle w:val="BodyText"/>
        <w:spacing w:before="119"/>
        <w:ind w:left="979"/>
        <w:rPr>
          <w:lang w:val="sq-AL"/>
        </w:rPr>
      </w:pPr>
      <w:r w:rsidRPr="004D53EC">
        <w:rPr>
          <w:lang w:val="sq-AL"/>
        </w:rPr>
        <w:t xml:space="preserve">Si pjesë e Ligjit të vitit 2008 për menaxhimin e sistemit buxhetor, Shqipëria ka në fuqi dispozita ligjore që përcaktojnë kriteret për fillimin e inspektimit financiar publik, në rastet e çdo parregullsie dhe situatash të </w:t>
      </w:r>
      <w:proofErr w:type="spellStart"/>
      <w:r w:rsidRPr="004D53EC">
        <w:rPr>
          <w:lang w:val="sq-AL"/>
        </w:rPr>
        <w:t>keqmenaxhimit</w:t>
      </w:r>
      <w:proofErr w:type="spellEnd"/>
      <w:r w:rsidRPr="004D53EC">
        <w:rPr>
          <w:lang w:val="sq-AL"/>
        </w:rPr>
        <w:t xml:space="preserve"> financiar. Për më tepër, Drejtoria e Përgjithshme e Tatimeve dhe Drejtoria e Përgjithshme e Doganave kanë vijuar punën për evidentimin e evazionit fiskal dhe mashtrimit. (Shih gjithashtu kapitujt 16, 29 dhe 32 mbi veprimet kundër korrupsionit). Nevojiten përpjekje të mëtejshme për të </w:t>
      </w:r>
      <w:proofErr w:type="spellStart"/>
      <w:r w:rsidRPr="004D53EC">
        <w:rPr>
          <w:lang w:val="sq-AL"/>
        </w:rPr>
        <w:t>formalizuar</w:t>
      </w:r>
      <w:proofErr w:type="spellEnd"/>
      <w:r w:rsidRPr="004D53EC">
        <w:rPr>
          <w:lang w:val="sq-AL"/>
        </w:rPr>
        <w:t xml:space="preserve"> ekonominë </w:t>
      </w:r>
      <w:proofErr w:type="spellStart"/>
      <w:r w:rsidRPr="004D53EC">
        <w:rPr>
          <w:lang w:val="sq-AL"/>
        </w:rPr>
        <w:t>informale</w:t>
      </w:r>
      <w:proofErr w:type="spellEnd"/>
      <w:r w:rsidRPr="004D53EC">
        <w:rPr>
          <w:lang w:val="sq-AL"/>
        </w:rPr>
        <w:t xml:space="preserve">, për të përmirësuar </w:t>
      </w:r>
      <w:proofErr w:type="spellStart"/>
      <w:r w:rsidRPr="004D53EC">
        <w:rPr>
          <w:lang w:val="sq-AL"/>
        </w:rPr>
        <w:t>shterueshmërinë</w:t>
      </w:r>
      <w:proofErr w:type="spellEnd"/>
      <w:r w:rsidRPr="004D53EC">
        <w:rPr>
          <w:lang w:val="sq-AL"/>
        </w:rPr>
        <w:t xml:space="preserve"> e llogarive kombëtare dhe llogaritjet e PBB/AKB-së dhe për të </w:t>
      </w:r>
      <w:r w:rsidRPr="004D53EC">
        <w:rPr>
          <w:lang w:val="sq-AL"/>
        </w:rPr>
        <w:lastRenderedPageBreak/>
        <w:t>luftuar evazionin fiskal dhe mashtrimin me detyrimet doganore.</w:t>
      </w:r>
    </w:p>
    <w:p w14:paraId="48797025" w14:textId="77777777" w:rsidR="006C790B" w:rsidRPr="004D53EC" w:rsidRDefault="006C790B" w:rsidP="006C790B">
      <w:pPr>
        <w:spacing w:before="120"/>
        <w:ind w:left="980"/>
        <w:jc w:val="both"/>
        <w:rPr>
          <w:b/>
          <w:sz w:val="19"/>
          <w:lang w:val="sq-AL"/>
        </w:rPr>
      </w:pPr>
      <w:bookmarkStart w:id="113" w:name="Cluster_6:_External_relations"/>
      <w:bookmarkStart w:id="114" w:name="_bookmark64"/>
      <w:bookmarkEnd w:id="113"/>
      <w:bookmarkEnd w:id="114"/>
      <w:r w:rsidRPr="004D53EC">
        <w:rPr>
          <w:b/>
          <w:sz w:val="19"/>
          <w:lang w:val="sq-AL"/>
        </w:rPr>
        <w:t>GRUPI 6: MARRËDHËNIET E JASHTME</w:t>
      </w:r>
    </w:p>
    <w:p w14:paraId="75D00744" w14:textId="77777777" w:rsidR="006C790B" w:rsidRPr="004D53EC" w:rsidRDefault="006C790B" w:rsidP="006C790B">
      <w:pPr>
        <w:pStyle w:val="BodyText"/>
        <w:ind w:left="979" w:right="979"/>
        <w:rPr>
          <w:lang w:val="sq-AL"/>
        </w:rPr>
      </w:pPr>
      <w:r w:rsidRPr="004D53EC">
        <w:rPr>
          <w:lang w:val="sq-AL"/>
        </w:rPr>
        <w:t xml:space="preserve">Në këtë grup ka dy kapituj: marrëdhëniet e jashtme (Kapitulli 30) dhe politika e jashtme, e sigurisë dhe e mbrojtjes (Kapitulli 31). Shqipëria ka një përgatitje të mirë në të dy kapitujt. </w:t>
      </w:r>
    </w:p>
    <w:p w14:paraId="48B3B503" w14:textId="77777777" w:rsidR="006C790B" w:rsidRPr="004D53EC" w:rsidRDefault="006C790B" w:rsidP="006C790B">
      <w:pPr>
        <w:pStyle w:val="BodyText"/>
        <w:ind w:left="979" w:right="979"/>
        <w:rPr>
          <w:lang w:val="sq-AL"/>
        </w:rPr>
      </w:pPr>
      <w:r w:rsidRPr="004D53EC">
        <w:rPr>
          <w:lang w:val="sq-AL"/>
        </w:rPr>
        <w:t>Sa i përket Kapitullit 31, gjatë periudhës së raportimit Shqipëria ka bërë progres të mirë, duke ruajtur harmonizimin e plotë me të gjitha vendimet përkatëse të BE-së dhe deklaratat e Politikës së Përbashkët të Jashtme dhe të Sigurisë të BE-së, duke përfshirë masat kufizuese të BE-së pas pushtimit të Rusisë në Ukrainë.</w:t>
      </w:r>
    </w:p>
    <w:p w14:paraId="313410ED" w14:textId="77777777" w:rsidR="006C790B" w:rsidRPr="004D53EC" w:rsidRDefault="006C790B" w:rsidP="006C790B">
      <w:pPr>
        <w:pStyle w:val="BodyText"/>
        <w:ind w:left="979" w:right="979"/>
        <w:rPr>
          <w:lang w:val="sq-AL"/>
        </w:rPr>
      </w:pPr>
      <w:r w:rsidRPr="004D53EC">
        <w:rPr>
          <w:lang w:val="sq-AL"/>
        </w:rPr>
        <w:t>Si një anëtare jo e përhershme e Këshillit të Sigurimit të OKB-së që nga janari 2022, Shqipëria vazhdon të jetë e angazhuar në mënyrë aktive në promovimin dhe mbrojtjen e rendit ndërkombëtar të bazuar në rregulla.</w:t>
      </w:r>
    </w:p>
    <w:p w14:paraId="357A2FF6" w14:textId="77777777" w:rsidR="006C790B" w:rsidRPr="004D53EC" w:rsidRDefault="006C790B" w:rsidP="006C790B">
      <w:pPr>
        <w:pStyle w:val="BodyText"/>
        <w:ind w:left="979" w:right="979"/>
        <w:rPr>
          <w:lang w:val="sq-AL"/>
        </w:rPr>
      </w:pPr>
      <w:r w:rsidRPr="004D53EC">
        <w:rPr>
          <w:lang w:val="sq-AL"/>
        </w:rPr>
        <w:t>Shqipëria ka bërë një lloj progresi në marrëdhëniet e jashtme, veçanërisht në përafrimin e mëtejshëm me legjislacionin e BE-së për parandalimin e tregtisë për mallra të caktuara që mund të përdoren për dënim me vdekje dhe torturë.</w:t>
      </w:r>
    </w:p>
    <w:p w14:paraId="2B8EBE5E" w14:textId="77777777" w:rsidR="006C790B" w:rsidRPr="004D53EC" w:rsidRDefault="006C790B" w:rsidP="006C790B">
      <w:pPr>
        <w:pStyle w:val="Heading1"/>
        <w:rPr>
          <w:spacing w:val="-2"/>
          <w:lang w:val="sq-AL"/>
        </w:rPr>
      </w:pPr>
      <w:bookmarkStart w:id="115" w:name="Chapter_30:_External_relations"/>
      <w:bookmarkStart w:id="116" w:name="_bookmark65"/>
      <w:bookmarkStart w:id="117" w:name="_Toc83193468"/>
      <w:bookmarkStart w:id="118" w:name="_Toc115364562"/>
      <w:bookmarkEnd w:id="115"/>
      <w:bookmarkEnd w:id="116"/>
      <w:r w:rsidRPr="004D53EC">
        <w:rPr>
          <w:spacing w:val="-2"/>
          <w:lang w:val="sq-AL"/>
        </w:rPr>
        <w:t>Kapitulli 30: Marrëdhëniet me jashtë</w:t>
      </w:r>
      <w:bookmarkEnd w:id="117"/>
      <w:bookmarkEnd w:id="118"/>
    </w:p>
    <w:p w14:paraId="1E29F95D" w14:textId="77777777" w:rsidR="006C790B" w:rsidRPr="004D53EC" w:rsidRDefault="006C790B" w:rsidP="006C790B">
      <w:pPr>
        <w:spacing w:before="120"/>
        <w:ind w:left="980" w:right="978"/>
        <w:jc w:val="both"/>
        <w:rPr>
          <w:i/>
          <w:sz w:val="24"/>
          <w:lang w:val="sq-AL"/>
        </w:rPr>
      </w:pPr>
      <w:r w:rsidRPr="004D53EC">
        <w:rPr>
          <w:i/>
          <w:sz w:val="24"/>
          <w:lang w:val="sq-AL"/>
        </w:rPr>
        <w:t>BE-ja ka një politikë të përbashkët tregtare karshi vendeve jo anëtare të BE-së, bazuar në marrëveshjet shumëpalëshe dhe dypalëshe dhe masat autonome. Ekzistojnë gjithashtu rregulla të BE-së në fushën e ndihmës humanitare dhe politikës së zhvillimit.</w:t>
      </w:r>
    </w:p>
    <w:p w14:paraId="4B5016C3" w14:textId="77777777" w:rsidR="006C790B" w:rsidRPr="004D53EC" w:rsidRDefault="006C790B" w:rsidP="006C790B">
      <w:pPr>
        <w:pStyle w:val="BodyText"/>
        <w:spacing w:before="6"/>
        <w:ind w:left="0" w:right="0"/>
        <w:jc w:val="left"/>
        <w:rPr>
          <w:i/>
          <w:sz w:val="10"/>
          <w:lang w:val="sq-AL"/>
        </w:rPr>
      </w:pP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4"/>
      </w:tblGrid>
      <w:tr w:rsidR="006C790B" w:rsidRPr="004D53EC" w14:paraId="7B8BD3B2" w14:textId="77777777" w:rsidTr="005760FF">
        <w:trPr>
          <w:trHeight w:val="3467"/>
        </w:trPr>
        <w:tc>
          <w:tcPr>
            <w:tcW w:w="9254" w:type="dxa"/>
            <w:shd w:val="clear" w:color="auto" w:fill="D9D9D9"/>
          </w:tcPr>
          <w:p w14:paraId="5A861699" w14:textId="77777777" w:rsidR="006C790B" w:rsidRPr="004D53EC" w:rsidRDefault="006C790B" w:rsidP="005760FF">
            <w:pPr>
              <w:pStyle w:val="TableParagraph"/>
              <w:spacing w:before="120"/>
              <w:ind w:left="113" w:right="100"/>
              <w:jc w:val="both"/>
              <w:rPr>
                <w:sz w:val="24"/>
                <w:lang w:val="sq-AL"/>
              </w:rPr>
            </w:pPr>
            <w:r w:rsidRPr="004D53EC">
              <w:rPr>
                <w:sz w:val="24"/>
                <w:lang w:val="sq-AL"/>
              </w:rPr>
              <w:t xml:space="preserve">Shqipëria </w:t>
            </w:r>
            <w:r w:rsidRPr="004D53EC">
              <w:rPr>
                <w:b/>
                <w:sz w:val="24"/>
                <w:lang w:val="sq-AL"/>
              </w:rPr>
              <w:t>ka një përgatitje të mirë</w:t>
            </w:r>
            <w:r w:rsidRPr="004D53EC">
              <w:rPr>
                <w:lang w:val="sq-AL"/>
              </w:rPr>
              <w:t xml:space="preserve"> </w:t>
            </w:r>
            <w:r w:rsidRPr="004D53EC">
              <w:rPr>
                <w:sz w:val="24"/>
                <w:lang w:val="sq-AL"/>
              </w:rPr>
              <w:t xml:space="preserve">në marrëdhëniet me jashtë. Ka </w:t>
            </w:r>
            <w:r w:rsidRPr="004D53EC">
              <w:rPr>
                <w:b/>
                <w:sz w:val="24"/>
                <w:lang w:val="sq-AL"/>
              </w:rPr>
              <w:t xml:space="preserve">një progres të mirë </w:t>
            </w:r>
            <w:r w:rsidRPr="004D53EC">
              <w:rPr>
                <w:sz w:val="24"/>
                <w:lang w:val="sq-AL"/>
              </w:rPr>
              <w:t xml:space="preserve">gjatë periudhës raportuese, veçanërisht në lidhje me përafrimin e legjislacionit me </w:t>
            </w:r>
            <w:proofErr w:type="spellStart"/>
            <w:r w:rsidRPr="004D53EC">
              <w:rPr>
                <w:i/>
                <w:sz w:val="24"/>
                <w:lang w:val="sq-AL"/>
              </w:rPr>
              <w:t>acquis</w:t>
            </w:r>
            <w:proofErr w:type="spellEnd"/>
            <w:r w:rsidRPr="004D53EC">
              <w:rPr>
                <w:sz w:val="24"/>
                <w:lang w:val="sq-AL"/>
              </w:rPr>
              <w:t xml:space="preserve"> përkatëse të BE-së për parandalimin e tregtisë së mallrave të caktuara që mund të përdoren për dënimin me vdekje dhe torturën.</w:t>
            </w:r>
          </w:p>
          <w:p w14:paraId="651DCAAA" w14:textId="77777777" w:rsidR="006C790B" w:rsidRPr="004D53EC" w:rsidRDefault="006C790B" w:rsidP="005760FF">
            <w:pPr>
              <w:pStyle w:val="TableParagraph"/>
              <w:spacing w:before="120"/>
              <w:ind w:left="113" w:right="100"/>
              <w:jc w:val="both"/>
              <w:rPr>
                <w:sz w:val="24"/>
                <w:lang w:val="sq-AL"/>
              </w:rPr>
            </w:pPr>
            <w:r w:rsidRPr="004D53EC">
              <w:rPr>
                <w:sz w:val="24"/>
                <w:lang w:val="sq-AL"/>
              </w:rPr>
              <w:t>Rekomandimet e vitit të kaluar janë zbatuar pjesërisht; prandaj, në vitin e ardhshëm Shqipëria duhet të fokusohet:</w:t>
            </w:r>
          </w:p>
          <w:p w14:paraId="42F4C8DB" w14:textId="77777777" w:rsidR="006C790B" w:rsidRPr="004D53EC" w:rsidRDefault="006C790B" w:rsidP="005760FF">
            <w:pPr>
              <w:pStyle w:val="TableParagraph"/>
              <w:spacing w:before="120"/>
              <w:ind w:left="511" w:right="100" w:hanging="398"/>
              <w:jc w:val="both"/>
              <w:rPr>
                <w:sz w:val="24"/>
                <w:lang w:val="sq-AL"/>
              </w:rPr>
            </w:pPr>
            <w:r w:rsidRPr="004D53EC">
              <w:rPr>
                <w:rFonts w:ascii="Symbol" w:hAnsi="Symbol"/>
                <w:sz w:val="24"/>
                <w:lang w:val="sq-AL"/>
              </w:rPr>
              <w:t></w:t>
            </w:r>
            <w:r w:rsidRPr="004D53EC">
              <w:rPr>
                <w:spacing w:val="80"/>
                <w:sz w:val="24"/>
                <w:lang w:val="sq-AL"/>
              </w:rPr>
              <w:t xml:space="preserve"> </w:t>
            </w:r>
            <w:r w:rsidRPr="004D53EC">
              <w:rPr>
                <w:sz w:val="24"/>
                <w:lang w:val="sq-AL"/>
              </w:rPr>
              <w:t>në vazhdimin e zbatimit të protokollit 5 shtesë të CEFTA-s për lehtësimin e tregtisë dhe protokollit 6 shtesë për tregtinë e shërbimeve, si dhe të bëjë progres me përgatitjet për miratimin e protokollit 7 shtesë për zgjidhjen e mosmarrëveshjeve;</w:t>
            </w:r>
          </w:p>
          <w:p w14:paraId="43CA3F04" w14:textId="01040F19" w:rsidR="006C790B" w:rsidRPr="004D53EC" w:rsidRDefault="006C790B" w:rsidP="005760FF">
            <w:pPr>
              <w:pStyle w:val="TableParagraph"/>
              <w:spacing w:before="134" w:line="276" w:lineRule="exact"/>
              <w:ind w:left="511" w:right="101" w:hanging="398"/>
              <w:jc w:val="both"/>
              <w:rPr>
                <w:sz w:val="24"/>
                <w:lang w:val="sq-AL"/>
              </w:rPr>
            </w:pPr>
            <w:r w:rsidRPr="004D53EC">
              <w:rPr>
                <w:rFonts w:ascii="Symbol" w:hAnsi="Symbol"/>
                <w:sz w:val="24"/>
                <w:lang w:val="sq-AL"/>
              </w:rPr>
              <w:t></w:t>
            </w:r>
            <w:r w:rsidR="004D53EC">
              <w:rPr>
                <w:sz w:val="24"/>
                <w:lang w:val="sq-AL"/>
              </w:rPr>
              <w:t xml:space="preserve"> </w:t>
            </w:r>
            <w:r w:rsidRPr="004D53EC">
              <w:rPr>
                <w:sz w:val="24"/>
                <w:lang w:val="sq-AL"/>
              </w:rPr>
              <w:t>në krijimin e një kuadri ligjor që mbulon politikat e bashkëpunimit ndërkombëtar dhe të zhvillimit si dhe ndihmën humanitare, në përputhje me politikat dhe parimet e BE-së.</w:t>
            </w:r>
          </w:p>
          <w:p w14:paraId="40E064E7" w14:textId="77777777" w:rsidR="006C790B" w:rsidRPr="004D53EC" w:rsidRDefault="006C790B" w:rsidP="005760FF">
            <w:pPr>
              <w:pStyle w:val="TableParagraph"/>
              <w:spacing w:before="134" w:line="276" w:lineRule="exact"/>
              <w:ind w:left="511" w:right="101" w:hanging="398"/>
              <w:jc w:val="both"/>
              <w:rPr>
                <w:sz w:val="24"/>
                <w:lang w:val="sq-AL"/>
              </w:rPr>
            </w:pPr>
          </w:p>
        </w:tc>
      </w:tr>
    </w:tbl>
    <w:p w14:paraId="3E455571" w14:textId="77777777" w:rsidR="006C790B" w:rsidRPr="004D53EC" w:rsidRDefault="006C790B" w:rsidP="006C790B">
      <w:pPr>
        <w:pStyle w:val="BodyText"/>
        <w:spacing w:before="121"/>
        <w:rPr>
          <w:lang w:val="sq-AL"/>
        </w:rPr>
      </w:pPr>
      <w:r w:rsidRPr="004D53EC">
        <w:rPr>
          <w:lang w:val="sq-AL"/>
        </w:rPr>
        <w:t xml:space="preserve">Sa i takon </w:t>
      </w:r>
      <w:r w:rsidRPr="004D53EC">
        <w:rPr>
          <w:b/>
          <w:lang w:val="sq-AL"/>
        </w:rPr>
        <w:t>politikës së përbashkët tregtare</w:t>
      </w:r>
      <w:r w:rsidRPr="004D53EC">
        <w:rPr>
          <w:lang w:val="sq-AL"/>
        </w:rPr>
        <w:t xml:space="preserve">, Shqipëria ka vijuar koordinimin e </w:t>
      </w:r>
      <w:proofErr w:type="spellStart"/>
      <w:r w:rsidRPr="004D53EC">
        <w:rPr>
          <w:lang w:val="sq-AL"/>
        </w:rPr>
        <w:t>qendrimeve</w:t>
      </w:r>
      <w:proofErr w:type="spellEnd"/>
      <w:r w:rsidRPr="004D53EC">
        <w:rPr>
          <w:lang w:val="sq-AL"/>
        </w:rPr>
        <w:t xml:space="preserve"> dhe përafrimin e politikave të saj ngushtësisht me ato të BE-së, përfshirë edhe me Organizatën Botërore të Tregtisë (OBT) dhe Organin e saj për Zgjidhjen e Mosmarrëveshjeve. Në dhjetor 2022, Shqipëria miratoi Ligjin e saj për aderimin në Iniciativën e Përbashkët të OBT-së për Rregullimin e Brendshëm të Shërbimeve. Shqipëria miratoi gjithashtu në mars 2023 Marrëveshjen për Subvencionet e Peshkimit në Këshillin e Ministrave, e cila u ratifikua nga Parlamenti në qershor 2023.</w:t>
      </w:r>
    </w:p>
    <w:p w14:paraId="04EB9A9C" w14:textId="77777777" w:rsidR="006C790B" w:rsidRPr="004D53EC" w:rsidRDefault="006C790B" w:rsidP="006C790B">
      <w:pPr>
        <w:pStyle w:val="BodyText"/>
        <w:spacing w:before="121"/>
        <w:rPr>
          <w:lang w:val="sq-AL"/>
        </w:rPr>
      </w:pPr>
      <w:r w:rsidRPr="004D53EC">
        <w:rPr>
          <w:lang w:val="sq-AL"/>
        </w:rPr>
        <w:t xml:space="preserve">Shqipëria ka vijuar me zbatimin e angazhimeve të Marrëveshjes së Tregtisë së Lirë të Evropës Qendrore (CEFTA) në lidhje me protokollin 5 shtesë për lehtësimin e tregtisë dhe protokollin 6 shtesë për shërbimet. Një memorandum mirëkuptimi u nënshkrua në shtator 2022 midis qeverive të Shqipërisë dhe Italisë për të mundësuar zgjerimin e </w:t>
      </w:r>
      <w:proofErr w:type="spellStart"/>
      <w:r w:rsidRPr="004D53EC">
        <w:rPr>
          <w:lang w:val="sq-AL"/>
        </w:rPr>
        <w:t>korsive</w:t>
      </w:r>
      <w:proofErr w:type="spellEnd"/>
      <w:r w:rsidRPr="004D53EC">
        <w:rPr>
          <w:lang w:val="sq-AL"/>
        </w:rPr>
        <w:t xml:space="preserve"> të gjelbra midis vendeve të Ballkanit Perëndimor dhe shteteve anëtare kufitare të BE-së.</w:t>
      </w:r>
    </w:p>
    <w:p w14:paraId="5D96FBE2" w14:textId="77777777" w:rsidR="006C790B" w:rsidRPr="004D53EC" w:rsidRDefault="006C790B" w:rsidP="006C790B">
      <w:pPr>
        <w:pStyle w:val="BodyText"/>
        <w:ind w:left="979"/>
        <w:rPr>
          <w:lang w:val="sq-AL"/>
        </w:rPr>
      </w:pPr>
      <w:r w:rsidRPr="004D53EC">
        <w:rPr>
          <w:lang w:val="sq-AL"/>
        </w:rPr>
        <w:t xml:space="preserve">Shqipëria ka vijuar fushatën e saj </w:t>
      </w:r>
      <w:proofErr w:type="spellStart"/>
      <w:r w:rsidRPr="004D53EC">
        <w:rPr>
          <w:lang w:val="sq-AL"/>
        </w:rPr>
        <w:t>ndërgjegjësuese</w:t>
      </w:r>
      <w:proofErr w:type="spellEnd"/>
      <w:r w:rsidRPr="004D53EC">
        <w:rPr>
          <w:lang w:val="sq-AL"/>
        </w:rPr>
        <w:t xml:space="preserve"> me përfaqësues të sektorit privat në lidhje me procedurat dhe përfitimet e aplikimit për statusin e operatorit të autorizuar ekonomik dhe deri më tani ka regjistruar 18 aplikime nga bizneset vendase. Tetë operatorët e parë ekonomikë </w:t>
      </w:r>
      <w:r w:rsidRPr="004D53EC">
        <w:rPr>
          <w:lang w:val="sq-AL"/>
        </w:rPr>
        <w:lastRenderedPageBreak/>
        <w:t xml:space="preserve">të autorizuar janë certifikuar nga Drejtoria e Përgjithshme e Doganave dhe janë vlerësuar pozitivisht nga komisioni i </w:t>
      </w:r>
      <w:proofErr w:type="spellStart"/>
      <w:r w:rsidRPr="004D53EC">
        <w:rPr>
          <w:lang w:val="sq-AL"/>
        </w:rPr>
        <w:t>validimit</w:t>
      </w:r>
      <w:proofErr w:type="spellEnd"/>
      <w:r w:rsidRPr="004D53EC">
        <w:rPr>
          <w:lang w:val="sq-AL"/>
        </w:rPr>
        <w:t xml:space="preserve"> të CEFTA-s. Shqipëria ka vijuar të marrë pjesë në negociatat për protokollin 7 shtesë të CEFTA-s për zgjidhjen e mosmarrëveshjeve.</w:t>
      </w:r>
    </w:p>
    <w:p w14:paraId="0449E333" w14:textId="77777777" w:rsidR="006C790B" w:rsidRPr="004D53EC" w:rsidRDefault="006C790B" w:rsidP="006C790B">
      <w:pPr>
        <w:pStyle w:val="BodyText"/>
        <w:ind w:left="979"/>
        <w:rPr>
          <w:lang w:val="sq-AL"/>
        </w:rPr>
      </w:pPr>
      <w:r w:rsidRPr="004D53EC">
        <w:rPr>
          <w:lang w:val="sq-AL"/>
        </w:rPr>
        <w:t xml:space="preserve">Shqipëria ende nuk e ka përafruar listën e saj kombëtare të kontrollit të mallrave me përdorim të dyfishtë me Rregulloren e Komisionit të datës 21 tetor 2022 për listën e artikujve me përdorim të dyfishtë. Në prill 2023, Shqipëria miratoi ligjin e saj për mallrat që mund të përdoren për dënimin me vdekje ose torturën, i cili parashikon përafrimin e pjesshëm me </w:t>
      </w:r>
      <w:proofErr w:type="spellStart"/>
      <w:r w:rsidRPr="004D53EC">
        <w:rPr>
          <w:i/>
          <w:lang w:val="sq-AL"/>
        </w:rPr>
        <w:t>acquis</w:t>
      </w:r>
      <w:proofErr w:type="spellEnd"/>
      <w:r w:rsidRPr="004D53EC">
        <w:rPr>
          <w:i/>
          <w:lang w:val="sq-AL"/>
        </w:rPr>
        <w:t xml:space="preserve"> </w:t>
      </w:r>
      <w:r w:rsidRPr="004D53EC">
        <w:rPr>
          <w:lang w:val="sq-AL"/>
        </w:rPr>
        <w:t>për tregtinë e disa mallrave që mund të përdoren për dënimin me vdekje, torturën apo trajtime ose ndëshkime të tjera mizore, çnjerëzore ose poshtëruese.</w:t>
      </w:r>
    </w:p>
    <w:p w14:paraId="219DC3B1" w14:textId="77777777" w:rsidR="006C790B" w:rsidRPr="004D53EC" w:rsidRDefault="006C790B" w:rsidP="006C790B">
      <w:pPr>
        <w:pStyle w:val="BodyText"/>
        <w:ind w:left="979" w:right="999"/>
        <w:rPr>
          <w:lang w:val="sq-AL"/>
        </w:rPr>
      </w:pPr>
      <w:r w:rsidRPr="004D53EC">
        <w:rPr>
          <w:lang w:val="sq-AL"/>
        </w:rPr>
        <w:t xml:space="preserve">Sa i takon garancisë për kredinë e eksportit nuk është bërë progres, ndërsa bankat e nivelit të dytë ofrojnë garanci, si garancia e pagesës, garancia e </w:t>
      </w:r>
      <w:proofErr w:type="spellStart"/>
      <w:r w:rsidRPr="004D53EC">
        <w:rPr>
          <w:lang w:val="sq-AL"/>
        </w:rPr>
        <w:t>performancës</w:t>
      </w:r>
      <w:proofErr w:type="spellEnd"/>
      <w:r w:rsidRPr="004D53EC">
        <w:rPr>
          <w:lang w:val="sq-AL"/>
        </w:rPr>
        <w:t xml:space="preserve">/kontratës dhe garancia e ofertës. Nuk ka asnjë ofrues të sigurimit të kredisë për eksport të mbështetur nga shteti. </w:t>
      </w:r>
    </w:p>
    <w:p w14:paraId="3C691E90" w14:textId="77777777" w:rsidR="006C790B" w:rsidRPr="004D53EC" w:rsidRDefault="006C790B" w:rsidP="006C790B">
      <w:pPr>
        <w:pStyle w:val="BodyText"/>
        <w:ind w:left="979" w:right="999"/>
        <w:rPr>
          <w:lang w:val="sq-AL"/>
        </w:rPr>
      </w:pPr>
      <w:r w:rsidRPr="004D53EC">
        <w:rPr>
          <w:lang w:val="sq-AL"/>
        </w:rPr>
        <w:t xml:space="preserve">Shqipëria ka në fuqi 40 </w:t>
      </w:r>
      <w:r w:rsidRPr="004D53EC">
        <w:rPr>
          <w:b/>
          <w:lang w:val="sq-AL"/>
        </w:rPr>
        <w:t>traktate dypalëshe investimesh</w:t>
      </w:r>
      <w:r w:rsidRPr="004D53EC">
        <w:rPr>
          <w:lang w:val="sq-AL"/>
        </w:rPr>
        <w:t xml:space="preserve">, 22 prej të cilave janë me shtetet anëtare të BE-së. Shqipëria po negocion me Kinën një memorandum mirëkuptimi për bashkëpunimin e investimeve në ekonominë </w:t>
      </w:r>
      <w:proofErr w:type="spellStart"/>
      <w:r w:rsidRPr="004D53EC">
        <w:rPr>
          <w:lang w:val="sq-AL"/>
        </w:rPr>
        <w:t>dixhitale</w:t>
      </w:r>
      <w:proofErr w:type="spellEnd"/>
      <w:r w:rsidRPr="004D53EC">
        <w:rPr>
          <w:lang w:val="sq-AL"/>
        </w:rPr>
        <w:t>, me Azerbajxhanin në fushën e bashkëpunimit ekonomik, industrial dhe teknologjik dhe me Indinë një marrëveshje për krijimin e një komisioni ndërqeveritar për bashkëpunimin ekonomik.</w:t>
      </w:r>
    </w:p>
    <w:p w14:paraId="27C65C2C" w14:textId="77777777" w:rsidR="006C790B" w:rsidRPr="004D53EC" w:rsidRDefault="006C790B" w:rsidP="006C790B">
      <w:pPr>
        <w:pStyle w:val="BodyText"/>
        <w:ind w:left="979"/>
        <w:rPr>
          <w:lang w:val="sq-AL"/>
        </w:rPr>
      </w:pPr>
      <w:r w:rsidRPr="004D53EC">
        <w:rPr>
          <w:lang w:val="sq-AL"/>
        </w:rPr>
        <w:t xml:space="preserve">Shqipëria nuk ka kuadër ligjor të </w:t>
      </w:r>
      <w:r w:rsidRPr="004D53EC">
        <w:rPr>
          <w:b/>
          <w:lang w:val="sq-AL"/>
        </w:rPr>
        <w:t>politikave zhvillimore</w:t>
      </w:r>
      <w:r w:rsidRPr="004D53EC">
        <w:rPr>
          <w:lang w:val="sq-AL"/>
        </w:rPr>
        <w:t xml:space="preserve"> për bashkëpunim/ndihmë apo agjenci për bashkëpunimin zhvillimor. Inkurajohet krijimi i një kuadri ligjor që mbulon bashkëpunimin ndërkombëtar dhe politikat e zhvillimit, si dhe ndihmën humanitare për vendet jo anëtare të BE-së, në përputhje me politikat dhe parimet e BE-së. Në mars 2023, Shqipëria u bë anëtare e Qendrës së Zhvillimit të OECD.</w:t>
      </w:r>
    </w:p>
    <w:p w14:paraId="7FCAC000" w14:textId="77777777" w:rsidR="006C790B" w:rsidRPr="004D53EC" w:rsidRDefault="006C790B" w:rsidP="006C790B">
      <w:pPr>
        <w:pStyle w:val="BodyText"/>
        <w:ind w:left="979"/>
        <w:rPr>
          <w:lang w:val="sq-AL"/>
        </w:rPr>
      </w:pPr>
      <w:r w:rsidRPr="004D53EC">
        <w:rPr>
          <w:lang w:val="sq-AL"/>
        </w:rPr>
        <w:t xml:space="preserve">Ligji i vitit 2001 për organizatat jofitimprurëse njeh aktivitetet e mundshme të këtyre organizatave në fushën e </w:t>
      </w:r>
      <w:r w:rsidRPr="004D53EC">
        <w:rPr>
          <w:b/>
          <w:lang w:val="sq-AL"/>
        </w:rPr>
        <w:t>ndihmës humanitare</w:t>
      </w:r>
      <w:r w:rsidRPr="004D53EC">
        <w:rPr>
          <w:lang w:val="sq-AL"/>
        </w:rPr>
        <w:t xml:space="preserve"> dhe i lejon ato të kryejnë aktivitete zhvillimore dhe ndihmë humanitare në Shqipëri dhe gjetkë. Dy vendime të Këshillit të Ministrave u miratuan në mars dhe qershor 2022 për të trajtuar çështjet e ndihmës humanitare për ukrainasit që vijnë në Shqipëri, pas pushtimit të Rusisë në Ukrainë, dhe për ndihmën financiare që do t'i jepet qeverisë ukrainase për rindërtimin e vendit.</w:t>
      </w:r>
    </w:p>
    <w:p w14:paraId="2034ACCC" w14:textId="77777777" w:rsidR="006C790B" w:rsidRPr="004D53EC" w:rsidRDefault="006C790B" w:rsidP="006C790B">
      <w:pPr>
        <w:pStyle w:val="Heading1"/>
        <w:spacing w:before="119"/>
        <w:rPr>
          <w:lang w:val="sq-AL"/>
        </w:rPr>
      </w:pPr>
      <w:r w:rsidRPr="004D53EC">
        <w:rPr>
          <w:lang w:val="sq-AL"/>
        </w:rPr>
        <w:t>Kapitulli 31: Politika e jashtme, e sigurisë dhe e mbrojtjes</w:t>
      </w:r>
    </w:p>
    <w:p w14:paraId="6AB4B805" w14:textId="789EE439" w:rsidR="006C790B" w:rsidRPr="004D53EC" w:rsidRDefault="006C790B" w:rsidP="0032048B">
      <w:pPr>
        <w:spacing w:before="120"/>
        <w:ind w:left="980" w:right="976"/>
        <w:jc w:val="both"/>
        <w:rPr>
          <w:i/>
          <w:sz w:val="24"/>
          <w:lang w:val="sq-AL"/>
        </w:rPr>
      </w:pPr>
      <w:r w:rsidRPr="004D53EC">
        <w:rPr>
          <w:i/>
          <w:sz w:val="24"/>
          <w:lang w:val="sq-AL"/>
        </w:rPr>
        <w:t xml:space="preserve">Shtetet anëtare duhet të jenë në gjendje të zhvillojnë dialog politik sipas politikës së jashtme, të sigurisë dhe mbrojtjes të BE-së, të jenë në linjë me deklaratat e BE-së, të marrin pjesë në veprimet e BE-së dhe të zbatojnë sanksionet dhe masat kufizuese të </w:t>
      </w:r>
      <w:proofErr w:type="spellStart"/>
      <w:r w:rsidRPr="004D53EC">
        <w:rPr>
          <w:i/>
          <w:sz w:val="24"/>
          <w:lang w:val="sq-AL"/>
        </w:rPr>
        <w:t>dakorduara</w:t>
      </w:r>
      <w:proofErr w:type="spellEnd"/>
      <w:r w:rsidRPr="004D53EC">
        <w:rPr>
          <w:i/>
          <w:sz w:val="24"/>
          <w:lang w:val="sq-AL"/>
        </w:rPr>
        <w:t>.</w:t>
      </w:r>
    </w:p>
    <w:p w14:paraId="3204781A" w14:textId="77777777" w:rsidR="006C790B" w:rsidRPr="004D53EC" w:rsidRDefault="006C790B" w:rsidP="006C790B">
      <w:pPr>
        <w:pStyle w:val="BodyText"/>
        <w:spacing w:before="6"/>
        <w:ind w:left="0" w:right="0"/>
        <w:jc w:val="left"/>
        <w:rPr>
          <w:i/>
          <w:sz w:val="10"/>
          <w:lang w:val="sq-AL"/>
        </w:rPr>
      </w:pP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4"/>
      </w:tblGrid>
      <w:tr w:rsidR="006C790B" w:rsidRPr="004D53EC" w14:paraId="769CD74D" w14:textId="77777777" w:rsidTr="005760FF">
        <w:trPr>
          <w:trHeight w:val="4087"/>
        </w:trPr>
        <w:tc>
          <w:tcPr>
            <w:tcW w:w="9254" w:type="dxa"/>
            <w:tcBorders>
              <w:bottom w:val="nil"/>
            </w:tcBorders>
            <w:shd w:val="clear" w:color="auto" w:fill="D9D9D9"/>
          </w:tcPr>
          <w:p w14:paraId="70804094" w14:textId="77777777" w:rsidR="006C790B" w:rsidRPr="004D53EC" w:rsidRDefault="006C790B" w:rsidP="005760FF">
            <w:pPr>
              <w:pStyle w:val="TableParagraph"/>
              <w:spacing w:before="120"/>
              <w:ind w:left="113" w:right="100"/>
              <w:jc w:val="both"/>
              <w:rPr>
                <w:sz w:val="24"/>
                <w:lang w:val="sq-AL"/>
              </w:rPr>
            </w:pPr>
            <w:r w:rsidRPr="004D53EC">
              <w:rPr>
                <w:sz w:val="24"/>
                <w:lang w:val="sq-AL"/>
              </w:rPr>
              <w:t xml:space="preserve">Shqipëria ka një </w:t>
            </w:r>
            <w:r w:rsidRPr="004D53EC">
              <w:rPr>
                <w:b/>
                <w:sz w:val="24"/>
                <w:lang w:val="sq-AL"/>
              </w:rPr>
              <w:t>përgatitje të mirë</w:t>
            </w:r>
            <w:r w:rsidRPr="004D53EC">
              <w:rPr>
                <w:sz w:val="24"/>
                <w:lang w:val="sq-AL"/>
              </w:rPr>
              <w:t xml:space="preserve"> në fushën e politikës së jashtme, të sigurisë dhe të mbrojtjes. </w:t>
            </w:r>
            <w:r w:rsidRPr="004D53EC">
              <w:rPr>
                <w:b/>
                <w:sz w:val="24"/>
                <w:lang w:val="sq-AL"/>
              </w:rPr>
              <w:t>Progres i mirë</w:t>
            </w:r>
            <w:r w:rsidRPr="004D53EC">
              <w:rPr>
                <w:sz w:val="24"/>
                <w:lang w:val="sq-AL"/>
              </w:rPr>
              <w:t xml:space="preserve"> u arrit ndërsa vendi ka vijuar në periudhën raportuese, historikun e të dhënave për përafrim të plotë me deklaratat përkatëse të Përfaqësuesit të Lartë në emër të BE-së dhe vendimet përkatëse të Këshillit, përfshirë këtu edhe me masat kufizuese të BE-së pas agresionit të Rusisë kundër Ukrainës.</w:t>
            </w:r>
          </w:p>
          <w:p w14:paraId="033A6462" w14:textId="77777777" w:rsidR="006C790B" w:rsidRPr="004D53EC" w:rsidRDefault="006C790B" w:rsidP="005760FF">
            <w:pPr>
              <w:pStyle w:val="TableParagraph"/>
              <w:spacing w:before="19"/>
              <w:ind w:left="113" w:right="100"/>
              <w:jc w:val="both"/>
              <w:rPr>
                <w:sz w:val="6"/>
                <w:lang w:val="sq-AL"/>
              </w:rPr>
            </w:pPr>
          </w:p>
          <w:p w14:paraId="7229A564" w14:textId="77777777" w:rsidR="006C790B" w:rsidRPr="004D53EC" w:rsidRDefault="006C790B" w:rsidP="005760FF">
            <w:pPr>
              <w:pStyle w:val="TableParagraph"/>
              <w:spacing w:before="120"/>
              <w:ind w:left="113" w:right="100"/>
              <w:jc w:val="both"/>
              <w:rPr>
                <w:sz w:val="24"/>
                <w:lang w:val="sq-AL"/>
              </w:rPr>
            </w:pPr>
            <w:r w:rsidRPr="004D53EC">
              <w:rPr>
                <w:sz w:val="24"/>
                <w:lang w:val="sq-AL"/>
              </w:rPr>
              <w:t>Për më tepër, si një anëtare jo e përhershme e Këshillit të Sigurimit të OKB-së që nga viti 2022, Shqipëria ka vazhduar angazhimin në mënyrë aktive në promovimin dhe mbrojtjen e rendit ndërkombëtar të bazuar në rregulla, veçanërisht në kontekstin e luftës së Rusisë kundër Ukrainës.</w:t>
            </w:r>
          </w:p>
          <w:p w14:paraId="42BAEA76" w14:textId="77777777" w:rsidR="006C790B" w:rsidRPr="004D53EC" w:rsidRDefault="006C790B" w:rsidP="005760FF">
            <w:pPr>
              <w:pStyle w:val="TableParagraph"/>
              <w:spacing w:before="120"/>
              <w:ind w:left="113" w:right="100"/>
              <w:jc w:val="both"/>
              <w:rPr>
                <w:sz w:val="24"/>
                <w:lang w:val="sq-AL"/>
              </w:rPr>
            </w:pPr>
            <w:r w:rsidRPr="004D53EC">
              <w:rPr>
                <w:sz w:val="24"/>
                <w:lang w:val="sq-AL"/>
              </w:rPr>
              <w:t>Ka progres të mirë</w:t>
            </w:r>
            <w:r w:rsidRPr="004D53EC">
              <w:rPr>
                <w:lang w:val="sq-AL"/>
              </w:rPr>
              <w:t xml:space="preserve"> </w:t>
            </w:r>
            <w:r w:rsidRPr="004D53EC">
              <w:rPr>
                <w:sz w:val="24"/>
                <w:lang w:val="sq-AL"/>
              </w:rPr>
              <w:t xml:space="preserve">në zbatimin e strategjisë kombëtare për armët e vogla dhe të lehta dhe në harmonizimin me </w:t>
            </w:r>
            <w:proofErr w:type="spellStart"/>
            <w:r w:rsidRPr="004D53EC">
              <w:rPr>
                <w:sz w:val="24"/>
                <w:lang w:val="sq-AL"/>
              </w:rPr>
              <w:t>acquis</w:t>
            </w:r>
            <w:proofErr w:type="spellEnd"/>
            <w:r w:rsidRPr="004D53EC">
              <w:rPr>
                <w:sz w:val="24"/>
                <w:lang w:val="sq-AL"/>
              </w:rPr>
              <w:t xml:space="preserve"> të BE-së në këtë fushë, por Shqipëria mbetet një </w:t>
            </w:r>
            <w:proofErr w:type="spellStart"/>
            <w:r w:rsidRPr="004D53EC">
              <w:rPr>
                <w:sz w:val="24"/>
                <w:lang w:val="sq-AL"/>
              </w:rPr>
              <w:t>destinacion</w:t>
            </w:r>
            <w:proofErr w:type="spellEnd"/>
            <w:r w:rsidRPr="004D53EC">
              <w:rPr>
                <w:sz w:val="24"/>
                <w:lang w:val="sq-AL"/>
              </w:rPr>
              <w:t xml:space="preserve"> dhe një vend </w:t>
            </w:r>
            <w:proofErr w:type="spellStart"/>
            <w:r w:rsidRPr="004D53EC">
              <w:rPr>
                <w:sz w:val="24"/>
                <w:lang w:val="sq-AL"/>
              </w:rPr>
              <w:t>tranziti</w:t>
            </w:r>
            <w:proofErr w:type="spellEnd"/>
            <w:r w:rsidRPr="004D53EC">
              <w:rPr>
                <w:sz w:val="24"/>
                <w:lang w:val="sq-AL"/>
              </w:rPr>
              <w:t xml:space="preserve"> për armët e lehta të zjarrit. Shqipëria ka vijuar të marrë pjesë në misionet dhe operacionet e BE-së për menaxhimin e krizave në kuadër të Politikës së Përbashkët të Sigurisë dhe Mbrojtjes.</w:t>
            </w:r>
          </w:p>
          <w:p w14:paraId="17C18876" w14:textId="77777777" w:rsidR="006C790B" w:rsidRPr="004D53EC" w:rsidRDefault="006C790B" w:rsidP="005760FF">
            <w:pPr>
              <w:pStyle w:val="TableParagraph"/>
              <w:spacing w:before="136" w:line="276" w:lineRule="exact"/>
              <w:ind w:left="511" w:right="100" w:hanging="398"/>
              <w:jc w:val="both"/>
              <w:rPr>
                <w:sz w:val="24"/>
                <w:lang w:val="sq-AL"/>
              </w:rPr>
            </w:pPr>
            <w:r w:rsidRPr="004D53EC">
              <w:rPr>
                <w:sz w:val="24"/>
                <w:lang w:val="sq-AL"/>
              </w:rPr>
              <w:t>Në vitin e ardhshëm, Shqipëria duhet:</w:t>
            </w:r>
          </w:p>
        </w:tc>
      </w:tr>
    </w:tbl>
    <w:p w14:paraId="79FCAD44" w14:textId="77777777" w:rsidR="006C790B" w:rsidRPr="004D53EC" w:rsidRDefault="006C790B" w:rsidP="006C790B">
      <w:pPr>
        <w:jc w:val="both"/>
        <w:rPr>
          <w:sz w:val="24"/>
          <w:lang w:val="sq-AL"/>
        </w:rPr>
        <w:sectPr w:rsidR="006C790B" w:rsidRPr="004D53EC" w:rsidSect="0032048B">
          <w:pgSz w:w="11910" w:h="16840"/>
          <w:pgMar w:top="810" w:right="460" w:bottom="1480" w:left="460" w:header="0" w:footer="1248" w:gutter="0"/>
          <w:cols w:space="720"/>
        </w:sectPr>
      </w:pP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4"/>
      </w:tblGrid>
      <w:tr w:rsidR="006C790B" w:rsidRPr="004D53EC" w14:paraId="0F9CB941" w14:textId="77777777" w:rsidTr="005760FF">
        <w:trPr>
          <w:trHeight w:val="360"/>
        </w:trPr>
        <w:tc>
          <w:tcPr>
            <w:tcW w:w="9254" w:type="dxa"/>
            <w:tcBorders>
              <w:top w:val="nil"/>
            </w:tcBorders>
            <w:shd w:val="clear" w:color="auto" w:fill="D9D9D9"/>
          </w:tcPr>
          <w:p w14:paraId="6D8FF320" w14:textId="77777777" w:rsidR="006C790B" w:rsidRPr="004D53EC" w:rsidRDefault="006C790B" w:rsidP="005760FF">
            <w:pPr>
              <w:pStyle w:val="TableParagraph"/>
              <w:ind w:left="511" w:right="100" w:hanging="398"/>
              <w:jc w:val="both"/>
              <w:rPr>
                <w:sz w:val="24"/>
                <w:lang w:val="sq-AL"/>
              </w:rPr>
            </w:pPr>
            <w:r w:rsidRPr="004D53EC">
              <w:rPr>
                <w:rFonts w:ascii="Symbol" w:hAnsi="Symbol"/>
                <w:sz w:val="24"/>
                <w:lang w:val="sq-AL"/>
              </w:rPr>
              <w:lastRenderedPageBreak/>
              <w:t></w:t>
            </w:r>
            <w:r w:rsidRPr="004D53EC">
              <w:rPr>
                <w:rFonts w:ascii="Symbol" w:hAnsi="Symbol"/>
                <w:sz w:val="24"/>
                <w:lang w:val="sq-AL"/>
              </w:rPr>
              <w:t></w:t>
            </w:r>
            <w:r w:rsidRPr="004D53EC">
              <w:rPr>
                <w:sz w:val="24"/>
                <w:lang w:val="sq-AL"/>
              </w:rPr>
              <w:t xml:space="preserve"> të ruajë harmonizimin e saj me politikën e jashtme, të sigurisë dhe të mbrojtjes të BE-së dhe të forcojë zbatimin e saj në të gjitha forumet ndërkombëtare dhe kapacitetin e saj zbatues në lidhje me masat kufizuese;</w:t>
            </w:r>
          </w:p>
          <w:p w14:paraId="466F0258" w14:textId="77777777" w:rsidR="006C790B" w:rsidRPr="004D53EC" w:rsidRDefault="006C790B" w:rsidP="005760FF">
            <w:pPr>
              <w:pStyle w:val="TableParagraph"/>
              <w:ind w:left="511" w:right="100" w:hanging="398"/>
              <w:jc w:val="both"/>
              <w:rPr>
                <w:sz w:val="24"/>
                <w:lang w:val="sq-AL"/>
              </w:rPr>
            </w:pPr>
            <w:r w:rsidRPr="004D53EC">
              <w:rPr>
                <w:rFonts w:ascii="Symbol" w:hAnsi="Symbol"/>
                <w:sz w:val="24"/>
                <w:lang w:val="sq-AL"/>
              </w:rPr>
              <w:t></w:t>
            </w:r>
            <w:r w:rsidRPr="004D53EC">
              <w:rPr>
                <w:rFonts w:ascii="Symbol" w:hAnsi="Symbol"/>
                <w:sz w:val="24"/>
                <w:lang w:val="sq-AL"/>
              </w:rPr>
              <w:t></w:t>
            </w:r>
            <w:r w:rsidRPr="004D53EC">
              <w:rPr>
                <w:rFonts w:ascii="Symbol" w:hAnsi="Symbol"/>
                <w:sz w:val="24"/>
                <w:lang w:val="sq-AL"/>
              </w:rPr>
              <w:t></w:t>
            </w:r>
            <w:r w:rsidRPr="004D53EC">
              <w:rPr>
                <w:sz w:val="24"/>
                <w:lang w:val="sq-AL"/>
              </w:rPr>
              <w:t>të konsiderojë rritjen e pjesëmarrjes së saj në misionet dhe operacionet e BE-së për menaxhimin e krizave;</w:t>
            </w:r>
          </w:p>
          <w:p w14:paraId="2BB9BD37" w14:textId="77777777" w:rsidR="006C790B" w:rsidRPr="004D53EC" w:rsidRDefault="006C790B" w:rsidP="005760FF">
            <w:pPr>
              <w:pStyle w:val="TableParagraph"/>
              <w:spacing w:before="136" w:line="276" w:lineRule="exact"/>
              <w:ind w:left="511" w:right="100" w:hanging="398"/>
              <w:jc w:val="both"/>
              <w:rPr>
                <w:sz w:val="24"/>
                <w:lang w:val="sq-AL"/>
              </w:rPr>
            </w:pPr>
            <w:r w:rsidRPr="004D53EC">
              <w:rPr>
                <w:rFonts w:ascii="Symbol" w:hAnsi="Symbol"/>
                <w:sz w:val="24"/>
                <w:lang w:val="sq-AL"/>
              </w:rPr>
              <w:t></w:t>
            </w:r>
            <w:r w:rsidRPr="004D53EC">
              <w:rPr>
                <w:spacing w:val="80"/>
                <w:sz w:val="24"/>
                <w:lang w:val="sq-AL"/>
              </w:rPr>
              <w:t xml:space="preserve"> </w:t>
            </w:r>
            <w:r w:rsidRPr="004D53EC">
              <w:rPr>
                <w:sz w:val="24"/>
                <w:lang w:val="sq-AL"/>
              </w:rPr>
              <w:t>të vazhdojë të zbatojë strategjinë e saj kombëtare për armët e vogla dhe të lehta, si dhe planin përkatës të veprimit dhe të rrisë hetimin dhe ndjekjen penale të trafikut të armëve të zjarrit.</w:t>
            </w:r>
          </w:p>
        </w:tc>
      </w:tr>
    </w:tbl>
    <w:p w14:paraId="0A7BB707" w14:textId="77777777" w:rsidR="006C790B" w:rsidRPr="004D53EC" w:rsidRDefault="006C790B" w:rsidP="006C790B">
      <w:pPr>
        <w:pStyle w:val="BodyText"/>
        <w:rPr>
          <w:lang w:val="sq-AL"/>
        </w:rPr>
      </w:pPr>
      <w:r w:rsidRPr="004D53EC">
        <w:rPr>
          <w:b/>
          <w:lang w:val="sq-AL"/>
        </w:rPr>
        <w:t>Dialogu politik</w:t>
      </w:r>
      <w:r w:rsidRPr="004D53EC">
        <w:rPr>
          <w:lang w:val="sq-AL"/>
        </w:rPr>
        <w:t xml:space="preserve"> midis BE-së dhe Shqipërisë për çështjet e politikës së jashtme dhe të sigurisë ka vijuar, duke përfshirë angazhimin aktiv të Shqipërisë në dialogun e politikës së përbashkët të jashtme dhe të sigurisë BE-Ballkani Perëndimor, në nivel të drejtorësh politikë. Shqipëria mbështet Strategjinë Globale për Politikën e Jashtme dhe të Sigurisë të BE-së të qershorit 2016 dhe Kompasin Strategjike për Sigurinë dhe Mbrojtjen.</w:t>
      </w:r>
    </w:p>
    <w:p w14:paraId="472934CD" w14:textId="77777777" w:rsidR="006C790B" w:rsidRPr="004D53EC" w:rsidRDefault="006C790B" w:rsidP="006C790B">
      <w:pPr>
        <w:pStyle w:val="BodyText"/>
        <w:rPr>
          <w:lang w:val="sq-AL"/>
        </w:rPr>
      </w:pPr>
      <w:r w:rsidRPr="004D53EC">
        <w:rPr>
          <w:lang w:val="sq-AL"/>
        </w:rPr>
        <w:t xml:space="preserve">Ministria e Shqipërisë për Evropën dhe Punët e Jashtme ka strukturat e duhura për të marrë pjesë në </w:t>
      </w:r>
      <w:r w:rsidRPr="004D53EC">
        <w:rPr>
          <w:b/>
          <w:lang w:val="sq-AL"/>
        </w:rPr>
        <w:t>politikën e përbashkët të jashtme dhe të sigurisë</w:t>
      </w:r>
      <w:r w:rsidRPr="004D53EC">
        <w:rPr>
          <w:lang w:val="sq-AL"/>
        </w:rPr>
        <w:t xml:space="preserve">, ndërsa Ministria e Mbrojtjes merret më konkretisht me politikën e përbashkët të sigurisë dhe mbrojtjes. Kur u ftua gjatë periudhës së raportimit, Shqipëria u </w:t>
      </w:r>
      <w:proofErr w:type="spellStart"/>
      <w:r w:rsidRPr="004D53EC">
        <w:rPr>
          <w:lang w:val="sq-AL"/>
        </w:rPr>
        <w:t>linjëzua</w:t>
      </w:r>
      <w:proofErr w:type="spellEnd"/>
      <w:r w:rsidRPr="004D53EC">
        <w:rPr>
          <w:lang w:val="sq-AL"/>
        </w:rPr>
        <w:t xml:space="preserve"> me të gjitha vendimet përkatëse të Këshillit dhe deklaratat e Përfaqësuesit të Lartë në emër të BE-së në masën 100%, duke përfshirë të gjitha masat kufizuese të BE-së kundër Rusisë dhe Bjellorusisë pas agresionit të Rusisë kundër Ukrainës. Ky është një sinjal i fortë i përkushtimit strategjik të vendit në rrugën e tij drejt BE-së.</w:t>
      </w:r>
    </w:p>
    <w:p w14:paraId="12DB6B3A" w14:textId="77777777" w:rsidR="006C790B" w:rsidRPr="004D53EC" w:rsidRDefault="006C790B" w:rsidP="006C790B">
      <w:pPr>
        <w:pStyle w:val="BodyText"/>
        <w:spacing w:before="121"/>
        <w:rPr>
          <w:lang w:val="sq-AL"/>
        </w:rPr>
      </w:pPr>
      <w:r w:rsidRPr="004D53EC">
        <w:rPr>
          <w:lang w:val="sq-AL"/>
        </w:rPr>
        <w:t xml:space="preserve">Shqipëria bëri përpjekje për të zbatuar </w:t>
      </w:r>
      <w:r w:rsidRPr="004D53EC">
        <w:rPr>
          <w:b/>
          <w:lang w:val="sq-AL"/>
        </w:rPr>
        <w:t>masat kufizuese</w:t>
      </w:r>
      <w:r w:rsidRPr="004D53EC">
        <w:rPr>
          <w:lang w:val="sq-AL"/>
        </w:rPr>
        <w:t xml:space="preserve"> të BE-së. Megjithatë, zbatimi teknik dhe përforcimi i regjimeve gjithnjë e më komplekse të sanksioneve të BE-së përbën një sfidë. Autoritetet duhet të vazhdojnë të forcojnë kapacitetet e tyre në këtë drejtim. Në mars të vitit 2023, Shqipëria, Maqedonia e Veriut, Kosova dhe Mali i Zi </w:t>
      </w:r>
      <w:proofErr w:type="spellStart"/>
      <w:r w:rsidRPr="004D53EC">
        <w:rPr>
          <w:lang w:val="sq-AL"/>
        </w:rPr>
        <w:t>lançuan</w:t>
      </w:r>
      <w:proofErr w:type="spellEnd"/>
      <w:r w:rsidRPr="004D53EC">
        <w:rPr>
          <w:lang w:val="sq-AL"/>
        </w:rPr>
        <w:t xml:space="preserve"> "QUAD-in e Ballkanit Perëndimor - 100% përafrim me BE CFSP", një platformë që synon të lehtësojë përafrimin e tyre të plotë me CFSP të BE-së.</w:t>
      </w:r>
    </w:p>
    <w:p w14:paraId="06AD3FE1" w14:textId="7B2E2133" w:rsidR="006C790B" w:rsidRPr="004D53EC" w:rsidRDefault="006C790B" w:rsidP="006C790B">
      <w:pPr>
        <w:pStyle w:val="BodyText"/>
        <w:rPr>
          <w:lang w:val="sq-AL"/>
        </w:rPr>
      </w:pPr>
      <w:r w:rsidRPr="004D53EC">
        <w:rPr>
          <w:lang w:val="sq-AL"/>
        </w:rPr>
        <w:t xml:space="preserve">Prioritetet e Shqipërisë, si një anëtare jo e përhershme e Këshillit të Sigurimit të OKB-së në periudhën 2022-2023, janë në linjë me prioritetet e rëndësishme të BE-së, duke përfshirë forcimin e agjendës për gratë, paqen dhe sigurinë, të drejtat e njeriut dhe të drejtën ndërkombëtare, luftën kundër ekstremizmit të dhunshëm, klimën dhe sigurinë. U finalizua plani i ri kombëtar i veprimit për Gratë, Paqen dhe Sigurinë. Shqipëria ka bashkëpunuar dhe koordinuar ngushtë me BE-në dhe me shtetet anëtare të BE-së në Këshillin e Sigurimit të OKB-së, duke përfshirë reagimin ndërkombëtar ndaj agresionit të Rusisë kundër Ukrainës. Në mars 2023, Shqipëria u bë anëtare e Qendrës së Zhvillimit të OECD. Shqipëria përgjithësisht është në linjë me </w:t>
      </w:r>
      <w:r w:rsidR="000857D8" w:rsidRPr="004D53EC">
        <w:rPr>
          <w:lang w:val="sq-AL"/>
        </w:rPr>
        <w:t>qëndrimet</w:t>
      </w:r>
      <w:r w:rsidRPr="004D53EC">
        <w:rPr>
          <w:lang w:val="sq-AL"/>
        </w:rPr>
        <w:t xml:space="preserve"> e BE-së në organizatat ndërkombëtare, por zbatimi i një qasjeje plotësisht të përbashkët ende nuk është arritur.</w:t>
      </w:r>
    </w:p>
    <w:p w14:paraId="3F7849DE" w14:textId="77777777" w:rsidR="006C790B" w:rsidRPr="004D53EC" w:rsidRDefault="006C790B" w:rsidP="006C790B">
      <w:pPr>
        <w:pStyle w:val="BodyText"/>
        <w:rPr>
          <w:lang w:val="sq-AL"/>
        </w:rPr>
      </w:pPr>
      <w:r w:rsidRPr="004D53EC">
        <w:rPr>
          <w:lang w:val="sq-AL"/>
        </w:rPr>
        <w:t xml:space="preserve">Shqipëria ka një marrëveshje dypalëshe imuniteti me Shtetet e Bashkuara, dhe ju ofron shtetasve amerikanë përjashtime nga juridiksioni i </w:t>
      </w:r>
      <w:r w:rsidRPr="004D53EC">
        <w:rPr>
          <w:b/>
          <w:lang w:val="sq-AL"/>
        </w:rPr>
        <w:t>Gjykatës Penale Ndërkombëtare</w:t>
      </w:r>
      <w:r w:rsidRPr="004D53EC">
        <w:rPr>
          <w:lang w:val="sq-AL"/>
        </w:rPr>
        <w:t>. Duke vepruar kështu, ajo nuk përputhet me qëndrimet e përbashkëta të BE-së për integritetin e Statutit të Romës ose me parimet udhëzuese të BE-së lidhur me marrëveshjet dypalëshe të imunitetit. Prandaj është i nevojshëm harmonizimi me pozicionin e BE-së.</w:t>
      </w:r>
    </w:p>
    <w:p w14:paraId="04B6AD28" w14:textId="77777777" w:rsidR="006C790B" w:rsidRPr="004D53EC" w:rsidRDefault="006C790B" w:rsidP="006C790B">
      <w:pPr>
        <w:pStyle w:val="BodyText"/>
        <w:rPr>
          <w:lang w:val="sq-AL"/>
        </w:rPr>
      </w:pPr>
      <w:r w:rsidRPr="004D53EC">
        <w:rPr>
          <w:lang w:val="sq-AL"/>
        </w:rPr>
        <w:t xml:space="preserve">Lidhur me </w:t>
      </w:r>
      <w:r w:rsidRPr="004D53EC">
        <w:rPr>
          <w:b/>
          <w:lang w:val="sq-AL"/>
        </w:rPr>
        <w:t>parandalimin e konflikteve</w:t>
      </w:r>
      <w:r w:rsidRPr="004D53EC">
        <w:rPr>
          <w:lang w:val="sq-AL"/>
        </w:rPr>
        <w:t>, gjatë mandatit të saj aktual si anëtare e zgjedhur e Këshillit të Sigurimit të OKB-së, Shqipëria ka trajtuar me zë të lartë rëndësinë e promovimit të paqes dhe sigurisë nëpërmjet zgjidhjes së krizave aktuale, zgjidhjes paqësore të konflikteve dhe ndërmjetësimit. Shqipëria ka vijuar të mbështesë masat dhe dokumentet e BE-së për parandalimin e konflikteve.</w:t>
      </w:r>
    </w:p>
    <w:p w14:paraId="6F1D9365" w14:textId="77777777" w:rsidR="006C790B" w:rsidRPr="004D53EC" w:rsidRDefault="006C790B" w:rsidP="006C790B">
      <w:pPr>
        <w:pStyle w:val="BodyText"/>
        <w:spacing w:before="62"/>
        <w:ind w:left="979" w:right="977"/>
        <w:rPr>
          <w:lang w:val="sq-AL"/>
        </w:rPr>
      </w:pPr>
      <w:r w:rsidRPr="004D53EC">
        <w:rPr>
          <w:lang w:val="sq-AL"/>
        </w:rPr>
        <w:lastRenderedPageBreak/>
        <w:t xml:space="preserve">Për sa i përket </w:t>
      </w:r>
      <w:r w:rsidRPr="004D53EC">
        <w:rPr>
          <w:b/>
          <w:lang w:val="sq-AL"/>
        </w:rPr>
        <w:t>mospërhapjes</w:t>
      </w:r>
      <w:r w:rsidRPr="004D53EC">
        <w:rPr>
          <w:lang w:val="sq-AL"/>
        </w:rPr>
        <w:t xml:space="preserve">, Shqipëria vijon të zbatojë strategjinë e saj kombëtare për armët e vogla dhe të lehta (SALW), të miratuar në shkurt 2019, dhe planin e veprimit përkatës 2022-2024. Shqipëria gjithashtu vijon të mbetet e angazhuar në mënyrë aktive në zbatimin e udhërrëfyesit rajonal të vitit 2018 dhe formave të tjera rajonale të bashkëpunimit si platforma </w:t>
      </w:r>
      <w:proofErr w:type="spellStart"/>
      <w:r w:rsidRPr="004D53EC">
        <w:rPr>
          <w:lang w:val="sq-AL"/>
        </w:rPr>
        <w:t>multidisiplinare</w:t>
      </w:r>
      <w:proofErr w:type="spellEnd"/>
      <w:r w:rsidRPr="004D53EC">
        <w:rPr>
          <w:lang w:val="sq-AL"/>
        </w:rPr>
        <w:t xml:space="preserve"> evropiane kundër kërcënimeve kriminale (EMPACT) për armët e zjarrit.</w:t>
      </w:r>
    </w:p>
    <w:p w14:paraId="5CAC8EEA" w14:textId="77777777" w:rsidR="006C790B" w:rsidRPr="004D53EC" w:rsidRDefault="006C790B" w:rsidP="006C790B">
      <w:pPr>
        <w:pStyle w:val="BodyText"/>
        <w:rPr>
          <w:lang w:val="sq-AL"/>
        </w:rPr>
      </w:pPr>
      <w:r w:rsidRPr="004D53EC">
        <w:rPr>
          <w:lang w:val="sq-AL"/>
        </w:rPr>
        <w:t xml:space="preserve">Shqipëria ka vijuar të marrë pjesë në disa, por jo në të gjitha, marrëveshjet ndërkombëtare të kontrollit të eksporteve dhe instrumentet e mospërhapjes. Ajo filloi procedurat për të qene pjesë e Marrëveshjes së </w:t>
      </w:r>
      <w:proofErr w:type="spellStart"/>
      <w:r w:rsidRPr="004D53EC">
        <w:rPr>
          <w:lang w:val="sq-AL"/>
        </w:rPr>
        <w:t>Uasena</w:t>
      </w:r>
      <w:proofErr w:type="spellEnd"/>
      <w:r w:rsidRPr="004D53EC">
        <w:rPr>
          <w:lang w:val="sq-AL"/>
        </w:rPr>
        <w:t xml:space="preserve"> në shtator 2020 dhe ky proces duhet të përfundojë shpejt. Shqipëria ka vazhduar zbatimin e strategjisë kombëtare kundër përhapjes së armëve të shkatërrimit në masë dhe planin e saj të veprimit, të miratuar në janar 2020. Që nga maji 2022, Shqipëria shërben si anëtare e Këshillit Ekzekutiv të Organizatës për Ndalimin e Armëve Kimike (ONAK) për periudhën 2022-2024, duke kontribuar aktivisht në zbatimin efektiv të Konventës së Armëve Kimike.</w:t>
      </w:r>
    </w:p>
    <w:p w14:paraId="62F37F59" w14:textId="77777777" w:rsidR="006C790B" w:rsidRPr="004D53EC" w:rsidRDefault="006C790B" w:rsidP="006C790B">
      <w:pPr>
        <w:pStyle w:val="BodyText"/>
        <w:rPr>
          <w:lang w:val="sq-AL"/>
        </w:rPr>
      </w:pPr>
      <w:r w:rsidRPr="004D53EC">
        <w:rPr>
          <w:lang w:val="sq-AL"/>
        </w:rPr>
        <w:t xml:space="preserve">Shqipëria ka vijuar </w:t>
      </w:r>
      <w:r w:rsidRPr="004D53EC">
        <w:rPr>
          <w:b/>
          <w:lang w:val="sq-AL"/>
        </w:rPr>
        <w:t>bashkëpunimin aktiv me organizatat ndërkombëtare</w:t>
      </w:r>
      <w:r w:rsidRPr="004D53EC">
        <w:rPr>
          <w:lang w:val="sq-AL"/>
        </w:rPr>
        <w:t>. Në tetor 2023, Shqipëria u zgjodh në Këshillin e OKB-së për të Drejtat e Njeriut për mandatin 2024-2026.</w:t>
      </w:r>
    </w:p>
    <w:p w14:paraId="32695917" w14:textId="77777777" w:rsidR="006C790B" w:rsidRPr="004D53EC" w:rsidRDefault="006C790B" w:rsidP="006C790B">
      <w:pPr>
        <w:pStyle w:val="BodyText"/>
        <w:rPr>
          <w:lang w:val="sq-AL"/>
        </w:rPr>
      </w:pPr>
      <w:proofErr w:type="spellStart"/>
      <w:r w:rsidRPr="004D53EC">
        <w:rPr>
          <w:lang w:val="sq-AL"/>
        </w:rPr>
        <w:t>Përsa</w:t>
      </w:r>
      <w:proofErr w:type="spellEnd"/>
      <w:r w:rsidRPr="004D53EC">
        <w:rPr>
          <w:lang w:val="sq-AL"/>
        </w:rPr>
        <w:t xml:space="preserve"> i përket </w:t>
      </w:r>
      <w:r w:rsidRPr="004D53EC">
        <w:rPr>
          <w:b/>
          <w:lang w:val="sq-AL"/>
        </w:rPr>
        <w:t>masave të sigurisë</w:t>
      </w:r>
      <w:r w:rsidRPr="004D53EC">
        <w:rPr>
          <w:lang w:val="sq-AL"/>
        </w:rPr>
        <w:t>, Shqipëria ka bërë përparime në rrugën drejt zbatimit të plotë të marrëveshjes së saj të sigurisë së informacionit me BE-në.</w:t>
      </w:r>
    </w:p>
    <w:p w14:paraId="0E8BA671" w14:textId="77777777" w:rsidR="006C790B" w:rsidRPr="004D53EC" w:rsidRDefault="006C790B" w:rsidP="006C790B">
      <w:pPr>
        <w:pStyle w:val="BodyText"/>
        <w:rPr>
          <w:lang w:val="sq-AL"/>
        </w:rPr>
      </w:pPr>
      <w:r w:rsidRPr="004D53EC">
        <w:rPr>
          <w:lang w:val="sq-AL"/>
        </w:rPr>
        <w:t xml:space="preserve">Për sa i përket menaxhimit të krizave civile dhe ushtarake, Shqipëria ka vijuar të marrë pjesë në misionet dhe operacionet e BE-së për menaxhimin e krizave sipas </w:t>
      </w:r>
      <w:r w:rsidRPr="004D53EC">
        <w:rPr>
          <w:b/>
          <w:lang w:val="sq-AL"/>
        </w:rPr>
        <w:t>politikës së përbashkët të sigurisë dhe mbrojtjes</w:t>
      </w:r>
      <w:r w:rsidRPr="004D53EC">
        <w:rPr>
          <w:lang w:val="sq-AL"/>
        </w:rPr>
        <w:t xml:space="preserve">, veçanërisht EUFOR </w:t>
      </w:r>
      <w:proofErr w:type="spellStart"/>
      <w:r w:rsidRPr="004D53EC">
        <w:rPr>
          <w:lang w:val="sq-AL"/>
        </w:rPr>
        <w:t>Althea</w:t>
      </w:r>
      <w:proofErr w:type="spellEnd"/>
      <w:r w:rsidRPr="004D53EC">
        <w:rPr>
          <w:lang w:val="sq-AL"/>
        </w:rPr>
        <w:t xml:space="preserve"> në Bosnjë e Hercegovinë.</w:t>
      </w:r>
    </w:p>
    <w:p w14:paraId="1E7D03C9" w14:textId="77777777" w:rsidR="006C790B" w:rsidRPr="004D53EC" w:rsidRDefault="006C790B" w:rsidP="006C790B">
      <w:pPr>
        <w:pStyle w:val="BodyText"/>
        <w:rPr>
          <w:lang w:val="sq-AL"/>
        </w:rPr>
      </w:pPr>
      <w:r w:rsidRPr="004D53EC">
        <w:rPr>
          <w:lang w:val="sq-AL"/>
        </w:rPr>
        <w:t xml:space="preserve">Shqipëria merr pjesë në masën e asistencës së </w:t>
      </w:r>
      <w:proofErr w:type="spellStart"/>
      <w:r w:rsidRPr="004D53EC">
        <w:rPr>
          <w:lang w:val="sq-AL"/>
        </w:rPr>
        <w:t>Task</w:t>
      </w:r>
      <w:proofErr w:type="spellEnd"/>
      <w:r w:rsidRPr="004D53EC">
        <w:rPr>
          <w:lang w:val="sq-AL"/>
        </w:rPr>
        <w:t xml:space="preserve"> Forcës Mjekësore Ballkanike të </w:t>
      </w:r>
      <w:proofErr w:type="spellStart"/>
      <w:r w:rsidRPr="004D53EC">
        <w:rPr>
          <w:lang w:val="sq-AL"/>
        </w:rPr>
        <w:t>Facilitetit</w:t>
      </w:r>
      <w:proofErr w:type="spellEnd"/>
      <w:r w:rsidRPr="004D53EC">
        <w:rPr>
          <w:lang w:val="sq-AL"/>
        </w:rPr>
        <w:t xml:space="preserve"> Evropian të Paqes.</w:t>
      </w:r>
    </w:p>
    <w:p w14:paraId="3D06FB7B" w14:textId="77777777" w:rsidR="006C790B" w:rsidRPr="004D53EC" w:rsidRDefault="006C790B" w:rsidP="006C790B">
      <w:pPr>
        <w:rPr>
          <w:sz w:val="10"/>
          <w:lang w:val="sq-AL"/>
        </w:rPr>
      </w:pPr>
    </w:p>
    <w:p w14:paraId="4FEA5FC5" w14:textId="77777777" w:rsidR="006C790B" w:rsidRPr="004D53EC" w:rsidRDefault="006C790B" w:rsidP="006C790B">
      <w:pPr>
        <w:pStyle w:val="BodyText"/>
        <w:ind w:right="977"/>
        <w:rPr>
          <w:lang w:val="sq-AL"/>
        </w:rPr>
      </w:pPr>
      <w:r w:rsidRPr="004D53EC">
        <w:rPr>
          <w:lang w:val="sq-AL"/>
        </w:rPr>
        <w:t xml:space="preserve">Lidhur me </w:t>
      </w:r>
      <w:r w:rsidRPr="004D53EC">
        <w:rPr>
          <w:b/>
          <w:lang w:val="sq-AL"/>
        </w:rPr>
        <w:t>kërcënimet hibride</w:t>
      </w:r>
      <w:r w:rsidRPr="004D53EC">
        <w:rPr>
          <w:lang w:val="sq-AL"/>
        </w:rPr>
        <w:t xml:space="preserve">, Shqipëria përfundoi sondazhin e rrezikut hibrid të BE-së me qëllim identifikimin e dobësive sistematike dhe vazhdon të adresojë rekomandimet. Për të përcaktuar gjendjen e zbatimit të rekomandimeve, një ushtrim vijues u mbajt në Tiranë në shtator 2022 nga EEAS dhe Komisioni, i cili fillimisht është zhvilluar në 2020-ën. </w:t>
      </w:r>
    </w:p>
    <w:p w14:paraId="6D68EA58" w14:textId="77777777" w:rsidR="006C790B" w:rsidRPr="004D53EC" w:rsidRDefault="006C790B" w:rsidP="006C790B">
      <w:pPr>
        <w:pStyle w:val="BodyText"/>
        <w:ind w:right="977"/>
        <w:rPr>
          <w:i/>
          <w:lang w:val="sq-AL"/>
        </w:rPr>
      </w:pPr>
      <w:r w:rsidRPr="004D53EC">
        <w:rPr>
          <w:lang w:val="sq-AL"/>
        </w:rPr>
        <w:t xml:space="preserve">Në përgjigje të sulmeve kibernetike në shkallë të gjerë që u zbuluan në korrik dhe shtator 2022, qeveria ka filluar të forcojë ndjeshëm arkitekturën e saj të sigurisë kibernetike – </w:t>
      </w:r>
      <w:r w:rsidRPr="004D53EC">
        <w:rPr>
          <w:i/>
          <w:lang w:val="sq-AL"/>
        </w:rPr>
        <w:t xml:space="preserve">shih Kapitullin 10 - Transformimi </w:t>
      </w:r>
      <w:proofErr w:type="spellStart"/>
      <w:r w:rsidRPr="004D53EC">
        <w:rPr>
          <w:i/>
          <w:lang w:val="sq-AL"/>
        </w:rPr>
        <w:t>dixhital</w:t>
      </w:r>
      <w:proofErr w:type="spellEnd"/>
      <w:r w:rsidRPr="004D53EC">
        <w:rPr>
          <w:i/>
          <w:lang w:val="sq-AL"/>
        </w:rPr>
        <w:t xml:space="preserve"> dhe media.</w:t>
      </w:r>
    </w:p>
    <w:p w14:paraId="6CF333BE" w14:textId="77777777" w:rsidR="006C790B" w:rsidRPr="004D53EC" w:rsidRDefault="006C790B" w:rsidP="006C790B">
      <w:pPr>
        <w:pStyle w:val="BodyText"/>
        <w:ind w:right="977"/>
        <w:rPr>
          <w:lang w:val="sq-AL"/>
        </w:rPr>
      </w:pPr>
      <w:r w:rsidRPr="004D53EC">
        <w:rPr>
          <w:lang w:val="sq-AL"/>
        </w:rPr>
        <w:t xml:space="preserve">Shqipëria duhet të vazhdojë përpjekjet për të mbyllur hapësirën për ndërhyrjet e huaja dhe manipulimin e informacionit, duke përfshirë </w:t>
      </w:r>
      <w:proofErr w:type="spellStart"/>
      <w:r w:rsidRPr="004D53EC">
        <w:rPr>
          <w:lang w:val="sq-AL"/>
        </w:rPr>
        <w:t>dezinformimin</w:t>
      </w:r>
      <w:proofErr w:type="spellEnd"/>
      <w:r w:rsidRPr="004D53EC">
        <w:rPr>
          <w:lang w:val="sq-AL"/>
        </w:rPr>
        <w:t xml:space="preserve"> dhe të ndërmarrë veprime drejt ndërtimit të një rezistence shoqërore ndaj fenomenit dhe formave të tjera të kërcënimeve hibride.</w:t>
      </w:r>
    </w:p>
    <w:p w14:paraId="436C1D33" w14:textId="77777777" w:rsidR="006C790B" w:rsidRPr="004D53EC" w:rsidRDefault="006C790B" w:rsidP="006C790B">
      <w:pPr>
        <w:spacing w:before="62"/>
        <w:ind w:left="980"/>
        <w:jc w:val="both"/>
        <w:rPr>
          <w:b/>
          <w:spacing w:val="-2"/>
          <w:sz w:val="19"/>
          <w:lang w:val="sq-AL"/>
        </w:rPr>
      </w:pPr>
      <w:bookmarkStart w:id="119" w:name="Annex_I_–_Relations_between_the_EU_and_A"/>
      <w:bookmarkStart w:id="120" w:name="_bookmark67"/>
      <w:bookmarkEnd w:id="119"/>
      <w:bookmarkEnd w:id="120"/>
      <w:r w:rsidRPr="004D53EC">
        <w:rPr>
          <w:b/>
          <w:spacing w:val="-2"/>
          <w:sz w:val="19"/>
          <w:lang w:val="sq-AL"/>
        </w:rPr>
        <w:t>ANEKSI I – MARRËDHËNIET MIDIS BE-SË DHE SHQIPËRISË</w:t>
      </w:r>
    </w:p>
    <w:p w14:paraId="25A90A97" w14:textId="5D27F22C" w:rsidR="006C790B" w:rsidRPr="004D53EC" w:rsidRDefault="006C790B" w:rsidP="006C790B">
      <w:pPr>
        <w:pStyle w:val="BodyText"/>
        <w:rPr>
          <w:lang w:val="sq-AL"/>
        </w:rPr>
      </w:pPr>
      <w:r w:rsidRPr="004D53EC">
        <w:rPr>
          <w:lang w:val="sq-AL"/>
        </w:rPr>
        <w:t xml:space="preserve">Shqipëria është vend kandidat që nga viti 2014. Konferenca e parë Ndërqeveritare për negociatat e anëtarësimit u zhvillua më 19 korrik 2022, pas miratimit të kuadrit </w:t>
      </w:r>
      <w:proofErr w:type="spellStart"/>
      <w:r w:rsidRPr="004D53EC">
        <w:rPr>
          <w:lang w:val="sq-AL"/>
        </w:rPr>
        <w:t>negociator</w:t>
      </w:r>
      <w:proofErr w:type="spellEnd"/>
      <w:r w:rsidRPr="004D53EC">
        <w:rPr>
          <w:lang w:val="sq-AL"/>
        </w:rPr>
        <w:t xml:space="preserve"> nga Këshilli. Në të njëjtën ditë, Komisioni nisi shqyrtimin analitik të </w:t>
      </w:r>
      <w:proofErr w:type="spellStart"/>
      <w:r w:rsidRPr="004D53EC">
        <w:rPr>
          <w:i/>
          <w:lang w:val="sq-AL"/>
        </w:rPr>
        <w:t>acquis</w:t>
      </w:r>
      <w:proofErr w:type="spellEnd"/>
      <w:r w:rsidRPr="004D53EC">
        <w:rPr>
          <w:i/>
          <w:lang w:val="sq-AL"/>
        </w:rPr>
        <w:t xml:space="preserve"> </w:t>
      </w:r>
      <w:r w:rsidRPr="004D53EC">
        <w:rPr>
          <w:lang w:val="sq-AL"/>
        </w:rPr>
        <w:t>- procesi “</w:t>
      </w:r>
      <w:proofErr w:type="spellStart"/>
      <w:r w:rsidRPr="004D53EC">
        <w:rPr>
          <w:i/>
          <w:lang w:val="sq-AL"/>
        </w:rPr>
        <w:t>screening</w:t>
      </w:r>
      <w:proofErr w:type="spellEnd"/>
      <w:r w:rsidRPr="004D53EC">
        <w:rPr>
          <w:lang w:val="sq-AL"/>
        </w:rPr>
        <w:t>”, i cili përparon pa probleme. Ndërkohë janë zhvilluar të gjitha sesionet për Grupin I (Themeloret), Grupin II (Tregu i brendshëm), Grupin III (</w:t>
      </w:r>
      <w:proofErr w:type="spellStart"/>
      <w:r w:rsidRPr="004D53EC">
        <w:rPr>
          <w:lang w:val="sq-AL"/>
        </w:rPr>
        <w:t>Konkurrueshmëria</w:t>
      </w:r>
      <w:proofErr w:type="spellEnd"/>
      <w:r w:rsidRPr="004D53EC">
        <w:rPr>
          <w:lang w:val="sq-AL"/>
        </w:rPr>
        <w:t xml:space="preserve"> dhe rritja gjithëpërfshirëse) dhe Grupin 4 (</w:t>
      </w:r>
      <w:proofErr w:type="spellStart"/>
      <w:r w:rsidRPr="004D53EC">
        <w:rPr>
          <w:lang w:val="sq-AL"/>
        </w:rPr>
        <w:t>Axhenda</w:t>
      </w:r>
      <w:proofErr w:type="spellEnd"/>
      <w:r w:rsidRPr="004D53EC">
        <w:rPr>
          <w:lang w:val="sq-AL"/>
        </w:rPr>
        <w:t xml:space="preserve"> e Gjelbër dhe lidhje e qëndrueshme). Takimet shpjeguese për Grupin 5 (Burimet, bujqësia dhe kohezioni) dhe Grupi 6 (Marrëdhëniet e jashtme) kanë përfunduar, ndërkohë vazhdojnë takimet dypalëshe lidhur me këto grupime.</w:t>
      </w:r>
      <w:r w:rsidR="004D53EC">
        <w:rPr>
          <w:lang w:val="sq-AL"/>
        </w:rPr>
        <w:t xml:space="preserve"> </w:t>
      </w:r>
      <w:r w:rsidRPr="004D53EC">
        <w:rPr>
          <w:lang w:val="sq-AL"/>
        </w:rPr>
        <w:t xml:space="preserve">Takimet e mbetura të </w:t>
      </w:r>
      <w:proofErr w:type="spellStart"/>
      <w:r w:rsidRPr="004D53EC">
        <w:rPr>
          <w:i/>
          <w:lang w:val="sq-AL"/>
        </w:rPr>
        <w:t>screening</w:t>
      </w:r>
      <w:proofErr w:type="spellEnd"/>
      <w:r w:rsidRPr="004D53EC">
        <w:rPr>
          <w:lang w:val="sq-AL"/>
        </w:rPr>
        <w:t xml:space="preserve"> janë planifikuar deri në nëntor 2023.</w:t>
      </w:r>
    </w:p>
    <w:p w14:paraId="61080D42" w14:textId="77777777" w:rsidR="006C790B" w:rsidRPr="004D53EC" w:rsidRDefault="006C790B" w:rsidP="006C790B">
      <w:pPr>
        <w:pStyle w:val="BodyText"/>
        <w:rPr>
          <w:lang w:val="sq-AL"/>
        </w:rPr>
      </w:pPr>
      <w:r w:rsidRPr="004D53EC">
        <w:rPr>
          <w:lang w:val="sq-AL"/>
        </w:rPr>
        <w:t xml:space="preserve">Shqipëria merr pjesë në </w:t>
      </w:r>
      <w:r w:rsidRPr="004D53EC">
        <w:rPr>
          <w:b/>
          <w:lang w:val="sq-AL"/>
        </w:rPr>
        <w:t>procesin e Stabilizim-</w:t>
      </w:r>
      <w:proofErr w:type="spellStart"/>
      <w:r w:rsidRPr="004D53EC">
        <w:rPr>
          <w:b/>
          <w:lang w:val="sq-AL"/>
        </w:rPr>
        <w:t>Asociimit</w:t>
      </w:r>
      <w:proofErr w:type="spellEnd"/>
      <w:r w:rsidRPr="004D53EC">
        <w:rPr>
          <w:lang w:val="sq-AL"/>
        </w:rPr>
        <w:t xml:space="preserve"> që nga viti 1999. </w:t>
      </w:r>
      <w:r w:rsidRPr="004D53EC">
        <w:rPr>
          <w:b/>
          <w:lang w:val="sq-AL"/>
        </w:rPr>
        <w:t>Marrëveshja e Stabilizim-</w:t>
      </w:r>
      <w:proofErr w:type="spellStart"/>
      <w:r w:rsidRPr="004D53EC">
        <w:rPr>
          <w:b/>
          <w:lang w:val="sq-AL"/>
        </w:rPr>
        <w:t>Asociimit</w:t>
      </w:r>
      <w:proofErr w:type="spellEnd"/>
      <w:r w:rsidRPr="004D53EC">
        <w:rPr>
          <w:lang w:val="sq-AL"/>
        </w:rPr>
        <w:t xml:space="preserve"> (MSA) ndërmjet Shqipërisë dhe BE-së hyri në fuqi në prill të vitit 2009. Periudha kalimtare e MSA-së përfundoi më 31 mars 2019 dhe që nga 1 prilli 2019, Shqipëria </w:t>
      </w:r>
      <w:r w:rsidRPr="004D53EC">
        <w:rPr>
          <w:lang w:val="sq-AL"/>
        </w:rPr>
        <w:lastRenderedPageBreak/>
        <w:t xml:space="preserve">është e </w:t>
      </w:r>
      <w:proofErr w:type="spellStart"/>
      <w:r w:rsidRPr="004D53EC">
        <w:rPr>
          <w:lang w:val="sq-AL"/>
        </w:rPr>
        <w:t>asociiuar</w:t>
      </w:r>
      <w:proofErr w:type="spellEnd"/>
      <w:r w:rsidRPr="004D53EC">
        <w:rPr>
          <w:lang w:val="sq-AL"/>
        </w:rPr>
        <w:t xml:space="preserve"> plotësisht me BE-në. Në periudhën raportuese, Shqipëria ka vijuar të zbatojë, në tërësi, angazhimet e saj në kuadër të MSA-së. Dialogu i rregullt politik dhe ekonomik ka vazhduar përmes organeve përkatëse të përbashkëta në kuadër të MSA-së. Këshilli i Stabilizim </w:t>
      </w:r>
      <w:proofErr w:type="spellStart"/>
      <w:r w:rsidRPr="004D53EC">
        <w:rPr>
          <w:lang w:val="sq-AL"/>
        </w:rPr>
        <w:t>Asociimit</w:t>
      </w:r>
      <w:proofErr w:type="spellEnd"/>
      <w:r w:rsidRPr="004D53EC">
        <w:rPr>
          <w:lang w:val="sq-AL"/>
        </w:rPr>
        <w:t xml:space="preserve"> u zhvillua më 16 mars 2023, për herë të parë në Tiranë. Diskutimet u fokusuan në progresin në zbatimin e MSA-së si dhe në zhvillimet më të rëndësishme të reformave. Komiteti i Stabilizim </w:t>
      </w:r>
      <w:proofErr w:type="spellStart"/>
      <w:r w:rsidRPr="004D53EC">
        <w:rPr>
          <w:lang w:val="sq-AL"/>
        </w:rPr>
        <w:t>Asociimit</w:t>
      </w:r>
      <w:proofErr w:type="spellEnd"/>
      <w:r w:rsidRPr="004D53EC">
        <w:rPr>
          <w:lang w:val="sq-AL"/>
        </w:rPr>
        <w:t xml:space="preserve"> nuk është mbledhur gjatë periudhës raportuese. Komisioni Parlamentar i Stabilizim </w:t>
      </w:r>
      <w:proofErr w:type="spellStart"/>
      <w:r w:rsidRPr="004D53EC">
        <w:rPr>
          <w:lang w:val="sq-AL"/>
        </w:rPr>
        <w:t>Asociimit</w:t>
      </w:r>
      <w:proofErr w:type="spellEnd"/>
      <w:r w:rsidRPr="004D53EC">
        <w:rPr>
          <w:lang w:val="sq-AL"/>
        </w:rPr>
        <w:t xml:space="preserve"> u takua më 1 dhjetor 2022 dhe 19-20 korrik 2023.</w:t>
      </w:r>
    </w:p>
    <w:p w14:paraId="0CF184FB" w14:textId="77777777" w:rsidR="006C790B" w:rsidRPr="004D53EC" w:rsidRDefault="006C790B" w:rsidP="006C790B">
      <w:pPr>
        <w:pStyle w:val="BodyText"/>
        <w:rPr>
          <w:lang w:val="sq-AL"/>
        </w:rPr>
      </w:pPr>
      <w:r w:rsidRPr="004D53EC">
        <w:rPr>
          <w:lang w:val="sq-AL"/>
        </w:rPr>
        <w:t xml:space="preserve">MSA-ja dhe Marrëveshja përkatëse e Përkohshme, e aplikuar që nga viti 2006, kanë lejuar liberalizimin progresiv të tregtisë dhe </w:t>
      </w:r>
      <w:proofErr w:type="spellStart"/>
      <w:r w:rsidRPr="004D53EC">
        <w:rPr>
          <w:lang w:val="sq-AL"/>
        </w:rPr>
        <w:t>aksesin</w:t>
      </w:r>
      <w:proofErr w:type="spellEnd"/>
      <w:r w:rsidRPr="004D53EC">
        <w:rPr>
          <w:lang w:val="sq-AL"/>
        </w:rPr>
        <w:t xml:space="preserve"> e </w:t>
      </w:r>
      <w:proofErr w:type="spellStart"/>
      <w:r w:rsidRPr="004D53EC">
        <w:rPr>
          <w:lang w:val="sq-AL"/>
        </w:rPr>
        <w:t>ndërsjelltë</w:t>
      </w:r>
      <w:proofErr w:type="spellEnd"/>
      <w:r w:rsidRPr="004D53EC">
        <w:rPr>
          <w:lang w:val="sq-AL"/>
        </w:rPr>
        <w:t xml:space="preserve"> pa doganë për shumicën e mallrave. Që nga viti 2000 Shqipëria ka përfituar edhe nga “masat e tregtisë autonome”. BE-ja është partneri kryesor tregtar i Shqipërisë, i ndjekur nga vendet e CEFTA-s. Integrimi tregtar me BE-në është i lartë. Në vitin 2022 BE mbeti partneri kryesor tregtar i Shqipërisë, duke zënë 59% të tregtisë totale të mallrave të Shqipërisë (73% të totalit të eksporteve dhe 52% të totalit të importeve. Tregtia BE-Shqipëri u rrit me 19% në 2022, duke treguar rimëkëmbjen e vazhdueshme nga ndikimet e pandemisë COVID-19. Tregtia e Shqipërisë në vitin 2022 ishte 12.1 miliardë euro në total. Deficiti tregtar i vendit me BE-në arriti në 1.1 miliardë euro në 2022. Për krahasim, tregtia e Shqipërisë me CEFTA-n përfaqësonte rreth 10.7% të tregtisë totale krahasuar me 10.1% në vitin 2021, gjë që dëshmon një integrim të vazhdueshëm rajonal.</w:t>
      </w:r>
    </w:p>
    <w:p w14:paraId="28874928" w14:textId="77777777" w:rsidR="006C790B" w:rsidRPr="004D53EC" w:rsidRDefault="006C790B" w:rsidP="006C790B">
      <w:pPr>
        <w:pStyle w:val="BodyText"/>
        <w:ind w:left="979"/>
        <w:rPr>
          <w:lang w:val="sq-AL"/>
        </w:rPr>
      </w:pPr>
      <w:r w:rsidRPr="004D53EC">
        <w:rPr>
          <w:b/>
          <w:lang w:val="sq-AL"/>
        </w:rPr>
        <w:t>Liberalizimi i vizave</w:t>
      </w:r>
      <w:r w:rsidRPr="004D53EC">
        <w:rPr>
          <w:lang w:val="sq-AL"/>
        </w:rPr>
        <w:t xml:space="preserve"> për qytetarët e Shqipërisë që udhëtojnë në zonën </w:t>
      </w:r>
      <w:proofErr w:type="spellStart"/>
      <w:r w:rsidRPr="004D53EC">
        <w:rPr>
          <w:lang w:val="sq-AL"/>
        </w:rPr>
        <w:t>Shengen</w:t>
      </w:r>
      <w:proofErr w:type="spellEnd"/>
      <w:r w:rsidRPr="004D53EC">
        <w:rPr>
          <w:lang w:val="sq-AL"/>
        </w:rPr>
        <w:t xml:space="preserve"> ka hyrë në fuqi që nga dhjetori 2010. Një marrëveshje </w:t>
      </w:r>
      <w:proofErr w:type="spellStart"/>
      <w:r w:rsidRPr="004D53EC">
        <w:rPr>
          <w:lang w:val="sq-AL"/>
        </w:rPr>
        <w:t>ripranimi</w:t>
      </w:r>
      <w:proofErr w:type="spellEnd"/>
      <w:r w:rsidRPr="004D53EC">
        <w:rPr>
          <w:lang w:val="sq-AL"/>
        </w:rPr>
        <w:t xml:space="preserve"> midis BE-së dhe Shqipërisë është në fuqi që prej vitit 2006. Raporti i pestë i Komisionit në dhjetor 2022 mbi mekanizmin</w:t>
      </w:r>
      <w:hyperlink w:anchor="_bookmark68" w:history="1">
        <w:r w:rsidRPr="004D53EC">
          <w:rPr>
            <w:vertAlign w:val="superscript"/>
            <w:lang w:val="sq-AL"/>
          </w:rPr>
          <w:t>14</w:t>
        </w:r>
      </w:hyperlink>
      <w:r w:rsidRPr="004D53EC">
        <w:rPr>
          <w:lang w:val="sq-AL"/>
        </w:rPr>
        <w:t xml:space="preserve"> e pezullimit të vizave arriti në përfundimin se Shqipëria vazhdon të plotësojnë kërkesat për liberalizimin e vizave.</w:t>
      </w:r>
    </w:p>
    <w:p w14:paraId="690E514E" w14:textId="77777777" w:rsidR="006C790B" w:rsidRPr="004D53EC" w:rsidRDefault="006C790B" w:rsidP="006C790B">
      <w:pPr>
        <w:pStyle w:val="BodyText"/>
        <w:ind w:left="979"/>
        <w:rPr>
          <w:lang w:val="sq-AL"/>
        </w:rPr>
      </w:pPr>
      <w:r w:rsidRPr="004D53EC">
        <w:rPr>
          <w:lang w:val="sq-AL"/>
        </w:rPr>
        <w:t xml:space="preserve">Shqipëria ka vijuar të përafrohet plotësisht me të gjitha qëndrimet dhe deklaratat e politikës së jashtme dhe të sigurisë të BE-së gjatë periudhës raportuese. Shqipëria ka vazhduar të marrë pjesë aktive në misionet dhe operacionet e BE-së për menaxhimin e krizave në përputhje me politikën e përbashkët të sigurisë dhe mbrojtjes, veçanërisht EUFOR </w:t>
      </w:r>
      <w:proofErr w:type="spellStart"/>
      <w:r w:rsidRPr="004D53EC">
        <w:rPr>
          <w:lang w:val="sq-AL"/>
        </w:rPr>
        <w:t>Althea</w:t>
      </w:r>
      <w:proofErr w:type="spellEnd"/>
      <w:r w:rsidRPr="004D53EC">
        <w:rPr>
          <w:lang w:val="sq-AL"/>
        </w:rPr>
        <w:t xml:space="preserve"> në Bosnjë dhe Hercegovinë.</w:t>
      </w:r>
    </w:p>
    <w:p w14:paraId="65520C01" w14:textId="77777777" w:rsidR="006C790B" w:rsidRPr="004D53EC" w:rsidRDefault="006C790B" w:rsidP="006C790B">
      <w:pPr>
        <w:pStyle w:val="BodyText"/>
        <w:rPr>
          <w:lang w:val="sq-AL"/>
        </w:rPr>
      </w:pPr>
      <w:r w:rsidRPr="004D53EC">
        <w:rPr>
          <w:lang w:val="sq-AL"/>
        </w:rPr>
        <w:t xml:space="preserve">Sipas </w:t>
      </w:r>
      <w:r w:rsidRPr="004D53EC">
        <w:rPr>
          <w:b/>
          <w:lang w:val="sq-AL"/>
        </w:rPr>
        <w:t>Instrumentit për Asistencën e Para-Aderimit</w:t>
      </w:r>
      <w:r w:rsidRPr="004D53EC">
        <w:rPr>
          <w:lang w:val="sq-AL"/>
        </w:rPr>
        <w:t xml:space="preserve"> 2021 – 2027 (IPA III)</w:t>
      </w:r>
      <w:hyperlink w:anchor="_bookmark69" w:history="1">
        <w:r w:rsidRPr="004D53EC">
          <w:rPr>
            <w:vertAlign w:val="superscript"/>
            <w:lang w:val="sq-AL"/>
          </w:rPr>
          <w:t>15</w:t>
        </w:r>
      </w:hyperlink>
      <w:r w:rsidRPr="004D53EC">
        <w:rPr>
          <w:lang w:val="sq-AL"/>
        </w:rPr>
        <w:t>, një Vendim i dytë financues prej 80.6 milionë euro për Planin Vjetor të Veprimit 2022 mbështet procesin e rivlerësimit të gjyqtarëve, demokracisë, zbatimit të ligjit, integrimit në BE, ujit dhe rinisë. Në Samitin BE-BB në Tiranë në dhjetor 2022, Komisioni parashtroi një</w:t>
      </w:r>
    </w:p>
    <w:p w14:paraId="17A36712" w14:textId="77777777" w:rsidR="006C790B" w:rsidRPr="004D53EC" w:rsidRDefault="006C790B" w:rsidP="006C790B">
      <w:pPr>
        <w:pStyle w:val="BodyText"/>
        <w:spacing w:before="150"/>
        <w:ind w:left="0" w:right="0"/>
        <w:jc w:val="left"/>
        <w:rPr>
          <w:sz w:val="20"/>
          <w:lang w:val="sq-AL"/>
        </w:rPr>
      </w:pPr>
      <w:r w:rsidRPr="004D53EC">
        <w:rPr>
          <w:lang w:val="sq-AL"/>
        </w:rPr>
        <mc:AlternateContent>
          <mc:Choice Requires="wps">
            <w:drawing>
              <wp:anchor distT="0" distB="0" distL="0" distR="0" simplePos="0" relativeHeight="251680768" behindDoc="1" locked="0" layoutInCell="1" allowOverlap="1" wp14:anchorId="21190230" wp14:editId="5775AAE7">
                <wp:simplePos x="0" y="0"/>
                <wp:positionH relativeFrom="page">
                  <wp:posOffset>914400</wp:posOffset>
                </wp:positionH>
                <wp:positionV relativeFrom="paragraph">
                  <wp:posOffset>257067</wp:posOffset>
                </wp:positionV>
                <wp:extent cx="1828800" cy="9525"/>
                <wp:effectExtent l="0" t="0" r="0" b="0"/>
                <wp:wrapTopAndBottom/>
                <wp:docPr id="309" name="Graphic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B5ABF8" id="Graphic 309" o:spid="_x0000_s1026" style="position:absolute;margin-left:1in;margin-top:20.25pt;width:2in;height:.75pt;z-index:-25163571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" path="m1828800,l,,,9143r1828800,l1828800,xe" fillcolor="black" stroked="f">
                <v:path arrowok="t"/>
                <w10:wrap type="topAndBottom" anchorx="page"/>
              </v:shape>
            </w:pict>
          </mc:Fallback>
        </mc:AlternateContent>
      </w:r>
    </w:p>
    <w:p w14:paraId="72B5D5CF" w14:textId="77777777" w:rsidR="006C790B" w:rsidRPr="004D53EC" w:rsidRDefault="006C790B" w:rsidP="006C790B">
      <w:pPr>
        <w:spacing w:before="98" w:line="244" w:lineRule="exact"/>
        <w:ind w:left="980"/>
        <w:rPr>
          <w:rFonts w:ascii="Calibri"/>
          <w:spacing w:val="-4"/>
          <w:sz w:val="20"/>
          <w:lang w:val="sq-AL"/>
        </w:rPr>
      </w:pPr>
      <w:bookmarkStart w:id="121" w:name="_bookmark68"/>
      <w:bookmarkEnd w:id="121"/>
      <w:r w:rsidRPr="004D53EC">
        <w:rPr>
          <w:rFonts w:ascii="Calibri"/>
          <w:sz w:val="20"/>
          <w:vertAlign w:val="superscript"/>
          <w:lang w:val="sq-AL"/>
        </w:rPr>
        <w:t>14</w:t>
      </w:r>
      <w:r w:rsidRPr="004D53EC">
        <w:rPr>
          <w:rFonts w:ascii="Calibri"/>
          <w:spacing w:val="-3"/>
          <w:sz w:val="20"/>
          <w:lang w:val="sq-AL"/>
        </w:rPr>
        <w:t xml:space="preserve"> </w:t>
      </w:r>
      <w:r w:rsidRPr="004D53EC">
        <w:rPr>
          <w:rFonts w:ascii="Calibri"/>
          <w:sz w:val="20"/>
          <w:lang w:val="sq-AL"/>
        </w:rPr>
        <w:t>COM(2022)</w:t>
      </w:r>
      <w:r w:rsidRPr="004D53EC">
        <w:rPr>
          <w:rFonts w:ascii="Calibri"/>
          <w:spacing w:val="-3"/>
          <w:sz w:val="20"/>
          <w:lang w:val="sq-AL"/>
        </w:rPr>
        <w:t xml:space="preserve"> </w:t>
      </w:r>
      <w:r w:rsidRPr="004D53EC">
        <w:rPr>
          <w:rFonts w:ascii="Calibri"/>
          <w:sz w:val="20"/>
          <w:lang w:val="sq-AL"/>
        </w:rPr>
        <w:t>715</w:t>
      </w:r>
      <w:r w:rsidRPr="004D53EC">
        <w:rPr>
          <w:rFonts w:ascii="Calibri"/>
          <w:spacing w:val="-4"/>
          <w:sz w:val="20"/>
          <w:lang w:val="sq-AL"/>
        </w:rPr>
        <w:t xml:space="preserve"> final</w:t>
      </w:r>
      <w:bookmarkStart w:id="122" w:name="_bookmark69"/>
      <w:bookmarkEnd w:id="122"/>
    </w:p>
    <w:p w14:paraId="44D84FD9" w14:textId="77777777" w:rsidR="006C790B" w:rsidRPr="004D53EC" w:rsidRDefault="006C790B" w:rsidP="006C790B">
      <w:pPr>
        <w:spacing w:before="98" w:line="244" w:lineRule="exact"/>
        <w:ind w:left="980"/>
        <w:rPr>
          <w:rFonts w:ascii="Calibri"/>
          <w:sz w:val="20"/>
          <w:lang w:val="sq-AL"/>
        </w:rPr>
      </w:pPr>
      <w:r w:rsidRPr="004D53EC">
        <w:rPr>
          <w:rFonts w:ascii="Calibri"/>
          <w:sz w:val="20"/>
          <w:vertAlign w:val="superscript"/>
          <w:lang w:val="sq-AL"/>
        </w:rPr>
        <w:t>15</w:t>
      </w:r>
      <w:r w:rsidRPr="004D53EC">
        <w:rPr>
          <w:rFonts w:ascii="Calibri"/>
          <w:spacing w:val="-3"/>
          <w:sz w:val="20"/>
          <w:lang w:val="sq-AL"/>
        </w:rPr>
        <w:t xml:space="preserve"> </w:t>
      </w:r>
      <w:proofErr w:type="spellStart"/>
      <w:r w:rsidRPr="004D53EC">
        <w:rPr>
          <w:rFonts w:ascii="Calibri"/>
          <w:sz w:val="20"/>
          <w:lang w:val="sq-AL"/>
        </w:rPr>
        <w:t>Official</w:t>
      </w:r>
      <w:proofErr w:type="spellEnd"/>
      <w:r w:rsidRPr="004D53EC">
        <w:rPr>
          <w:rFonts w:ascii="Calibri"/>
          <w:spacing w:val="-3"/>
          <w:sz w:val="20"/>
          <w:lang w:val="sq-AL"/>
        </w:rPr>
        <w:t xml:space="preserve"> </w:t>
      </w:r>
      <w:proofErr w:type="spellStart"/>
      <w:r w:rsidRPr="004D53EC">
        <w:rPr>
          <w:rFonts w:ascii="Calibri"/>
          <w:sz w:val="20"/>
          <w:lang w:val="sq-AL"/>
        </w:rPr>
        <w:t>Journal</w:t>
      </w:r>
      <w:proofErr w:type="spellEnd"/>
      <w:r w:rsidRPr="004D53EC">
        <w:rPr>
          <w:rFonts w:ascii="Calibri"/>
          <w:spacing w:val="-2"/>
          <w:sz w:val="20"/>
          <w:lang w:val="sq-AL"/>
        </w:rPr>
        <w:t xml:space="preserve"> </w:t>
      </w:r>
      <w:r w:rsidRPr="004D53EC">
        <w:rPr>
          <w:rFonts w:ascii="Calibri"/>
          <w:sz w:val="20"/>
          <w:lang w:val="sq-AL"/>
        </w:rPr>
        <w:t>L</w:t>
      </w:r>
      <w:r w:rsidRPr="004D53EC">
        <w:rPr>
          <w:rFonts w:ascii="Calibri"/>
          <w:spacing w:val="-2"/>
          <w:sz w:val="20"/>
          <w:lang w:val="sq-AL"/>
        </w:rPr>
        <w:t xml:space="preserve"> </w:t>
      </w:r>
      <w:r w:rsidRPr="004D53EC">
        <w:rPr>
          <w:rFonts w:ascii="Calibri"/>
          <w:sz w:val="20"/>
          <w:lang w:val="sq-AL"/>
        </w:rPr>
        <w:t>330,</w:t>
      </w:r>
      <w:r w:rsidRPr="004D53EC">
        <w:rPr>
          <w:rFonts w:ascii="Calibri"/>
          <w:spacing w:val="-3"/>
          <w:sz w:val="20"/>
          <w:lang w:val="sq-AL"/>
        </w:rPr>
        <w:t xml:space="preserve"> </w:t>
      </w:r>
      <w:r w:rsidRPr="004D53EC">
        <w:rPr>
          <w:rFonts w:ascii="Calibri"/>
          <w:spacing w:val="-2"/>
          <w:sz w:val="20"/>
          <w:lang w:val="sq-AL"/>
        </w:rPr>
        <w:t>20.9.2021</w:t>
      </w:r>
    </w:p>
    <w:p w14:paraId="397C162B" w14:textId="77777777" w:rsidR="006C790B" w:rsidRPr="004D53EC" w:rsidRDefault="006C790B" w:rsidP="006C790B">
      <w:pPr>
        <w:spacing w:line="244" w:lineRule="exact"/>
        <w:rPr>
          <w:rFonts w:ascii="Calibri"/>
          <w:sz w:val="20"/>
          <w:lang w:val="sq-AL"/>
        </w:rPr>
        <w:sectPr w:rsidR="006C790B" w:rsidRPr="004D53EC">
          <w:pgSz w:w="11910" w:h="16840"/>
          <w:pgMar w:top="1360" w:right="460" w:bottom="1440" w:left="460" w:header="0" w:footer="1248" w:gutter="0"/>
          <w:cols w:space="720"/>
        </w:sectPr>
      </w:pPr>
    </w:p>
    <w:p w14:paraId="686B3D65" w14:textId="77777777" w:rsidR="006C790B" w:rsidRPr="004D53EC" w:rsidRDefault="006C790B" w:rsidP="006C790B">
      <w:pPr>
        <w:pStyle w:val="BodyText"/>
        <w:spacing w:before="62"/>
        <w:ind w:left="979"/>
        <w:rPr>
          <w:lang w:val="sq-AL"/>
        </w:rPr>
      </w:pPr>
      <w:r w:rsidRPr="004D53EC">
        <w:rPr>
          <w:b/>
          <w:lang w:val="sq-AL"/>
        </w:rPr>
        <w:lastRenderedPageBreak/>
        <w:t>Paketë për Mbështetjen e Energjisë</w:t>
      </w:r>
      <w:r w:rsidRPr="004D53EC">
        <w:rPr>
          <w:lang w:val="sq-AL"/>
        </w:rPr>
        <w:t xml:space="preserve"> prej 1 miliard eurosh për Ballkanin Perëndimor për të adresuar nevojat imediate, afatshkurtra dhe afatmesme në rajon në kontekstin e krizës energjetike dhe të agresionit rus kundër Ukrainës. Pas këtij njoftimi, në fund të vitit 2022 (plani vjetor i veprimit 2023) u miratua një program mbështetës buxhetor për Shqipërinë prej 80 milionë eurosh, për të zbutur rritjen e çmimit të energjisë për NVM-të dhe familjet </w:t>
      </w:r>
      <w:proofErr w:type="spellStart"/>
      <w:r w:rsidRPr="004D53EC">
        <w:rPr>
          <w:lang w:val="sq-AL"/>
        </w:rPr>
        <w:t>vulnerabël</w:t>
      </w:r>
      <w:proofErr w:type="spellEnd"/>
      <w:r w:rsidRPr="004D53EC">
        <w:rPr>
          <w:lang w:val="sq-AL"/>
        </w:rPr>
        <w:t xml:space="preserve"> dhe për të përshpejtuar </w:t>
      </w:r>
      <w:proofErr w:type="spellStart"/>
      <w:r w:rsidRPr="004D53EC">
        <w:rPr>
          <w:lang w:val="sq-AL"/>
        </w:rPr>
        <w:t>diversifikimin</w:t>
      </w:r>
      <w:proofErr w:type="spellEnd"/>
      <w:r w:rsidRPr="004D53EC">
        <w:rPr>
          <w:lang w:val="sq-AL"/>
        </w:rPr>
        <w:t xml:space="preserve"> e energjisë. Këto programe plotësohen nga një paketë e konsiderueshme programesh shumë-</w:t>
      </w:r>
      <w:proofErr w:type="spellStart"/>
      <w:r w:rsidRPr="004D53EC">
        <w:rPr>
          <w:lang w:val="sq-AL"/>
        </w:rPr>
        <w:t>vendëshe</w:t>
      </w:r>
      <w:proofErr w:type="spellEnd"/>
      <w:r w:rsidRPr="004D53EC">
        <w:rPr>
          <w:lang w:val="sq-AL"/>
        </w:rPr>
        <w:t xml:space="preserve"> dhe programi i zhvillimit rural IPARD III me 112 milionë euro, të cilat japin një kontribut të rëndësishëm për fillimin e zbatimit të Planit Ekonomik dhe Investimeve për Ballkanin Perëndimor dhe </w:t>
      </w:r>
      <w:proofErr w:type="spellStart"/>
      <w:r w:rsidRPr="004D53EC">
        <w:rPr>
          <w:lang w:val="sq-AL"/>
        </w:rPr>
        <w:t>Axhendës</w:t>
      </w:r>
      <w:proofErr w:type="spellEnd"/>
      <w:r w:rsidRPr="004D53EC">
        <w:rPr>
          <w:lang w:val="sq-AL"/>
        </w:rPr>
        <w:t xml:space="preserve"> së Gjelbër. Shqipëria merr pjesë gjithashtu në programet e bashkëpunimit ndërkufitar, programet e bashkëpunimit </w:t>
      </w:r>
      <w:proofErr w:type="spellStart"/>
      <w:r w:rsidRPr="004D53EC">
        <w:rPr>
          <w:lang w:val="sq-AL"/>
        </w:rPr>
        <w:t>transnacional</w:t>
      </w:r>
      <w:proofErr w:type="spellEnd"/>
      <w:r w:rsidRPr="004D53EC">
        <w:rPr>
          <w:lang w:val="sq-AL"/>
        </w:rPr>
        <w:t xml:space="preserve"> dhe programet e Unionit.</w:t>
      </w:r>
    </w:p>
    <w:p w14:paraId="751F3A5C" w14:textId="77777777" w:rsidR="006C790B" w:rsidRPr="004D53EC" w:rsidRDefault="006C790B" w:rsidP="006C790B">
      <w:pPr>
        <w:pStyle w:val="BodyText"/>
        <w:ind w:left="979"/>
        <w:rPr>
          <w:lang w:val="sq-AL"/>
        </w:rPr>
      </w:pPr>
      <w:r w:rsidRPr="004D53EC">
        <w:rPr>
          <w:lang w:val="sq-AL"/>
        </w:rPr>
        <w:t>Programet në vazhdim të IPA II (2014-2020) ende ofrojnë mbështetje të konsiderueshme për zhvillimin social dhe ekonomik të vendit dhe kontribuojnë në reformat kryesore. Sa i takon grupimit “Themelorët”, është bërë progres me zbatimin e reformës në drejtësi për shembull në procesin e rivlerësimit të gjyqtarëve dhe prokurorëve (“</w:t>
      </w:r>
      <w:proofErr w:type="spellStart"/>
      <w:r w:rsidRPr="004D53EC">
        <w:rPr>
          <w:lang w:val="sq-AL"/>
        </w:rPr>
        <w:t>vetting</w:t>
      </w:r>
      <w:proofErr w:type="spellEnd"/>
      <w:r w:rsidRPr="004D53EC">
        <w:rPr>
          <w:lang w:val="sq-AL"/>
        </w:rPr>
        <w:t xml:space="preserve">”), në mbështetjen e strukturave të specializuara kundër korrupsionit dhe krimit të organizuar, si dhe në luftën kundër pastrimit të parave. Programet e BE-së kanë mbështetur reformën e administratës publike, financat publike, decentralizimin dhe ofrimin e shërbimeve për qytetarët. Përveç kësaj, shoqëria civile ka qenë një partner i fortë në avancimin e fushave </w:t>
      </w:r>
      <w:proofErr w:type="spellStart"/>
      <w:r w:rsidRPr="004D53EC">
        <w:rPr>
          <w:lang w:val="sq-AL"/>
        </w:rPr>
        <w:t>prioritare</w:t>
      </w:r>
      <w:proofErr w:type="spellEnd"/>
      <w:r w:rsidRPr="004D53EC">
        <w:rPr>
          <w:lang w:val="sq-AL"/>
        </w:rPr>
        <w:t xml:space="preserve"> të agjendës për “Themelorët”. Një ndihmë e konsiderueshme financiare e BE-së i është </w:t>
      </w:r>
      <w:proofErr w:type="spellStart"/>
      <w:r w:rsidRPr="004D53EC">
        <w:rPr>
          <w:lang w:val="sq-AL"/>
        </w:rPr>
        <w:t>alokuar</w:t>
      </w:r>
      <w:proofErr w:type="spellEnd"/>
      <w:r w:rsidRPr="004D53EC">
        <w:rPr>
          <w:lang w:val="sq-AL"/>
        </w:rPr>
        <w:t xml:space="preserve"> Shqipërisë për mbrojtjen e mjedisit dhe forcimin e lidhjes me sistemet e transportit të BE-së.</w:t>
      </w:r>
    </w:p>
    <w:p w14:paraId="4A0EC020" w14:textId="77777777" w:rsidR="006C790B" w:rsidRPr="004D53EC" w:rsidRDefault="006C790B" w:rsidP="006C790B">
      <w:pPr>
        <w:pStyle w:val="BodyText"/>
        <w:ind w:left="979"/>
        <w:rPr>
          <w:lang w:val="sq-AL"/>
        </w:rPr>
      </w:pPr>
      <w:r w:rsidRPr="004D53EC">
        <w:rPr>
          <w:lang w:val="sq-AL"/>
        </w:rPr>
        <w:t xml:space="preserve">Shqipëria është i vetmi vend nga rajoni që ka nënshkruar marrëveshje bashkëpunimi me të gjitha agjencitë e drejtësisë dhe të punëve të brendshme të BE-së. Shqipëria merr pjesë në pesë </w:t>
      </w:r>
      <w:r w:rsidRPr="004D53EC">
        <w:rPr>
          <w:b/>
          <w:lang w:val="sq-AL"/>
        </w:rPr>
        <w:t>programe bashkëpunimi ndërkufitare</w:t>
      </w:r>
      <w:r w:rsidRPr="004D53EC">
        <w:rPr>
          <w:lang w:val="sq-AL"/>
        </w:rPr>
        <w:t xml:space="preserve">, si dhe në programe të bashkëpunimit </w:t>
      </w:r>
      <w:proofErr w:type="spellStart"/>
      <w:r w:rsidRPr="004D53EC">
        <w:rPr>
          <w:lang w:val="sq-AL"/>
        </w:rPr>
        <w:t>transnacional</w:t>
      </w:r>
      <w:proofErr w:type="spellEnd"/>
      <w:r w:rsidRPr="004D53EC">
        <w:rPr>
          <w:lang w:val="sq-AL"/>
        </w:rPr>
        <w:t xml:space="preserve">. Shqipëria merr pjesë me mbështetjen e IPA-s në programet e BE-së </w:t>
      </w:r>
      <w:proofErr w:type="spellStart"/>
      <w:r w:rsidRPr="004D53EC">
        <w:rPr>
          <w:lang w:val="sq-AL"/>
        </w:rPr>
        <w:t>Erasmus</w:t>
      </w:r>
      <w:proofErr w:type="spellEnd"/>
      <w:r w:rsidRPr="004D53EC">
        <w:rPr>
          <w:lang w:val="sq-AL"/>
        </w:rPr>
        <w:t xml:space="preserve">+, </w:t>
      </w:r>
      <w:proofErr w:type="spellStart"/>
      <w:r w:rsidRPr="004D53EC">
        <w:rPr>
          <w:lang w:val="sq-AL"/>
        </w:rPr>
        <w:t>Europa</w:t>
      </w:r>
      <w:proofErr w:type="spellEnd"/>
      <w:r w:rsidRPr="004D53EC">
        <w:rPr>
          <w:lang w:val="sq-AL"/>
        </w:rPr>
        <w:t xml:space="preserve"> Kreative (Fillesat e Kulturës dhe Medias), Punësimi dhe Inovacioni Social, </w:t>
      </w:r>
      <w:proofErr w:type="spellStart"/>
      <w:r w:rsidRPr="004D53EC">
        <w:rPr>
          <w:lang w:val="sq-AL"/>
        </w:rPr>
        <w:t>Horizon</w:t>
      </w:r>
      <w:proofErr w:type="spellEnd"/>
      <w:r w:rsidRPr="004D53EC">
        <w:rPr>
          <w:lang w:val="sq-AL"/>
        </w:rPr>
        <w:t xml:space="preserve"> 2020, Dogana 2020, </w:t>
      </w:r>
      <w:proofErr w:type="spellStart"/>
      <w:r w:rsidRPr="004D53EC">
        <w:rPr>
          <w:lang w:val="sq-AL"/>
        </w:rPr>
        <w:t>Fiscalis</w:t>
      </w:r>
      <w:proofErr w:type="spellEnd"/>
      <w:r w:rsidRPr="004D53EC">
        <w:rPr>
          <w:lang w:val="sq-AL"/>
        </w:rPr>
        <w:t xml:space="preserve"> 2020, Programi i Konkurrencës së Ndërmarrjeve të Vogla dhe të Mesme (COSME), Drejtësi, Evropa për Qytetarët dhe Agjencia për të Drejtat Themelore të BE-së (FRA) (vëzhgues). Për të përmirësuar përgjegjshmërinë e administratës publike në vend, Shqipëria po merr pjesë si vëzhguese në një projekt pilot të Instrumentit të Mbështetjes Teknike.</w:t>
      </w:r>
    </w:p>
    <w:p w14:paraId="32ED6A43" w14:textId="77777777" w:rsidR="006C790B" w:rsidRPr="004D53EC" w:rsidRDefault="006C790B" w:rsidP="006C790B">
      <w:pPr>
        <w:rPr>
          <w:sz w:val="14"/>
          <w:lang w:val="sq-AL"/>
        </w:rPr>
      </w:pPr>
    </w:p>
    <w:p w14:paraId="59124FA0" w14:textId="77777777" w:rsidR="006C790B" w:rsidRPr="004D53EC" w:rsidRDefault="006C790B" w:rsidP="006C790B">
      <w:pPr>
        <w:pStyle w:val="BodyText"/>
        <w:spacing w:before="119"/>
        <w:ind w:left="979" w:right="978"/>
        <w:rPr>
          <w:lang w:val="sq-AL"/>
        </w:rPr>
      </w:pPr>
      <w:r w:rsidRPr="004D53EC">
        <w:rPr>
          <w:b/>
          <w:lang w:val="sq-AL"/>
        </w:rPr>
        <w:t>Kuadri i Investimeve në Ballkanin Perëndimor</w:t>
      </w:r>
      <w:r w:rsidRPr="004D53EC">
        <w:rPr>
          <w:lang w:val="sq-AL"/>
        </w:rPr>
        <w:t xml:space="preserve"> (ËBIF) ka mbështetur Shqipërinë në shumën prej 217.8 milionë euro të ofruara si </w:t>
      </w:r>
      <w:proofErr w:type="spellStart"/>
      <w:r w:rsidRPr="004D53EC">
        <w:rPr>
          <w:lang w:val="sq-AL"/>
        </w:rPr>
        <w:t>grante</w:t>
      </w:r>
      <w:proofErr w:type="spellEnd"/>
      <w:r w:rsidRPr="004D53EC">
        <w:rPr>
          <w:lang w:val="sq-AL"/>
        </w:rPr>
        <w:t xml:space="preserve"> nga IPA III për projektet kryesore në fushën e energjisë së pastër, mjedisit dhe klimës, të ardhmes </w:t>
      </w:r>
      <w:proofErr w:type="spellStart"/>
      <w:r w:rsidRPr="004D53EC">
        <w:rPr>
          <w:lang w:val="sq-AL"/>
        </w:rPr>
        <w:t>dixhitale</w:t>
      </w:r>
      <w:proofErr w:type="spellEnd"/>
      <w:r w:rsidRPr="004D53EC">
        <w:rPr>
          <w:lang w:val="sq-AL"/>
        </w:rPr>
        <w:t xml:space="preserve"> dhe transportit të qëndrueshëm.</w:t>
      </w:r>
    </w:p>
    <w:p w14:paraId="2E858B50" w14:textId="21173BBD" w:rsidR="006C790B" w:rsidRPr="004D53EC" w:rsidRDefault="006C790B" w:rsidP="006C790B">
      <w:pPr>
        <w:pStyle w:val="BodyText"/>
        <w:spacing w:before="119"/>
        <w:ind w:left="979" w:right="978"/>
        <w:rPr>
          <w:lang w:val="sq-AL"/>
        </w:rPr>
        <w:sectPr w:rsidR="006C790B" w:rsidRPr="004D53EC">
          <w:pgSz w:w="11910" w:h="16840"/>
          <w:pgMar w:top="1360" w:right="460" w:bottom="1480" w:left="460" w:header="0" w:footer="1248" w:gutter="0"/>
          <w:cols w:space="720"/>
        </w:sectPr>
      </w:pPr>
      <w:r w:rsidRPr="004D53EC">
        <w:rPr>
          <w:lang w:val="sq-AL"/>
        </w:rPr>
        <w:t xml:space="preserve">BE-ja ofron mbështetje nëpërmjet IPA-s dhe Instrumentit të Politikës së Jashtme për të forcuar qëndrueshmërinë e partnerëve të Ballkanit Perëndimor për t'u përballur me kërcënimet hibride, duke përfshirë manipulimin e informacionit </w:t>
      </w:r>
      <w:proofErr w:type="spellStart"/>
      <w:r w:rsidRPr="004D53EC">
        <w:rPr>
          <w:lang w:val="sq-AL"/>
        </w:rPr>
        <w:t>kibernetik</w:t>
      </w:r>
      <w:proofErr w:type="spellEnd"/>
      <w:r w:rsidRPr="004D53EC">
        <w:rPr>
          <w:lang w:val="sq-AL"/>
        </w:rPr>
        <w:t xml:space="preserve"> të huaj dhe </w:t>
      </w:r>
      <w:proofErr w:type="spellStart"/>
      <w:r w:rsidRPr="004D53EC">
        <w:rPr>
          <w:lang w:val="sq-AL"/>
        </w:rPr>
        <w:t>ndërhyr</w:t>
      </w:r>
      <w:proofErr w:type="spellEnd"/>
    </w:p>
    <w:p w14:paraId="0645C497" w14:textId="77777777" w:rsidR="0088112C" w:rsidRPr="004D53EC" w:rsidRDefault="0088112C" w:rsidP="0088112C">
      <w:pPr>
        <w:spacing w:before="120"/>
        <w:ind w:right="976"/>
        <w:jc w:val="both"/>
        <w:rPr>
          <w:sz w:val="24"/>
          <w:szCs w:val="24"/>
          <w:vertAlign w:val="superscript"/>
          <w:lang w:val="sq-AL"/>
        </w:rPr>
      </w:pPr>
    </w:p>
    <w:p w14:paraId="5F7D5B13" w14:textId="77777777" w:rsidR="0088112C" w:rsidRPr="004D53EC" w:rsidRDefault="0088112C" w:rsidP="00E6279B">
      <w:pPr>
        <w:spacing w:before="120"/>
        <w:ind w:left="980" w:right="976"/>
        <w:jc w:val="both"/>
        <w:rPr>
          <w:sz w:val="24"/>
          <w:szCs w:val="24"/>
          <w:vertAlign w:val="superscript"/>
          <w:lang w:val="sq-AL"/>
        </w:rPr>
      </w:pPr>
    </w:p>
    <w:p w14:paraId="4A532324" w14:textId="77777777" w:rsidR="0088112C" w:rsidRPr="004D53EC" w:rsidRDefault="0088112C" w:rsidP="0088112C">
      <w:pPr>
        <w:pStyle w:val="BodyText"/>
        <w:spacing w:before="0"/>
        <w:ind w:left="0" w:right="0"/>
        <w:jc w:val="left"/>
        <w:rPr>
          <w:sz w:val="5"/>
          <w:lang w:val="sq-AL"/>
        </w:r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04"/>
        <w:gridCol w:w="568"/>
        <w:gridCol w:w="1134"/>
        <w:gridCol w:w="1134"/>
        <w:gridCol w:w="1134"/>
        <w:gridCol w:w="1134"/>
        <w:gridCol w:w="1134"/>
        <w:gridCol w:w="1134"/>
      </w:tblGrid>
      <w:tr w:rsidR="0088112C" w:rsidRPr="004D53EC" w14:paraId="065BAF9D" w14:textId="77777777" w:rsidTr="005760FF">
        <w:trPr>
          <w:trHeight w:val="200"/>
        </w:trPr>
        <w:tc>
          <w:tcPr>
            <w:tcW w:w="6804" w:type="dxa"/>
            <w:tcBorders>
              <w:top w:val="nil"/>
              <w:left w:val="nil"/>
              <w:bottom w:val="nil"/>
              <w:right w:val="nil"/>
            </w:tcBorders>
          </w:tcPr>
          <w:p w14:paraId="7277F311" w14:textId="77777777" w:rsidR="0088112C" w:rsidRPr="004D53EC" w:rsidRDefault="0088112C" w:rsidP="005760FF">
            <w:pPr>
              <w:pStyle w:val="TableParagraph"/>
              <w:spacing w:line="178" w:lineRule="exact"/>
              <w:ind w:left="115"/>
              <w:jc w:val="left"/>
              <w:rPr>
                <w:rFonts w:ascii="Arial"/>
                <w:b/>
                <w:sz w:val="16"/>
                <w:lang w:val="sq-AL"/>
              </w:rPr>
            </w:pPr>
            <w:r w:rsidRPr="004D53EC">
              <w:rPr>
                <w:b/>
                <w:sz w:val="16"/>
                <w:lang w:val="sq-AL" w:bidi="sq-AL"/>
              </w:rPr>
              <w:t>TË DHËNA STATISTIKORE (Deri më 31/08/2023)</w:t>
            </w:r>
          </w:p>
        </w:tc>
        <w:tc>
          <w:tcPr>
            <w:tcW w:w="568" w:type="dxa"/>
            <w:tcBorders>
              <w:top w:val="nil"/>
              <w:left w:val="nil"/>
              <w:bottom w:val="nil"/>
              <w:right w:val="nil"/>
            </w:tcBorders>
          </w:tcPr>
          <w:p w14:paraId="7EB4CEF4" w14:textId="77777777" w:rsidR="0088112C" w:rsidRPr="004D53EC" w:rsidRDefault="0088112C" w:rsidP="005760FF">
            <w:pPr>
              <w:pStyle w:val="TableParagraph"/>
              <w:ind w:left="0"/>
              <w:jc w:val="left"/>
              <w:rPr>
                <w:sz w:val="12"/>
                <w:lang w:val="sq-AL"/>
              </w:rPr>
            </w:pPr>
          </w:p>
        </w:tc>
        <w:tc>
          <w:tcPr>
            <w:tcW w:w="1134" w:type="dxa"/>
            <w:tcBorders>
              <w:top w:val="nil"/>
              <w:left w:val="nil"/>
              <w:bottom w:val="nil"/>
              <w:right w:val="nil"/>
            </w:tcBorders>
          </w:tcPr>
          <w:p w14:paraId="7974698A" w14:textId="77777777" w:rsidR="0088112C" w:rsidRPr="004D53EC" w:rsidRDefault="0088112C" w:rsidP="005760FF">
            <w:pPr>
              <w:pStyle w:val="TableParagraph"/>
              <w:ind w:left="0"/>
              <w:jc w:val="left"/>
              <w:rPr>
                <w:sz w:val="12"/>
                <w:lang w:val="sq-AL"/>
              </w:rPr>
            </w:pPr>
          </w:p>
        </w:tc>
        <w:tc>
          <w:tcPr>
            <w:tcW w:w="1134" w:type="dxa"/>
            <w:tcBorders>
              <w:top w:val="nil"/>
              <w:left w:val="nil"/>
              <w:bottom w:val="nil"/>
              <w:right w:val="nil"/>
            </w:tcBorders>
          </w:tcPr>
          <w:p w14:paraId="0201B990" w14:textId="77777777" w:rsidR="0088112C" w:rsidRPr="004D53EC" w:rsidRDefault="0088112C" w:rsidP="005760FF">
            <w:pPr>
              <w:pStyle w:val="TableParagraph"/>
              <w:ind w:left="0"/>
              <w:jc w:val="left"/>
              <w:rPr>
                <w:sz w:val="12"/>
                <w:lang w:val="sq-AL"/>
              </w:rPr>
            </w:pPr>
          </w:p>
        </w:tc>
        <w:tc>
          <w:tcPr>
            <w:tcW w:w="1134" w:type="dxa"/>
            <w:tcBorders>
              <w:top w:val="nil"/>
              <w:left w:val="nil"/>
              <w:bottom w:val="nil"/>
              <w:right w:val="nil"/>
            </w:tcBorders>
          </w:tcPr>
          <w:p w14:paraId="1738887B" w14:textId="77777777" w:rsidR="0088112C" w:rsidRPr="004D53EC" w:rsidRDefault="0088112C" w:rsidP="005760FF">
            <w:pPr>
              <w:pStyle w:val="TableParagraph"/>
              <w:ind w:left="0"/>
              <w:jc w:val="left"/>
              <w:rPr>
                <w:sz w:val="12"/>
                <w:lang w:val="sq-AL"/>
              </w:rPr>
            </w:pPr>
          </w:p>
        </w:tc>
        <w:tc>
          <w:tcPr>
            <w:tcW w:w="1134" w:type="dxa"/>
            <w:tcBorders>
              <w:top w:val="nil"/>
              <w:left w:val="nil"/>
              <w:bottom w:val="nil"/>
              <w:right w:val="nil"/>
            </w:tcBorders>
          </w:tcPr>
          <w:p w14:paraId="6ED88EE1" w14:textId="77777777" w:rsidR="0088112C" w:rsidRPr="004D53EC" w:rsidRDefault="0088112C" w:rsidP="005760FF">
            <w:pPr>
              <w:pStyle w:val="TableParagraph"/>
              <w:ind w:left="0"/>
              <w:jc w:val="left"/>
              <w:rPr>
                <w:sz w:val="12"/>
                <w:lang w:val="sq-AL"/>
              </w:rPr>
            </w:pPr>
          </w:p>
        </w:tc>
        <w:tc>
          <w:tcPr>
            <w:tcW w:w="1134" w:type="dxa"/>
            <w:tcBorders>
              <w:top w:val="nil"/>
              <w:left w:val="nil"/>
              <w:bottom w:val="nil"/>
              <w:right w:val="nil"/>
            </w:tcBorders>
          </w:tcPr>
          <w:p w14:paraId="04EE476D" w14:textId="77777777" w:rsidR="0088112C" w:rsidRPr="004D53EC" w:rsidRDefault="0088112C" w:rsidP="005760FF">
            <w:pPr>
              <w:pStyle w:val="TableParagraph"/>
              <w:ind w:left="0"/>
              <w:jc w:val="left"/>
              <w:rPr>
                <w:sz w:val="12"/>
                <w:lang w:val="sq-AL"/>
              </w:rPr>
            </w:pPr>
          </w:p>
        </w:tc>
        <w:tc>
          <w:tcPr>
            <w:tcW w:w="1134" w:type="dxa"/>
            <w:tcBorders>
              <w:top w:val="nil"/>
              <w:left w:val="nil"/>
              <w:bottom w:val="nil"/>
              <w:right w:val="nil"/>
            </w:tcBorders>
          </w:tcPr>
          <w:p w14:paraId="4436D379" w14:textId="77777777" w:rsidR="0088112C" w:rsidRPr="004D53EC" w:rsidRDefault="0088112C" w:rsidP="005760FF">
            <w:pPr>
              <w:pStyle w:val="TableParagraph"/>
              <w:ind w:left="0"/>
              <w:jc w:val="left"/>
              <w:rPr>
                <w:sz w:val="12"/>
                <w:lang w:val="sq-AL"/>
              </w:rPr>
            </w:pPr>
          </w:p>
        </w:tc>
      </w:tr>
      <w:tr w:rsidR="0088112C" w:rsidRPr="004D53EC" w14:paraId="39A98686" w14:textId="77777777" w:rsidTr="005760FF">
        <w:trPr>
          <w:trHeight w:val="491"/>
        </w:trPr>
        <w:tc>
          <w:tcPr>
            <w:tcW w:w="6804" w:type="dxa"/>
            <w:tcBorders>
              <w:top w:val="nil"/>
              <w:left w:val="nil"/>
              <w:bottom w:val="nil"/>
              <w:right w:val="nil"/>
            </w:tcBorders>
          </w:tcPr>
          <w:p w14:paraId="066CC7AC" w14:textId="77777777" w:rsidR="0088112C" w:rsidRPr="004D53EC" w:rsidRDefault="0088112C" w:rsidP="005760FF">
            <w:pPr>
              <w:pStyle w:val="TableParagraph"/>
              <w:spacing w:before="17"/>
              <w:ind w:left="115"/>
              <w:jc w:val="left"/>
              <w:rPr>
                <w:rFonts w:ascii="Arial"/>
                <w:b/>
                <w:sz w:val="16"/>
                <w:lang w:val="sq-AL"/>
              </w:rPr>
            </w:pPr>
            <w:r w:rsidRPr="004D53EC">
              <w:rPr>
                <w:b/>
                <w:color w:val="FF0000"/>
                <w:spacing w:val="-2"/>
                <w:sz w:val="16"/>
                <w:lang w:val="sq-AL" w:bidi="sq-AL"/>
              </w:rPr>
              <w:t>Shqipëria</w:t>
            </w:r>
          </w:p>
        </w:tc>
        <w:tc>
          <w:tcPr>
            <w:tcW w:w="568" w:type="dxa"/>
            <w:tcBorders>
              <w:top w:val="nil"/>
              <w:left w:val="nil"/>
              <w:right w:val="nil"/>
            </w:tcBorders>
          </w:tcPr>
          <w:p w14:paraId="1634B65A" w14:textId="77777777" w:rsidR="0088112C" w:rsidRPr="004D53EC" w:rsidRDefault="0088112C" w:rsidP="005760FF">
            <w:pPr>
              <w:pStyle w:val="TableParagraph"/>
              <w:ind w:left="0"/>
              <w:jc w:val="left"/>
              <w:rPr>
                <w:sz w:val="14"/>
                <w:lang w:val="sq-AL"/>
              </w:rPr>
            </w:pPr>
          </w:p>
        </w:tc>
        <w:tc>
          <w:tcPr>
            <w:tcW w:w="1134" w:type="dxa"/>
            <w:tcBorders>
              <w:top w:val="nil"/>
              <w:left w:val="nil"/>
              <w:right w:val="nil"/>
            </w:tcBorders>
          </w:tcPr>
          <w:p w14:paraId="7F445C41" w14:textId="77777777" w:rsidR="0088112C" w:rsidRPr="004D53EC" w:rsidRDefault="0088112C" w:rsidP="005760FF">
            <w:pPr>
              <w:pStyle w:val="TableParagraph"/>
              <w:ind w:left="0"/>
              <w:jc w:val="left"/>
              <w:rPr>
                <w:sz w:val="14"/>
                <w:lang w:val="sq-AL"/>
              </w:rPr>
            </w:pPr>
          </w:p>
        </w:tc>
        <w:tc>
          <w:tcPr>
            <w:tcW w:w="1134" w:type="dxa"/>
            <w:tcBorders>
              <w:top w:val="nil"/>
              <w:left w:val="nil"/>
              <w:right w:val="nil"/>
            </w:tcBorders>
          </w:tcPr>
          <w:p w14:paraId="7C942757" w14:textId="77777777" w:rsidR="0088112C" w:rsidRPr="004D53EC" w:rsidRDefault="0088112C" w:rsidP="005760FF">
            <w:pPr>
              <w:pStyle w:val="TableParagraph"/>
              <w:ind w:left="0"/>
              <w:jc w:val="left"/>
              <w:rPr>
                <w:sz w:val="14"/>
                <w:lang w:val="sq-AL"/>
              </w:rPr>
            </w:pPr>
          </w:p>
        </w:tc>
        <w:tc>
          <w:tcPr>
            <w:tcW w:w="1134" w:type="dxa"/>
            <w:tcBorders>
              <w:top w:val="nil"/>
              <w:left w:val="nil"/>
              <w:right w:val="nil"/>
            </w:tcBorders>
          </w:tcPr>
          <w:p w14:paraId="5AB62D04" w14:textId="77777777" w:rsidR="0088112C" w:rsidRPr="004D53EC" w:rsidRDefault="0088112C" w:rsidP="005760FF">
            <w:pPr>
              <w:pStyle w:val="TableParagraph"/>
              <w:ind w:left="0"/>
              <w:jc w:val="left"/>
              <w:rPr>
                <w:sz w:val="14"/>
                <w:lang w:val="sq-AL"/>
              </w:rPr>
            </w:pPr>
          </w:p>
        </w:tc>
        <w:tc>
          <w:tcPr>
            <w:tcW w:w="1134" w:type="dxa"/>
            <w:tcBorders>
              <w:top w:val="nil"/>
              <w:left w:val="nil"/>
              <w:right w:val="nil"/>
            </w:tcBorders>
          </w:tcPr>
          <w:p w14:paraId="19E9C866" w14:textId="77777777" w:rsidR="0088112C" w:rsidRPr="004D53EC" w:rsidRDefault="0088112C" w:rsidP="005760FF">
            <w:pPr>
              <w:pStyle w:val="TableParagraph"/>
              <w:ind w:left="0"/>
              <w:jc w:val="left"/>
              <w:rPr>
                <w:sz w:val="14"/>
                <w:lang w:val="sq-AL"/>
              </w:rPr>
            </w:pPr>
          </w:p>
        </w:tc>
        <w:tc>
          <w:tcPr>
            <w:tcW w:w="1134" w:type="dxa"/>
            <w:tcBorders>
              <w:top w:val="nil"/>
              <w:left w:val="nil"/>
              <w:right w:val="nil"/>
            </w:tcBorders>
          </w:tcPr>
          <w:p w14:paraId="38B9B1A5" w14:textId="77777777" w:rsidR="0088112C" w:rsidRPr="004D53EC" w:rsidRDefault="0088112C" w:rsidP="005760FF">
            <w:pPr>
              <w:pStyle w:val="TableParagraph"/>
              <w:ind w:left="0"/>
              <w:jc w:val="left"/>
              <w:rPr>
                <w:sz w:val="14"/>
                <w:lang w:val="sq-AL"/>
              </w:rPr>
            </w:pPr>
          </w:p>
        </w:tc>
        <w:tc>
          <w:tcPr>
            <w:tcW w:w="1134" w:type="dxa"/>
            <w:tcBorders>
              <w:top w:val="nil"/>
              <w:left w:val="nil"/>
              <w:right w:val="nil"/>
            </w:tcBorders>
          </w:tcPr>
          <w:p w14:paraId="46E0D072" w14:textId="77777777" w:rsidR="0088112C" w:rsidRPr="004D53EC" w:rsidRDefault="0088112C" w:rsidP="005760FF">
            <w:pPr>
              <w:pStyle w:val="TableParagraph"/>
              <w:ind w:left="0"/>
              <w:jc w:val="left"/>
              <w:rPr>
                <w:sz w:val="14"/>
                <w:lang w:val="sq-AL"/>
              </w:rPr>
            </w:pPr>
          </w:p>
        </w:tc>
      </w:tr>
      <w:tr w:rsidR="0088112C" w:rsidRPr="004D53EC" w14:paraId="71438987" w14:textId="77777777" w:rsidTr="005760FF">
        <w:trPr>
          <w:trHeight w:val="223"/>
        </w:trPr>
        <w:tc>
          <w:tcPr>
            <w:tcW w:w="6804" w:type="dxa"/>
            <w:tcBorders>
              <w:top w:val="nil"/>
              <w:left w:val="nil"/>
            </w:tcBorders>
          </w:tcPr>
          <w:p w14:paraId="379A85BE" w14:textId="77777777" w:rsidR="0088112C" w:rsidRPr="004D53EC" w:rsidRDefault="0088112C" w:rsidP="005760FF">
            <w:pPr>
              <w:pStyle w:val="TableParagraph"/>
              <w:spacing w:before="1"/>
              <w:ind w:left="115"/>
              <w:jc w:val="left"/>
              <w:rPr>
                <w:rFonts w:ascii="Arial"/>
                <w:b/>
                <w:sz w:val="16"/>
                <w:lang w:val="sq-AL"/>
              </w:rPr>
            </w:pPr>
            <w:r w:rsidRPr="004D53EC">
              <w:rPr>
                <w:b/>
                <w:sz w:val="16"/>
                <w:lang w:val="sq-AL" w:bidi="sq-AL"/>
              </w:rPr>
              <w:t>Të dhëna bazë</w:t>
            </w:r>
          </w:p>
        </w:tc>
        <w:tc>
          <w:tcPr>
            <w:tcW w:w="568" w:type="dxa"/>
          </w:tcPr>
          <w:p w14:paraId="3E09934E" w14:textId="77777777" w:rsidR="0088112C" w:rsidRPr="004D53EC" w:rsidRDefault="0088112C" w:rsidP="005760FF">
            <w:pPr>
              <w:pStyle w:val="TableParagraph"/>
              <w:spacing w:before="1"/>
              <w:ind w:left="113"/>
              <w:jc w:val="left"/>
              <w:rPr>
                <w:rFonts w:ascii="Arial MT"/>
                <w:sz w:val="16"/>
                <w:lang w:val="sq-AL"/>
              </w:rPr>
            </w:pPr>
            <w:r w:rsidRPr="004D53EC">
              <w:rPr>
                <w:spacing w:val="-4"/>
                <w:sz w:val="16"/>
                <w:lang w:val="sq-AL" w:bidi="sq-AL"/>
              </w:rPr>
              <w:t>Shënime</w:t>
            </w:r>
          </w:p>
        </w:tc>
        <w:tc>
          <w:tcPr>
            <w:tcW w:w="1134" w:type="dxa"/>
          </w:tcPr>
          <w:p w14:paraId="1064E38B"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2010</w:t>
            </w:r>
          </w:p>
        </w:tc>
        <w:tc>
          <w:tcPr>
            <w:tcW w:w="1134" w:type="dxa"/>
          </w:tcPr>
          <w:p w14:paraId="0979F48F"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2017</w:t>
            </w:r>
          </w:p>
        </w:tc>
        <w:tc>
          <w:tcPr>
            <w:tcW w:w="1134" w:type="dxa"/>
          </w:tcPr>
          <w:p w14:paraId="26A7DA1B"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2018</w:t>
            </w:r>
          </w:p>
        </w:tc>
        <w:tc>
          <w:tcPr>
            <w:tcW w:w="1134" w:type="dxa"/>
          </w:tcPr>
          <w:p w14:paraId="10671494"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2019</w:t>
            </w:r>
          </w:p>
        </w:tc>
        <w:tc>
          <w:tcPr>
            <w:tcW w:w="1134" w:type="dxa"/>
          </w:tcPr>
          <w:p w14:paraId="5D8D3247"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2020</w:t>
            </w:r>
          </w:p>
        </w:tc>
        <w:tc>
          <w:tcPr>
            <w:tcW w:w="1134" w:type="dxa"/>
          </w:tcPr>
          <w:p w14:paraId="0CCEB6B2"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2021</w:t>
            </w:r>
          </w:p>
        </w:tc>
      </w:tr>
      <w:tr w:rsidR="0088112C" w:rsidRPr="004D53EC" w14:paraId="7A2ACE2D" w14:textId="77777777" w:rsidTr="005760FF">
        <w:trPr>
          <w:trHeight w:val="222"/>
        </w:trPr>
        <w:tc>
          <w:tcPr>
            <w:tcW w:w="6804" w:type="dxa"/>
          </w:tcPr>
          <w:p w14:paraId="46FFE918" w14:textId="77777777" w:rsidR="0088112C" w:rsidRPr="004D53EC" w:rsidRDefault="0088112C" w:rsidP="005760FF">
            <w:pPr>
              <w:pStyle w:val="TableParagraph"/>
              <w:spacing w:line="184" w:lineRule="exact"/>
              <w:ind w:left="107"/>
              <w:jc w:val="left"/>
              <w:rPr>
                <w:rFonts w:ascii="Arial MT"/>
                <w:sz w:val="16"/>
                <w:lang w:val="sq-AL"/>
              </w:rPr>
            </w:pPr>
            <w:r w:rsidRPr="004D53EC">
              <w:rPr>
                <w:spacing w:val="-2"/>
                <w:sz w:val="16"/>
                <w:lang w:val="sq-AL" w:bidi="sq-AL"/>
              </w:rPr>
              <w:t>Popullsia (në mijë)</w:t>
            </w:r>
          </w:p>
        </w:tc>
        <w:tc>
          <w:tcPr>
            <w:tcW w:w="568" w:type="dxa"/>
          </w:tcPr>
          <w:p w14:paraId="629E0AAB" w14:textId="77777777" w:rsidR="0088112C" w:rsidRPr="004D53EC" w:rsidRDefault="0088112C" w:rsidP="005760FF">
            <w:pPr>
              <w:pStyle w:val="TableParagraph"/>
              <w:ind w:left="0"/>
              <w:jc w:val="left"/>
              <w:rPr>
                <w:sz w:val="14"/>
                <w:lang w:val="sq-AL"/>
              </w:rPr>
            </w:pPr>
          </w:p>
        </w:tc>
        <w:tc>
          <w:tcPr>
            <w:tcW w:w="1134" w:type="dxa"/>
          </w:tcPr>
          <w:p w14:paraId="640C30DD" w14:textId="77777777" w:rsidR="0088112C" w:rsidRPr="004D53EC" w:rsidRDefault="0088112C" w:rsidP="005760FF">
            <w:pPr>
              <w:pStyle w:val="TableParagraph"/>
              <w:spacing w:line="184" w:lineRule="exact"/>
              <w:ind w:right="1"/>
              <w:rPr>
                <w:rFonts w:ascii="Arial MT"/>
                <w:sz w:val="16"/>
                <w:lang w:val="sq-AL"/>
              </w:rPr>
            </w:pPr>
            <w:r w:rsidRPr="004D53EC">
              <w:rPr>
                <w:sz w:val="16"/>
                <w:lang w:val="sq-AL" w:bidi="sq-AL"/>
              </w:rPr>
              <w:t>2 919 s</w:t>
            </w:r>
          </w:p>
        </w:tc>
        <w:tc>
          <w:tcPr>
            <w:tcW w:w="1134" w:type="dxa"/>
          </w:tcPr>
          <w:p w14:paraId="42BB79F5" w14:textId="77777777" w:rsidR="0088112C" w:rsidRPr="004D53EC" w:rsidRDefault="0088112C" w:rsidP="005760FF">
            <w:pPr>
              <w:pStyle w:val="TableParagraph"/>
              <w:spacing w:line="184" w:lineRule="exact"/>
              <w:ind w:right="1"/>
              <w:rPr>
                <w:rFonts w:ascii="Arial MT"/>
                <w:sz w:val="16"/>
                <w:lang w:val="sq-AL"/>
              </w:rPr>
            </w:pPr>
            <w:r w:rsidRPr="004D53EC">
              <w:rPr>
                <w:sz w:val="16"/>
                <w:lang w:val="sq-AL" w:bidi="sq-AL"/>
              </w:rPr>
              <w:t>2 877 s</w:t>
            </w:r>
          </w:p>
        </w:tc>
        <w:tc>
          <w:tcPr>
            <w:tcW w:w="1134" w:type="dxa"/>
          </w:tcPr>
          <w:p w14:paraId="2D428685" w14:textId="77777777" w:rsidR="0088112C" w:rsidRPr="004D53EC" w:rsidRDefault="0088112C" w:rsidP="005760FF">
            <w:pPr>
              <w:pStyle w:val="TableParagraph"/>
              <w:spacing w:line="184" w:lineRule="exact"/>
              <w:ind w:right="1"/>
              <w:rPr>
                <w:rFonts w:ascii="Arial MT"/>
                <w:sz w:val="16"/>
                <w:lang w:val="sq-AL"/>
              </w:rPr>
            </w:pPr>
            <w:r w:rsidRPr="004D53EC">
              <w:rPr>
                <w:sz w:val="16"/>
                <w:lang w:val="sq-AL" w:bidi="sq-AL"/>
              </w:rPr>
              <w:t>2 870 s</w:t>
            </w:r>
          </w:p>
        </w:tc>
        <w:tc>
          <w:tcPr>
            <w:tcW w:w="1134" w:type="dxa"/>
          </w:tcPr>
          <w:p w14:paraId="6C2F5FF9" w14:textId="77777777" w:rsidR="0088112C" w:rsidRPr="004D53EC" w:rsidRDefault="0088112C" w:rsidP="005760FF">
            <w:pPr>
              <w:pStyle w:val="TableParagraph"/>
              <w:spacing w:line="184" w:lineRule="exact"/>
              <w:ind w:right="1"/>
              <w:rPr>
                <w:rFonts w:ascii="Arial MT"/>
                <w:sz w:val="16"/>
                <w:lang w:val="sq-AL"/>
              </w:rPr>
            </w:pPr>
            <w:r w:rsidRPr="004D53EC">
              <w:rPr>
                <w:sz w:val="16"/>
                <w:lang w:val="sq-AL" w:bidi="sq-AL"/>
              </w:rPr>
              <w:t>2 862 s</w:t>
            </w:r>
          </w:p>
        </w:tc>
        <w:tc>
          <w:tcPr>
            <w:tcW w:w="1134" w:type="dxa"/>
          </w:tcPr>
          <w:p w14:paraId="7081D47B" w14:textId="77777777" w:rsidR="0088112C" w:rsidRPr="004D53EC" w:rsidRDefault="0088112C" w:rsidP="005760FF">
            <w:pPr>
              <w:pStyle w:val="TableParagraph"/>
              <w:spacing w:line="184" w:lineRule="exact"/>
              <w:ind w:right="1"/>
              <w:rPr>
                <w:rFonts w:ascii="Arial MT"/>
                <w:sz w:val="16"/>
                <w:lang w:val="sq-AL"/>
              </w:rPr>
            </w:pPr>
            <w:r w:rsidRPr="004D53EC">
              <w:rPr>
                <w:sz w:val="16"/>
                <w:lang w:val="sq-AL" w:bidi="sq-AL"/>
              </w:rPr>
              <w:t>2 846 s</w:t>
            </w:r>
          </w:p>
        </w:tc>
        <w:tc>
          <w:tcPr>
            <w:tcW w:w="1134" w:type="dxa"/>
          </w:tcPr>
          <w:p w14:paraId="3FC16ACB" w14:textId="77777777" w:rsidR="0088112C" w:rsidRPr="004D53EC" w:rsidRDefault="0088112C" w:rsidP="005760FF">
            <w:pPr>
              <w:pStyle w:val="TableParagraph"/>
              <w:spacing w:line="184" w:lineRule="exact"/>
              <w:ind w:right="1"/>
              <w:rPr>
                <w:rFonts w:ascii="Arial MT"/>
                <w:sz w:val="16"/>
                <w:lang w:val="sq-AL"/>
              </w:rPr>
            </w:pPr>
            <w:r w:rsidRPr="004D53EC">
              <w:rPr>
                <w:sz w:val="16"/>
                <w:lang w:val="sq-AL" w:bidi="sq-AL"/>
              </w:rPr>
              <w:t>2 830 s</w:t>
            </w:r>
          </w:p>
        </w:tc>
      </w:tr>
      <w:tr w:rsidR="0088112C" w:rsidRPr="004D53EC" w14:paraId="4F283C57" w14:textId="77777777" w:rsidTr="005760FF">
        <w:trPr>
          <w:trHeight w:val="222"/>
        </w:trPr>
        <w:tc>
          <w:tcPr>
            <w:tcW w:w="6804" w:type="dxa"/>
          </w:tcPr>
          <w:p w14:paraId="57348BC8" w14:textId="77777777" w:rsidR="0088112C" w:rsidRPr="004D53EC" w:rsidRDefault="0088112C" w:rsidP="005760FF">
            <w:pPr>
              <w:pStyle w:val="TableParagraph"/>
              <w:spacing w:before="1"/>
              <w:ind w:left="107"/>
              <w:jc w:val="left"/>
              <w:rPr>
                <w:rFonts w:ascii="Arial MT" w:hAnsi="Arial MT"/>
                <w:sz w:val="16"/>
                <w:lang w:val="sq-AL"/>
              </w:rPr>
            </w:pPr>
            <w:r w:rsidRPr="004D53EC">
              <w:rPr>
                <w:sz w:val="16"/>
                <w:lang w:val="sq-AL" w:bidi="sq-AL"/>
              </w:rPr>
              <w:t>Sipërfaqja e përgjithshme e vendit (në km²)</w:t>
            </w:r>
          </w:p>
        </w:tc>
        <w:tc>
          <w:tcPr>
            <w:tcW w:w="568" w:type="dxa"/>
          </w:tcPr>
          <w:p w14:paraId="15E3662E" w14:textId="77777777" w:rsidR="0088112C" w:rsidRPr="004D53EC" w:rsidRDefault="0088112C" w:rsidP="005760FF">
            <w:pPr>
              <w:pStyle w:val="TableParagraph"/>
              <w:ind w:left="0"/>
              <w:jc w:val="left"/>
              <w:rPr>
                <w:sz w:val="14"/>
                <w:lang w:val="sq-AL"/>
              </w:rPr>
            </w:pPr>
          </w:p>
        </w:tc>
        <w:tc>
          <w:tcPr>
            <w:tcW w:w="1134" w:type="dxa"/>
          </w:tcPr>
          <w:p w14:paraId="4FD3A31D" w14:textId="77777777" w:rsidR="0088112C" w:rsidRPr="004D53EC" w:rsidRDefault="0088112C" w:rsidP="005760FF">
            <w:pPr>
              <w:pStyle w:val="TableParagraph"/>
              <w:spacing w:before="1"/>
              <w:ind w:right="1"/>
              <w:rPr>
                <w:rFonts w:ascii="Arial MT"/>
                <w:sz w:val="16"/>
                <w:lang w:val="sq-AL"/>
              </w:rPr>
            </w:pPr>
            <w:r w:rsidRPr="004D53EC">
              <w:rPr>
                <w:sz w:val="16"/>
                <w:lang w:val="sq-AL" w:bidi="sq-AL"/>
              </w:rPr>
              <w:t>28 748 w</w:t>
            </w:r>
          </w:p>
        </w:tc>
        <w:tc>
          <w:tcPr>
            <w:tcW w:w="1134" w:type="dxa"/>
          </w:tcPr>
          <w:p w14:paraId="0525766A" w14:textId="77777777" w:rsidR="0088112C" w:rsidRPr="004D53EC" w:rsidRDefault="0088112C" w:rsidP="005760FF">
            <w:pPr>
              <w:pStyle w:val="TableParagraph"/>
              <w:spacing w:before="1"/>
              <w:ind w:right="1"/>
              <w:rPr>
                <w:rFonts w:ascii="Arial MT"/>
                <w:sz w:val="16"/>
                <w:lang w:val="sq-AL"/>
              </w:rPr>
            </w:pPr>
            <w:r w:rsidRPr="004D53EC">
              <w:rPr>
                <w:sz w:val="16"/>
                <w:lang w:val="sq-AL" w:bidi="sq-AL"/>
              </w:rPr>
              <w:t>28 748 w</w:t>
            </w:r>
          </w:p>
        </w:tc>
        <w:tc>
          <w:tcPr>
            <w:tcW w:w="1134" w:type="dxa"/>
          </w:tcPr>
          <w:p w14:paraId="093C830C" w14:textId="77777777" w:rsidR="0088112C" w:rsidRPr="004D53EC" w:rsidRDefault="0088112C" w:rsidP="005760FF">
            <w:pPr>
              <w:pStyle w:val="TableParagraph"/>
              <w:spacing w:before="1"/>
              <w:ind w:right="1"/>
              <w:rPr>
                <w:rFonts w:ascii="Arial MT"/>
                <w:sz w:val="16"/>
                <w:lang w:val="sq-AL"/>
              </w:rPr>
            </w:pPr>
            <w:r w:rsidRPr="004D53EC">
              <w:rPr>
                <w:sz w:val="16"/>
                <w:lang w:val="sq-AL" w:bidi="sq-AL"/>
              </w:rPr>
              <w:t>28 748 w</w:t>
            </w:r>
          </w:p>
        </w:tc>
        <w:tc>
          <w:tcPr>
            <w:tcW w:w="1134" w:type="dxa"/>
          </w:tcPr>
          <w:p w14:paraId="717C2239" w14:textId="77777777" w:rsidR="0088112C" w:rsidRPr="004D53EC" w:rsidRDefault="0088112C" w:rsidP="005760FF">
            <w:pPr>
              <w:pStyle w:val="TableParagraph"/>
              <w:spacing w:before="1"/>
              <w:ind w:right="1"/>
              <w:rPr>
                <w:rFonts w:ascii="Arial MT"/>
                <w:sz w:val="16"/>
                <w:lang w:val="sq-AL"/>
              </w:rPr>
            </w:pPr>
            <w:r w:rsidRPr="004D53EC">
              <w:rPr>
                <w:sz w:val="16"/>
                <w:lang w:val="sq-AL" w:bidi="sq-AL"/>
              </w:rPr>
              <w:t>28 748 w</w:t>
            </w:r>
          </w:p>
        </w:tc>
        <w:tc>
          <w:tcPr>
            <w:tcW w:w="1134" w:type="dxa"/>
          </w:tcPr>
          <w:p w14:paraId="4239CDC2" w14:textId="77777777" w:rsidR="0088112C" w:rsidRPr="004D53EC" w:rsidRDefault="0088112C" w:rsidP="005760FF">
            <w:pPr>
              <w:pStyle w:val="TableParagraph"/>
              <w:spacing w:before="1"/>
              <w:ind w:right="1"/>
              <w:rPr>
                <w:rFonts w:ascii="Arial MT"/>
                <w:sz w:val="16"/>
                <w:lang w:val="sq-AL"/>
              </w:rPr>
            </w:pPr>
            <w:r w:rsidRPr="004D53EC">
              <w:rPr>
                <w:sz w:val="16"/>
                <w:lang w:val="sq-AL" w:bidi="sq-AL"/>
              </w:rPr>
              <w:t>28 748 w</w:t>
            </w:r>
          </w:p>
        </w:tc>
        <w:tc>
          <w:tcPr>
            <w:tcW w:w="1134" w:type="dxa"/>
          </w:tcPr>
          <w:p w14:paraId="3E97586E" w14:textId="77777777" w:rsidR="0088112C" w:rsidRPr="004D53EC" w:rsidRDefault="0088112C" w:rsidP="005760FF">
            <w:pPr>
              <w:pStyle w:val="TableParagraph"/>
              <w:spacing w:before="1"/>
              <w:ind w:right="2"/>
              <w:rPr>
                <w:rFonts w:ascii="Arial MT"/>
                <w:sz w:val="16"/>
                <w:lang w:val="sq-AL"/>
              </w:rPr>
            </w:pPr>
            <w:r w:rsidRPr="004D53EC">
              <w:rPr>
                <w:sz w:val="16"/>
                <w:lang w:val="sq-AL" w:bidi="sq-AL"/>
              </w:rPr>
              <w:t>28 791 e</w:t>
            </w:r>
          </w:p>
        </w:tc>
      </w:tr>
      <w:tr w:rsidR="0088112C" w:rsidRPr="004D53EC" w14:paraId="6CC69B4E" w14:textId="77777777" w:rsidTr="005760FF">
        <w:trPr>
          <w:trHeight w:val="223"/>
        </w:trPr>
        <w:tc>
          <w:tcPr>
            <w:tcW w:w="14176" w:type="dxa"/>
            <w:gridSpan w:val="8"/>
            <w:tcBorders>
              <w:left w:val="nil"/>
              <w:bottom w:val="nil"/>
              <w:right w:val="nil"/>
            </w:tcBorders>
          </w:tcPr>
          <w:p w14:paraId="559FC147" w14:textId="77777777" w:rsidR="0088112C" w:rsidRPr="004D53EC" w:rsidRDefault="0088112C" w:rsidP="005760FF">
            <w:pPr>
              <w:pStyle w:val="TableParagraph"/>
              <w:ind w:left="0"/>
              <w:jc w:val="left"/>
              <w:rPr>
                <w:sz w:val="14"/>
                <w:lang w:val="sq-AL"/>
              </w:rPr>
            </w:pPr>
          </w:p>
        </w:tc>
      </w:tr>
      <w:tr w:rsidR="0088112C" w:rsidRPr="004D53EC" w14:paraId="752DA2B8" w14:textId="77777777" w:rsidTr="005760FF">
        <w:trPr>
          <w:trHeight w:val="222"/>
        </w:trPr>
        <w:tc>
          <w:tcPr>
            <w:tcW w:w="6804" w:type="dxa"/>
            <w:tcBorders>
              <w:top w:val="nil"/>
              <w:left w:val="nil"/>
            </w:tcBorders>
          </w:tcPr>
          <w:p w14:paraId="1A40E95D" w14:textId="77777777" w:rsidR="0088112C" w:rsidRPr="004D53EC" w:rsidRDefault="0088112C" w:rsidP="005760FF">
            <w:pPr>
              <w:pStyle w:val="TableParagraph"/>
              <w:spacing w:line="184" w:lineRule="exact"/>
              <w:ind w:left="115"/>
              <w:jc w:val="left"/>
              <w:rPr>
                <w:rFonts w:ascii="Arial"/>
                <w:b/>
                <w:sz w:val="16"/>
                <w:lang w:val="sq-AL"/>
              </w:rPr>
            </w:pPr>
            <w:r w:rsidRPr="004D53EC">
              <w:rPr>
                <w:b/>
                <w:sz w:val="16"/>
                <w:lang w:val="sq-AL" w:bidi="sq-AL"/>
              </w:rPr>
              <w:t>Llogaritë kombëtare</w:t>
            </w:r>
          </w:p>
        </w:tc>
        <w:tc>
          <w:tcPr>
            <w:tcW w:w="568" w:type="dxa"/>
          </w:tcPr>
          <w:p w14:paraId="47454929" w14:textId="77777777" w:rsidR="0088112C" w:rsidRPr="004D53EC" w:rsidRDefault="0088112C" w:rsidP="005760FF">
            <w:pPr>
              <w:pStyle w:val="TableParagraph"/>
              <w:spacing w:line="184" w:lineRule="exact"/>
              <w:ind w:left="113"/>
              <w:jc w:val="left"/>
              <w:rPr>
                <w:rFonts w:ascii="Arial MT"/>
                <w:sz w:val="16"/>
                <w:lang w:val="sq-AL"/>
              </w:rPr>
            </w:pPr>
            <w:r w:rsidRPr="004D53EC">
              <w:rPr>
                <w:spacing w:val="-4"/>
                <w:sz w:val="16"/>
                <w:lang w:val="sq-AL" w:bidi="sq-AL"/>
              </w:rPr>
              <w:t>Shënime</w:t>
            </w:r>
          </w:p>
        </w:tc>
        <w:tc>
          <w:tcPr>
            <w:tcW w:w="1134" w:type="dxa"/>
          </w:tcPr>
          <w:p w14:paraId="48148276" w14:textId="77777777" w:rsidR="0088112C" w:rsidRPr="004D53EC" w:rsidRDefault="0088112C" w:rsidP="005760FF">
            <w:pPr>
              <w:pStyle w:val="TableParagraph"/>
              <w:spacing w:line="184" w:lineRule="exact"/>
              <w:ind w:right="1"/>
              <w:rPr>
                <w:rFonts w:ascii="Arial MT"/>
                <w:sz w:val="16"/>
                <w:lang w:val="sq-AL"/>
              </w:rPr>
            </w:pPr>
            <w:r w:rsidRPr="004D53EC">
              <w:rPr>
                <w:spacing w:val="-4"/>
                <w:sz w:val="16"/>
                <w:lang w:val="sq-AL" w:bidi="sq-AL"/>
              </w:rPr>
              <w:t>2010</w:t>
            </w:r>
          </w:p>
        </w:tc>
        <w:tc>
          <w:tcPr>
            <w:tcW w:w="1134" w:type="dxa"/>
          </w:tcPr>
          <w:p w14:paraId="55DDB72B" w14:textId="77777777" w:rsidR="0088112C" w:rsidRPr="004D53EC" w:rsidRDefault="0088112C" w:rsidP="005760FF">
            <w:pPr>
              <w:pStyle w:val="TableParagraph"/>
              <w:spacing w:line="184" w:lineRule="exact"/>
              <w:ind w:right="1"/>
              <w:rPr>
                <w:rFonts w:ascii="Arial MT"/>
                <w:sz w:val="16"/>
                <w:lang w:val="sq-AL"/>
              </w:rPr>
            </w:pPr>
            <w:r w:rsidRPr="004D53EC">
              <w:rPr>
                <w:spacing w:val="-4"/>
                <w:sz w:val="16"/>
                <w:lang w:val="sq-AL" w:bidi="sq-AL"/>
              </w:rPr>
              <w:t>2017</w:t>
            </w:r>
          </w:p>
        </w:tc>
        <w:tc>
          <w:tcPr>
            <w:tcW w:w="1134" w:type="dxa"/>
          </w:tcPr>
          <w:p w14:paraId="35C8BF58" w14:textId="77777777" w:rsidR="0088112C" w:rsidRPr="004D53EC" w:rsidRDefault="0088112C" w:rsidP="005760FF">
            <w:pPr>
              <w:pStyle w:val="TableParagraph"/>
              <w:spacing w:line="184" w:lineRule="exact"/>
              <w:ind w:right="1"/>
              <w:rPr>
                <w:rFonts w:ascii="Arial MT"/>
                <w:sz w:val="16"/>
                <w:lang w:val="sq-AL"/>
              </w:rPr>
            </w:pPr>
            <w:r w:rsidRPr="004D53EC">
              <w:rPr>
                <w:spacing w:val="-4"/>
                <w:sz w:val="16"/>
                <w:lang w:val="sq-AL" w:bidi="sq-AL"/>
              </w:rPr>
              <w:t>2018</w:t>
            </w:r>
          </w:p>
        </w:tc>
        <w:tc>
          <w:tcPr>
            <w:tcW w:w="1134" w:type="dxa"/>
          </w:tcPr>
          <w:p w14:paraId="71615AD3" w14:textId="77777777" w:rsidR="0088112C" w:rsidRPr="004D53EC" w:rsidRDefault="0088112C" w:rsidP="005760FF">
            <w:pPr>
              <w:pStyle w:val="TableParagraph"/>
              <w:spacing w:line="184" w:lineRule="exact"/>
              <w:ind w:right="1"/>
              <w:rPr>
                <w:rFonts w:ascii="Arial MT"/>
                <w:sz w:val="16"/>
                <w:lang w:val="sq-AL"/>
              </w:rPr>
            </w:pPr>
            <w:r w:rsidRPr="004D53EC">
              <w:rPr>
                <w:spacing w:val="-4"/>
                <w:sz w:val="16"/>
                <w:lang w:val="sq-AL" w:bidi="sq-AL"/>
              </w:rPr>
              <w:t>2019</w:t>
            </w:r>
          </w:p>
        </w:tc>
        <w:tc>
          <w:tcPr>
            <w:tcW w:w="1134" w:type="dxa"/>
          </w:tcPr>
          <w:p w14:paraId="3EE631E9" w14:textId="77777777" w:rsidR="0088112C" w:rsidRPr="004D53EC" w:rsidRDefault="0088112C" w:rsidP="005760FF">
            <w:pPr>
              <w:pStyle w:val="TableParagraph"/>
              <w:spacing w:line="184" w:lineRule="exact"/>
              <w:ind w:right="1"/>
              <w:rPr>
                <w:rFonts w:ascii="Arial MT"/>
                <w:sz w:val="16"/>
                <w:lang w:val="sq-AL"/>
              </w:rPr>
            </w:pPr>
            <w:r w:rsidRPr="004D53EC">
              <w:rPr>
                <w:spacing w:val="-4"/>
                <w:sz w:val="16"/>
                <w:lang w:val="sq-AL" w:bidi="sq-AL"/>
              </w:rPr>
              <w:t>2020</w:t>
            </w:r>
          </w:p>
        </w:tc>
        <w:tc>
          <w:tcPr>
            <w:tcW w:w="1134" w:type="dxa"/>
          </w:tcPr>
          <w:p w14:paraId="201588CB" w14:textId="77777777" w:rsidR="0088112C" w:rsidRPr="004D53EC" w:rsidRDefault="0088112C" w:rsidP="005760FF">
            <w:pPr>
              <w:pStyle w:val="TableParagraph"/>
              <w:spacing w:line="184" w:lineRule="exact"/>
              <w:ind w:right="1"/>
              <w:rPr>
                <w:rFonts w:ascii="Arial MT"/>
                <w:sz w:val="16"/>
                <w:lang w:val="sq-AL"/>
              </w:rPr>
            </w:pPr>
            <w:r w:rsidRPr="004D53EC">
              <w:rPr>
                <w:spacing w:val="-4"/>
                <w:sz w:val="16"/>
                <w:lang w:val="sq-AL" w:bidi="sq-AL"/>
              </w:rPr>
              <w:t>2021</w:t>
            </w:r>
          </w:p>
        </w:tc>
      </w:tr>
      <w:tr w:rsidR="0088112C" w:rsidRPr="004D53EC" w14:paraId="0714C311" w14:textId="77777777" w:rsidTr="005760FF">
        <w:trPr>
          <w:trHeight w:val="222"/>
        </w:trPr>
        <w:tc>
          <w:tcPr>
            <w:tcW w:w="6804" w:type="dxa"/>
          </w:tcPr>
          <w:p w14:paraId="72C857EA"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Prodhimi i brendshëm bruto (PBB) (në milion, monedhë kombëtare)</w:t>
            </w:r>
          </w:p>
        </w:tc>
        <w:tc>
          <w:tcPr>
            <w:tcW w:w="568" w:type="dxa"/>
          </w:tcPr>
          <w:p w14:paraId="0AE19B94" w14:textId="77777777" w:rsidR="0088112C" w:rsidRPr="004D53EC" w:rsidRDefault="0088112C" w:rsidP="005760FF">
            <w:pPr>
              <w:pStyle w:val="TableParagraph"/>
              <w:ind w:left="0"/>
              <w:jc w:val="left"/>
              <w:rPr>
                <w:sz w:val="14"/>
                <w:lang w:val="sq-AL"/>
              </w:rPr>
            </w:pPr>
          </w:p>
        </w:tc>
        <w:tc>
          <w:tcPr>
            <w:tcW w:w="1134" w:type="dxa"/>
          </w:tcPr>
          <w:p w14:paraId="0C1A4214" w14:textId="77777777" w:rsidR="0088112C" w:rsidRPr="004D53EC" w:rsidRDefault="0088112C" w:rsidP="005760FF">
            <w:pPr>
              <w:pStyle w:val="TableParagraph"/>
              <w:spacing w:before="1"/>
              <w:ind w:right="1"/>
              <w:rPr>
                <w:rFonts w:ascii="Arial MT"/>
                <w:sz w:val="16"/>
                <w:lang w:val="sq-AL"/>
              </w:rPr>
            </w:pPr>
            <w:r w:rsidRPr="004D53EC">
              <w:rPr>
                <w:sz w:val="16"/>
                <w:lang w:val="sq-AL" w:bidi="sq-AL"/>
              </w:rPr>
              <w:t>1 239 645</w:t>
            </w:r>
          </w:p>
        </w:tc>
        <w:tc>
          <w:tcPr>
            <w:tcW w:w="1134" w:type="dxa"/>
          </w:tcPr>
          <w:p w14:paraId="6665AD6A" w14:textId="77777777" w:rsidR="0088112C" w:rsidRPr="004D53EC" w:rsidRDefault="0088112C" w:rsidP="005760FF">
            <w:pPr>
              <w:pStyle w:val="TableParagraph"/>
              <w:spacing w:before="1"/>
              <w:ind w:right="2"/>
              <w:rPr>
                <w:rFonts w:ascii="Arial MT"/>
                <w:sz w:val="16"/>
                <w:lang w:val="sq-AL"/>
              </w:rPr>
            </w:pPr>
            <w:r w:rsidRPr="004D53EC">
              <w:rPr>
                <w:sz w:val="16"/>
                <w:lang w:val="sq-AL" w:bidi="sq-AL"/>
              </w:rPr>
              <w:t>1 550 646</w:t>
            </w:r>
          </w:p>
        </w:tc>
        <w:tc>
          <w:tcPr>
            <w:tcW w:w="1134" w:type="dxa"/>
          </w:tcPr>
          <w:p w14:paraId="65BAA588" w14:textId="77777777" w:rsidR="0088112C" w:rsidRPr="004D53EC" w:rsidRDefault="0088112C" w:rsidP="005760FF">
            <w:pPr>
              <w:pStyle w:val="TableParagraph"/>
              <w:spacing w:before="1"/>
              <w:ind w:right="2"/>
              <w:rPr>
                <w:rFonts w:ascii="Arial MT"/>
                <w:sz w:val="16"/>
                <w:lang w:val="sq-AL"/>
              </w:rPr>
            </w:pPr>
            <w:r w:rsidRPr="004D53EC">
              <w:rPr>
                <w:sz w:val="16"/>
                <w:lang w:val="sq-AL" w:bidi="sq-AL"/>
              </w:rPr>
              <w:t>1 636 731</w:t>
            </w:r>
          </w:p>
        </w:tc>
        <w:tc>
          <w:tcPr>
            <w:tcW w:w="1134" w:type="dxa"/>
          </w:tcPr>
          <w:p w14:paraId="446D2D12" w14:textId="77777777" w:rsidR="0088112C" w:rsidRPr="004D53EC" w:rsidRDefault="0088112C" w:rsidP="005760FF">
            <w:pPr>
              <w:pStyle w:val="TableParagraph"/>
              <w:spacing w:before="1"/>
              <w:ind w:right="2"/>
              <w:rPr>
                <w:rFonts w:ascii="Arial MT"/>
                <w:sz w:val="16"/>
                <w:lang w:val="sq-AL"/>
              </w:rPr>
            </w:pPr>
            <w:r w:rsidRPr="004D53EC">
              <w:rPr>
                <w:sz w:val="16"/>
                <w:lang w:val="sq-AL" w:bidi="sq-AL"/>
              </w:rPr>
              <w:t>1 691 903</w:t>
            </w:r>
          </w:p>
        </w:tc>
        <w:tc>
          <w:tcPr>
            <w:tcW w:w="1134" w:type="dxa"/>
          </w:tcPr>
          <w:p w14:paraId="2B66DD23" w14:textId="77777777" w:rsidR="0088112C" w:rsidRPr="004D53EC" w:rsidRDefault="0088112C" w:rsidP="005760FF">
            <w:pPr>
              <w:pStyle w:val="TableParagraph"/>
              <w:spacing w:before="1"/>
              <w:ind w:right="2"/>
              <w:rPr>
                <w:rFonts w:ascii="Arial MT"/>
                <w:sz w:val="16"/>
                <w:lang w:val="sq-AL"/>
              </w:rPr>
            </w:pPr>
            <w:r w:rsidRPr="004D53EC">
              <w:rPr>
                <w:sz w:val="16"/>
                <w:lang w:val="sq-AL" w:bidi="sq-AL"/>
              </w:rPr>
              <w:t>1 647 431</w:t>
            </w:r>
          </w:p>
        </w:tc>
        <w:tc>
          <w:tcPr>
            <w:tcW w:w="1134" w:type="dxa"/>
          </w:tcPr>
          <w:p w14:paraId="243E5A23"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1 856 172 p</w:t>
            </w:r>
          </w:p>
        </w:tc>
      </w:tr>
      <w:tr w:rsidR="0088112C" w:rsidRPr="004D53EC" w14:paraId="3647AC79" w14:textId="77777777" w:rsidTr="005760FF">
        <w:trPr>
          <w:trHeight w:val="223"/>
        </w:trPr>
        <w:tc>
          <w:tcPr>
            <w:tcW w:w="6804" w:type="dxa"/>
          </w:tcPr>
          <w:p w14:paraId="428C0831"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Prodhimi i brendshëm bruto (PBB) (në milion euro)</w:t>
            </w:r>
          </w:p>
        </w:tc>
        <w:tc>
          <w:tcPr>
            <w:tcW w:w="568" w:type="dxa"/>
          </w:tcPr>
          <w:p w14:paraId="11230F4E" w14:textId="77777777" w:rsidR="0088112C" w:rsidRPr="004D53EC" w:rsidRDefault="0088112C" w:rsidP="005760FF">
            <w:pPr>
              <w:pStyle w:val="TableParagraph"/>
              <w:ind w:left="0"/>
              <w:jc w:val="left"/>
              <w:rPr>
                <w:sz w:val="14"/>
                <w:lang w:val="sq-AL"/>
              </w:rPr>
            </w:pPr>
          </w:p>
        </w:tc>
        <w:tc>
          <w:tcPr>
            <w:tcW w:w="1134" w:type="dxa"/>
          </w:tcPr>
          <w:p w14:paraId="090ECC1A"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8 997</w:t>
            </w:r>
          </w:p>
        </w:tc>
        <w:tc>
          <w:tcPr>
            <w:tcW w:w="1134" w:type="dxa"/>
          </w:tcPr>
          <w:p w14:paraId="17B8ADBB"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11 559</w:t>
            </w:r>
          </w:p>
        </w:tc>
        <w:tc>
          <w:tcPr>
            <w:tcW w:w="1134" w:type="dxa"/>
          </w:tcPr>
          <w:p w14:paraId="22ED9FD3"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12 828</w:t>
            </w:r>
          </w:p>
        </w:tc>
        <w:tc>
          <w:tcPr>
            <w:tcW w:w="1134" w:type="dxa"/>
          </w:tcPr>
          <w:p w14:paraId="111920AC"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13 754</w:t>
            </w:r>
          </w:p>
        </w:tc>
        <w:tc>
          <w:tcPr>
            <w:tcW w:w="1134" w:type="dxa"/>
          </w:tcPr>
          <w:p w14:paraId="0C0710BF"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13 310</w:t>
            </w:r>
          </w:p>
        </w:tc>
        <w:tc>
          <w:tcPr>
            <w:tcW w:w="1134" w:type="dxa"/>
          </w:tcPr>
          <w:p w14:paraId="061A33F3" w14:textId="77777777" w:rsidR="0088112C" w:rsidRPr="004D53EC" w:rsidRDefault="0088112C" w:rsidP="005760FF">
            <w:pPr>
              <w:pStyle w:val="TableParagraph"/>
              <w:spacing w:before="1"/>
              <w:ind w:right="2"/>
              <w:rPr>
                <w:rFonts w:ascii="Arial MT"/>
                <w:sz w:val="16"/>
                <w:lang w:val="sq-AL"/>
              </w:rPr>
            </w:pPr>
            <w:r w:rsidRPr="004D53EC">
              <w:rPr>
                <w:sz w:val="16"/>
                <w:lang w:val="sq-AL" w:bidi="sq-AL"/>
              </w:rPr>
              <w:t>15 157 p</w:t>
            </w:r>
          </w:p>
        </w:tc>
      </w:tr>
      <w:tr w:rsidR="0088112C" w:rsidRPr="004D53EC" w14:paraId="47B2F416" w14:textId="77777777" w:rsidTr="005760FF">
        <w:trPr>
          <w:trHeight w:val="222"/>
        </w:trPr>
        <w:tc>
          <w:tcPr>
            <w:tcW w:w="6804" w:type="dxa"/>
          </w:tcPr>
          <w:p w14:paraId="76B06476"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PBB (në euro për frymë)</w:t>
            </w:r>
          </w:p>
        </w:tc>
        <w:tc>
          <w:tcPr>
            <w:tcW w:w="568" w:type="dxa"/>
          </w:tcPr>
          <w:p w14:paraId="680B0025" w14:textId="77777777" w:rsidR="0088112C" w:rsidRPr="004D53EC" w:rsidRDefault="0088112C" w:rsidP="005760FF">
            <w:pPr>
              <w:pStyle w:val="TableParagraph"/>
              <w:ind w:left="0"/>
              <w:jc w:val="left"/>
              <w:rPr>
                <w:sz w:val="14"/>
                <w:lang w:val="sq-AL"/>
              </w:rPr>
            </w:pPr>
          </w:p>
        </w:tc>
        <w:tc>
          <w:tcPr>
            <w:tcW w:w="1134" w:type="dxa"/>
          </w:tcPr>
          <w:p w14:paraId="09118042" w14:textId="77777777" w:rsidR="0088112C" w:rsidRPr="004D53EC" w:rsidRDefault="0088112C" w:rsidP="005760FF">
            <w:pPr>
              <w:pStyle w:val="TableParagraph"/>
              <w:spacing w:line="184" w:lineRule="exact"/>
              <w:ind w:right="3"/>
              <w:rPr>
                <w:rFonts w:ascii="Arial MT"/>
                <w:sz w:val="16"/>
                <w:lang w:val="sq-AL"/>
              </w:rPr>
            </w:pPr>
            <w:r w:rsidRPr="004D53EC">
              <w:rPr>
                <w:sz w:val="16"/>
                <w:lang w:val="sq-AL" w:bidi="sq-AL"/>
              </w:rPr>
              <w:t>3 090</w:t>
            </w:r>
          </w:p>
        </w:tc>
        <w:tc>
          <w:tcPr>
            <w:tcW w:w="1134" w:type="dxa"/>
          </w:tcPr>
          <w:p w14:paraId="7F721E44" w14:textId="77777777" w:rsidR="0088112C" w:rsidRPr="004D53EC" w:rsidRDefault="0088112C" w:rsidP="005760FF">
            <w:pPr>
              <w:pStyle w:val="TableParagraph"/>
              <w:spacing w:line="184" w:lineRule="exact"/>
              <w:ind w:right="3"/>
              <w:rPr>
                <w:rFonts w:ascii="Arial MT"/>
                <w:sz w:val="16"/>
                <w:lang w:val="sq-AL"/>
              </w:rPr>
            </w:pPr>
            <w:r w:rsidRPr="004D53EC">
              <w:rPr>
                <w:sz w:val="16"/>
                <w:lang w:val="sq-AL" w:bidi="sq-AL"/>
              </w:rPr>
              <w:t>4 020</w:t>
            </w:r>
          </w:p>
        </w:tc>
        <w:tc>
          <w:tcPr>
            <w:tcW w:w="1134" w:type="dxa"/>
          </w:tcPr>
          <w:p w14:paraId="5800230B" w14:textId="77777777" w:rsidR="0088112C" w:rsidRPr="004D53EC" w:rsidRDefault="0088112C" w:rsidP="005760FF">
            <w:pPr>
              <w:pStyle w:val="TableParagraph"/>
              <w:spacing w:line="184" w:lineRule="exact"/>
              <w:ind w:right="3"/>
              <w:rPr>
                <w:rFonts w:ascii="Arial MT"/>
                <w:sz w:val="16"/>
                <w:lang w:val="sq-AL"/>
              </w:rPr>
            </w:pPr>
            <w:r w:rsidRPr="004D53EC">
              <w:rPr>
                <w:sz w:val="16"/>
                <w:lang w:val="sq-AL" w:bidi="sq-AL"/>
              </w:rPr>
              <w:t>4 480</w:t>
            </w:r>
          </w:p>
        </w:tc>
        <w:tc>
          <w:tcPr>
            <w:tcW w:w="1134" w:type="dxa"/>
          </w:tcPr>
          <w:p w14:paraId="184D3F14" w14:textId="77777777" w:rsidR="0088112C" w:rsidRPr="004D53EC" w:rsidRDefault="0088112C" w:rsidP="005760FF">
            <w:pPr>
              <w:pStyle w:val="TableParagraph"/>
              <w:spacing w:line="184" w:lineRule="exact"/>
              <w:ind w:right="3"/>
              <w:rPr>
                <w:rFonts w:ascii="Arial MT"/>
                <w:sz w:val="16"/>
                <w:lang w:val="sq-AL"/>
              </w:rPr>
            </w:pPr>
            <w:r w:rsidRPr="004D53EC">
              <w:rPr>
                <w:sz w:val="16"/>
                <w:lang w:val="sq-AL" w:bidi="sq-AL"/>
              </w:rPr>
              <w:t>4 820</w:t>
            </w:r>
          </w:p>
        </w:tc>
        <w:tc>
          <w:tcPr>
            <w:tcW w:w="1134" w:type="dxa"/>
          </w:tcPr>
          <w:p w14:paraId="6679B330" w14:textId="77777777" w:rsidR="0088112C" w:rsidRPr="004D53EC" w:rsidRDefault="0088112C" w:rsidP="005760FF">
            <w:pPr>
              <w:pStyle w:val="TableParagraph"/>
              <w:spacing w:line="184" w:lineRule="exact"/>
              <w:ind w:right="3"/>
              <w:rPr>
                <w:rFonts w:ascii="Arial MT"/>
                <w:sz w:val="16"/>
                <w:lang w:val="sq-AL"/>
              </w:rPr>
            </w:pPr>
            <w:r w:rsidRPr="004D53EC">
              <w:rPr>
                <w:sz w:val="16"/>
                <w:lang w:val="sq-AL" w:bidi="sq-AL"/>
              </w:rPr>
              <w:t>4 690</w:t>
            </w:r>
          </w:p>
        </w:tc>
        <w:tc>
          <w:tcPr>
            <w:tcW w:w="1134" w:type="dxa"/>
          </w:tcPr>
          <w:p w14:paraId="65DC18DE" w14:textId="77777777" w:rsidR="0088112C" w:rsidRPr="004D53EC" w:rsidRDefault="0088112C" w:rsidP="005760FF">
            <w:pPr>
              <w:pStyle w:val="TableParagraph"/>
              <w:spacing w:line="184" w:lineRule="exact"/>
              <w:ind w:right="1"/>
              <w:rPr>
                <w:rFonts w:ascii="Arial MT"/>
                <w:sz w:val="16"/>
                <w:lang w:val="sq-AL"/>
              </w:rPr>
            </w:pPr>
            <w:r w:rsidRPr="004D53EC">
              <w:rPr>
                <w:sz w:val="16"/>
                <w:lang w:val="sq-AL" w:bidi="sq-AL"/>
              </w:rPr>
              <w:t>5 390 p</w:t>
            </w:r>
          </w:p>
        </w:tc>
      </w:tr>
      <w:tr w:rsidR="0088112C" w:rsidRPr="004D53EC" w14:paraId="1E11A75F" w14:textId="77777777" w:rsidTr="005760FF">
        <w:trPr>
          <w:trHeight w:val="222"/>
        </w:trPr>
        <w:tc>
          <w:tcPr>
            <w:tcW w:w="6804" w:type="dxa"/>
          </w:tcPr>
          <w:p w14:paraId="374AB800"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PBB për frymë (sipas standardeve të fuqisë blerëse (SFB))</w:t>
            </w:r>
          </w:p>
        </w:tc>
        <w:tc>
          <w:tcPr>
            <w:tcW w:w="568" w:type="dxa"/>
          </w:tcPr>
          <w:p w14:paraId="4881A0D5" w14:textId="77777777" w:rsidR="0088112C" w:rsidRPr="004D53EC" w:rsidRDefault="0088112C" w:rsidP="005760FF">
            <w:pPr>
              <w:pStyle w:val="TableParagraph"/>
              <w:ind w:left="0"/>
              <w:jc w:val="left"/>
              <w:rPr>
                <w:sz w:val="14"/>
                <w:lang w:val="sq-AL"/>
              </w:rPr>
            </w:pPr>
          </w:p>
        </w:tc>
        <w:tc>
          <w:tcPr>
            <w:tcW w:w="1134" w:type="dxa"/>
          </w:tcPr>
          <w:p w14:paraId="3003D423"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7 287</w:t>
            </w:r>
          </w:p>
        </w:tc>
        <w:tc>
          <w:tcPr>
            <w:tcW w:w="1134" w:type="dxa"/>
          </w:tcPr>
          <w:p w14:paraId="1DEE0481"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8 771</w:t>
            </w:r>
          </w:p>
        </w:tc>
        <w:tc>
          <w:tcPr>
            <w:tcW w:w="1134" w:type="dxa"/>
          </w:tcPr>
          <w:p w14:paraId="4F2F8EC5"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9 153</w:t>
            </w:r>
          </w:p>
        </w:tc>
        <w:tc>
          <w:tcPr>
            <w:tcW w:w="1134" w:type="dxa"/>
          </w:tcPr>
          <w:p w14:paraId="6E850776"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9 506</w:t>
            </w:r>
          </w:p>
        </w:tc>
        <w:tc>
          <w:tcPr>
            <w:tcW w:w="1134" w:type="dxa"/>
          </w:tcPr>
          <w:p w14:paraId="007C294A"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9 213</w:t>
            </w:r>
          </w:p>
        </w:tc>
        <w:tc>
          <w:tcPr>
            <w:tcW w:w="1134" w:type="dxa"/>
          </w:tcPr>
          <w:p w14:paraId="3648B341" w14:textId="77777777" w:rsidR="0088112C" w:rsidRPr="004D53EC" w:rsidRDefault="0088112C" w:rsidP="005760FF">
            <w:pPr>
              <w:pStyle w:val="TableParagraph"/>
              <w:spacing w:before="1"/>
              <w:ind w:right="2"/>
              <w:rPr>
                <w:rFonts w:ascii="Arial MT"/>
                <w:sz w:val="16"/>
                <w:lang w:val="sq-AL"/>
              </w:rPr>
            </w:pPr>
            <w:r w:rsidRPr="004D53EC">
              <w:rPr>
                <w:sz w:val="16"/>
                <w:lang w:val="sq-AL" w:bidi="sq-AL"/>
              </w:rPr>
              <w:t>10 296 p</w:t>
            </w:r>
          </w:p>
        </w:tc>
      </w:tr>
      <w:tr w:rsidR="0088112C" w:rsidRPr="004D53EC" w14:paraId="077AF6F7" w14:textId="77777777" w:rsidTr="005760FF">
        <w:trPr>
          <w:trHeight w:val="223"/>
        </w:trPr>
        <w:tc>
          <w:tcPr>
            <w:tcW w:w="6804" w:type="dxa"/>
          </w:tcPr>
          <w:p w14:paraId="264EB5E3"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PBB për frymë (në SFB), në raport me mesataren e BE-së (BE-27 = 100)</w:t>
            </w:r>
          </w:p>
        </w:tc>
        <w:tc>
          <w:tcPr>
            <w:tcW w:w="568" w:type="dxa"/>
          </w:tcPr>
          <w:p w14:paraId="34A49F28" w14:textId="77777777" w:rsidR="0088112C" w:rsidRPr="004D53EC" w:rsidRDefault="0088112C" w:rsidP="005760FF">
            <w:pPr>
              <w:pStyle w:val="TableParagraph"/>
              <w:ind w:left="0"/>
              <w:jc w:val="left"/>
              <w:rPr>
                <w:sz w:val="14"/>
                <w:lang w:val="sq-AL"/>
              </w:rPr>
            </w:pPr>
          </w:p>
        </w:tc>
        <w:tc>
          <w:tcPr>
            <w:tcW w:w="1134" w:type="dxa"/>
          </w:tcPr>
          <w:p w14:paraId="2A7A8545" w14:textId="77777777" w:rsidR="0088112C" w:rsidRPr="004D53EC" w:rsidRDefault="0088112C" w:rsidP="005760FF">
            <w:pPr>
              <w:pStyle w:val="TableParagraph"/>
              <w:spacing w:before="1"/>
              <w:rPr>
                <w:rFonts w:ascii="Arial MT"/>
                <w:sz w:val="16"/>
                <w:lang w:val="sq-AL"/>
              </w:rPr>
            </w:pPr>
            <w:r w:rsidRPr="004D53EC">
              <w:rPr>
                <w:spacing w:val="-4"/>
                <w:sz w:val="16"/>
                <w:lang w:val="sq-AL" w:bidi="sq-AL"/>
              </w:rPr>
              <w:t>29.3</w:t>
            </w:r>
          </w:p>
        </w:tc>
        <w:tc>
          <w:tcPr>
            <w:tcW w:w="1134" w:type="dxa"/>
          </w:tcPr>
          <w:p w14:paraId="39576356" w14:textId="77777777" w:rsidR="0088112C" w:rsidRPr="004D53EC" w:rsidRDefault="0088112C" w:rsidP="005760FF">
            <w:pPr>
              <w:pStyle w:val="TableParagraph"/>
              <w:spacing w:before="1"/>
              <w:rPr>
                <w:rFonts w:ascii="Arial MT"/>
                <w:sz w:val="16"/>
                <w:lang w:val="sq-AL"/>
              </w:rPr>
            </w:pPr>
            <w:r w:rsidRPr="004D53EC">
              <w:rPr>
                <w:spacing w:val="-4"/>
                <w:sz w:val="16"/>
                <w:lang w:val="sq-AL" w:bidi="sq-AL"/>
              </w:rPr>
              <w:t>29.9</w:t>
            </w:r>
          </w:p>
        </w:tc>
        <w:tc>
          <w:tcPr>
            <w:tcW w:w="1134" w:type="dxa"/>
          </w:tcPr>
          <w:p w14:paraId="688AA7B7" w14:textId="77777777" w:rsidR="0088112C" w:rsidRPr="004D53EC" w:rsidRDefault="0088112C" w:rsidP="005760FF">
            <w:pPr>
              <w:pStyle w:val="TableParagraph"/>
              <w:spacing w:before="1"/>
              <w:rPr>
                <w:rFonts w:ascii="Arial MT"/>
                <w:sz w:val="16"/>
                <w:lang w:val="sq-AL"/>
              </w:rPr>
            </w:pPr>
            <w:r w:rsidRPr="004D53EC">
              <w:rPr>
                <w:spacing w:val="-4"/>
                <w:sz w:val="16"/>
                <w:lang w:val="sq-AL" w:bidi="sq-AL"/>
              </w:rPr>
              <w:t>30.2</w:t>
            </w:r>
          </w:p>
        </w:tc>
        <w:tc>
          <w:tcPr>
            <w:tcW w:w="1134" w:type="dxa"/>
          </w:tcPr>
          <w:p w14:paraId="2A5110A4" w14:textId="77777777" w:rsidR="0088112C" w:rsidRPr="004D53EC" w:rsidRDefault="0088112C" w:rsidP="005760FF">
            <w:pPr>
              <w:pStyle w:val="TableParagraph"/>
              <w:spacing w:before="1"/>
              <w:rPr>
                <w:rFonts w:ascii="Arial MT"/>
                <w:sz w:val="16"/>
                <w:lang w:val="sq-AL"/>
              </w:rPr>
            </w:pPr>
            <w:r w:rsidRPr="004D53EC">
              <w:rPr>
                <w:spacing w:val="-4"/>
                <w:sz w:val="16"/>
                <w:lang w:val="sq-AL" w:bidi="sq-AL"/>
              </w:rPr>
              <w:t>30.4</w:t>
            </w:r>
          </w:p>
        </w:tc>
        <w:tc>
          <w:tcPr>
            <w:tcW w:w="1134" w:type="dxa"/>
          </w:tcPr>
          <w:p w14:paraId="02F83268" w14:textId="77777777" w:rsidR="0088112C" w:rsidRPr="004D53EC" w:rsidRDefault="0088112C" w:rsidP="005760FF">
            <w:pPr>
              <w:pStyle w:val="TableParagraph"/>
              <w:spacing w:before="1"/>
              <w:rPr>
                <w:rFonts w:ascii="Arial MT"/>
                <w:sz w:val="16"/>
                <w:lang w:val="sq-AL"/>
              </w:rPr>
            </w:pPr>
            <w:r w:rsidRPr="004D53EC">
              <w:rPr>
                <w:spacing w:val="-4"/>
                <w:sz w:val="16"/>
                <w:lang w:val="sq-AL" w:bidi="sq-AL"/>
              </w:rPr>
              <w:t>30.7</w:t>
            </w:r>
          </w:p>
        </w:tc>
        <w:tc>
          <w:tcPr>
            <w:tcW w:w="1134" w:type="dxa"/>
          </w:tcPr>
          <w:p w14:paraId="06B2768F" w14:textId="77777777" w:rsidR="0088112C" w:rsidRPr="004D53EC" w:rsidRDefault="0088112C" w:rsidP="005760FF">
            <w:pPr>
              <w:pStyle w:val="TableParagraph"/>
              <w:spacing w:before="1"/>
              <w:rPr>
                <w:rFonts w:ascii="Arial MT"/>
                <w:sz w:val="16"/>
                <w:lang w:val="sq-AL"/>
              </w:rPr>
            </w:pPr>
            <w:r w:rsidRPr="004D53EC">
              <w:rPr>
                <w:spacing w:val="-4"/>
                <w:sz w:val="16"/>
                <w:lang w:val="sq-AL" w:bidi="sq-AL"/>
              </w:rPr>
              <w:t>31.7</w:t>
            </w:r>
          </w:p>
        </w:tc>
      </w:tr>
      <w:tr w:rsidR="0088112C" w:rsidRPr="004D53EC" w14:paraId="3CFE1268" w14:textId="77777777" w:rsidTr="005760FF">
        <w:trPr>
          <w:trHeight w:val="222"/>
        </w:trPr>
        <w:tc>
          <w:tcPr>
            <w:tcW w:w="6804" w:type="dxa"/>
          </w:tcPr>
          <w:p w14:paraId="13610FE1"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Shkalla reale e rritjes së PBB-së: ndryshimi me vitin e mëparshëm të vëllimit të PBB-së (%)</w:t>
            </w:r>
          </w:p>
        </w:tc>
        <w:tc>
          <w:tcPr>
            <w:tcW w:w="568" w:type="dxa"/>
          </w:tcPr>
          <w:p w14:paraId="0DAAF121" w14:textId="77777777" w:rsidR="0088112C" w:rsidRPr="004D53EC" w:rsidRDefault="0088112C" w:rsidP="005760FF">
            <w:pPr>
              <w:pStyle w:val="TableParagraph"/>
              <w:ind w:left="0"/>
              <w:jc w:val="left"/>
              <w:rPr>
                <w:sz w:val="14"/>
                <w:lang w:val="sq-AL"/>
              </w:rPr>
            </w:pPr>
          </w:p>
        </w:tc>
        <w:tc>
          <w:tcPr>
            <w:tcW w:w="1134" w:type="dxa"/>
          </w:tcPr>
          <w:p w14:paraId="71F12905" w14:textId="77777777" w:rsidR="0088112C" w:rsidRPr="004D53EC" w:rsidRDefault="0088112C" w:rsidP="005760FF">
            <w:pPr>
              <w:pStyle w:val="TableParagraph"/>
              <w:spacing w:line="184" w:lineRule="exact"/>
              <w:rPr>
                <w:rFonts w:ascii="Arial MT"/>
                <w:sz w:val="16"/>
                <w:lang w:val="sq-AL"/>
              </w:rPr>
            </w:pPr>
            <w:r w:rsidRPr="004D53EC">
              <w:rPr>
                <w:spacing w:val="-5"/>
                <w:sz w:val="16"/>
                <w:lang w:val="sq-AL" w:bidi="sq-AL"/>
              </w:rPr>
              <w:t>3.7</w:t>
            </w:r>
          </w:p>
        </w:tc>
        <w:tc>
          <w:tcPr>
            <w:tcW w:w="1134" w:type="dxa"/>
          </w:tcPr>
          <w:p w14:paraId="4BBFA132" w14:textId="77777777" w:rsidR="0088112C" w:rsidRPr="004D53EC" w:rsidRDefault="0088112C" w:rsidP="005760FF">
            <w:pPr>
              <w:pStyle w:val="TableParagraph"/>
              <w:spacing w:line="184" w:lineRule="exact"/>
              <w:rPr>
                <w:rFonts w:ascii="Arial MT"/>
                <w:sz w:val="16"/>
                <w:lang w:val="sq-AL"/>
              </w:rPr>
            </w:pPr>
            <w:r w:rsidRPr="004D53EC">
              <w:rPr>
                <w:spacing w:val="-5"/>
                <w:sz w:val="16"/>
                <w:lang w:val="sq-AL" w:bidi="sq-AL"/>
              </w:rPr>
              <w:t>3.8</w:t>
            </w:r>
          </w:p>
        </w:tc>
        <w:tc>
          <w:tcPr>
            <w:tcW w:w="1134" w:type="dxa"/>
          </w:tcPr>
          <w:p w14:paraId="1197E916" w14:textId="77777777" w:rsidR="0088112C" w:rsidRPr="004D53EC" w:rsidRDefault="0088112C" w:rsidP="005760FF">
            <w:pPr>
              <w:pStyle w:val="TableParagraph"/>
              <w:spacing w:line="184" w:lineRule="exact"/>
              <w:rPr>
                <w:rFonts w:ascii="Arial MT"/>
                <w:sz w:val="16"/>
                <w:lang w:val="sq-AL"/>
              </w:rPr>
            </w:pPr>
            <w:r w:rsidRPr="004D53EC">
              <w:rPr>
                <w:spacing w:val="-5"/>
                <w:sz w:val="16"/>
                <w:lang w:val="sq-AL" w:bidi="sq-AL"/>
              </w:rPr>
              <w:t>4.0</w:t>
            </w:r>
          </w:p>
        </w:tc>
        <w:tc>
          <w:tcPr>
            <w:tcW w:w="1134" w:type="dxa"/>
          </w:tcPr>
          <w:p w14:paraId="0BD5B661" w14:textId="77777777" w:rsidR="0088112C" w:rsidRPr="004D53EC" w:rsidRDefault="0088112C" w:rsidP="005760FF">
            <w:pPr>
              <w:pStyle w:val="TableParagraph"/>
              <w:spacing w:line="184" w:lineRule="exact"/>
              <w:rPr>
                <w:rFonts w:ascii="Arial MT"/>
                <w:sz w:val="16"/>
                <w:lang w:val="sq-AL"/>
              </w:rPr>
            </w:pPr>
            <w:r w:rsidRPr="004D53EC">
              <w:rPr>
                <w:spacing w:val="-5"/>
                <w:sz w:val="16"/>
                <w:lang w:val="sq-AL" w:bidi="sq-AL"/>
              </w:rPr>
              <w:t>2.1</w:t>
            </w:r>
          </w:p>
        </w:tc>
        <w:tc>
          <w:tcPr>
            <w:tcW w:w="1134" w:type="dxa"/>
          </w:tcPr>
          <w:p w14:paraId="20C2625C" w14:textId="77777777" w:rsidR="0088112C" w:rsidRPr="004D53EC" w:rsidRDefault="0088112C" w:rsidP="005760FF">
            <w:pPr>
              <w:pStyle w:val="TableParagraph"/>
              <w:spacing w:line="184" w:lineRule="exact"/>
              <w:ind w:right="1"/>
              <w:rPr>
                <w:rFonts w:ascii="Arial MT"/>
                <w:sz w:val="16"/>
                <w:lang w:val="sq-AL"/>
              </w:rPr>
            </w:pPr>
            <w:r w:rsidRPr="004D53EC">
              <w:rPr>
                <w:sz w:val="16"/>
                <w:lang w:val="sq-AL" w:bidi="sq-AL"/>
              </w:rPr>
              <w:t>- 3.5 p</w:t>
            </w:r>
          </w:p>
        </w:tc>
        <w:tc>
          <w:tcPr>
            <w:tcW w:w="1134" w:type="dxa"/>
          </w:tcPr>
          <w:p w14:paraId="5C4422F6"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r>
      <w:tr w:rsidR="0088112C" w:rsidRPr="004D53EC" w14:paraId="7B3F9B2F" w14:textId="77777777" w:rsidTr="005760FF">
        <w:trPr>
          <w:trHeight w:val="222"/>
        </w:trPr>
        <w:tc>
          <w:tcPr>
            <w:tcW w:w="6804" w:type="dxa"/>
          </w:tcPr>
          <w:p w14:paraId="7A14EDDA"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Rritja e punësimit (të dhënat e llogarive kombëtare), në raport me vitin e mëparshëm (%)</w:t>
            </w:r>
          </w:p>
        </w:tc>
        <w:tc>
          <w:tcPr>
            <w:tcW w:w="568" w:type="dxa"/>
          </w:tcPr>
          <w:p w14:paraId="0FF5CEBE" w14:textId="77777777" w:rsidR="0088112C" w:rsidRPr="004D53EC" w:rsidRDefault="0088112C" w:rsidP="005760FF">
            <w:pPr>
              <w:pStyle w:val="TableParagraph"/>
              <w:ind w:left="0"/>
              <w:jc w:val="left"/>
              <w:rPr>
                <w:sz w:val="14"/>
                <w:lang w:val="sq-AL"/>
              </w:rPr>
            </w:pPr>
          </w:p>
        </w:tc>
        <w:tc>
          <w:tcPr>
            <w:tcW w:w="1134" w:type="dxa"/>
          </w:tcPr>
          <w:p w14:paraId="6408FCF4"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47DD03BE"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04E56778"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6FBF1918"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113297E5"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5CF9EE80"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r>
      <w:tr w:rsidR="0088112C" w:rsidRPr="004D53EC" w14:paraId="7324C2E2" w14:textId="77777777" w:rsidTr="005760FF">
        <w:trPr>
          <w:trHeight w:val="397"/>
        </w:trPr>
        <w:tc>
          <w:tcPr>
            <w:tcW w:w="6804" w:type="dxa"/>
          </w:tcPr>
          <w:p w14:paraId="52314F7C"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 xml:space="preserve">Rritja e produktivitetit të punës: rritje në PBB (në vëllim) për person të punësuar, në krahasim </w:t>
            </w:r>
          </w:p>
          <w:p w14:paraId="48C33A2A" w14:textId="77777777" w:rsidR="0088112C" w:rsidRPr="004D53EC" w:rsidRDefault="0088112C" w:rsidP="005760FF">
            <w:pPr>
              <w:pStyle w:val="TableParagraph"/>
              <w:spacing w:before="14" w:line="179" w:lineRule="exact"/>
              <w:ind w:left="107"/>
              <w:jc w:val="left"/>
              <w:rPr>
                <w:rFonts w:ascii="Arial MT"/>
                <w:sz w:val="16"/>
                <w:lang w:val="sq-AL"/>
              </w:rPr>
            </w:pPr>
            <w:r w:rsidRPr="004D53EC">
              <w:rPr>
                <w:sz w:val="16"/>
                <w:lang w:val="sq-AL" w:bidi="sq-AL"/>
              </w:rPr>
              <w:t>me vitin e mëparshëm (%)</w:t>
            </w:r>
          </w:p>
        </w:tc>
        <w:tc>
          <w:tcPr>
            <w:tcW w:w="568" w:type="dxa"/>
          </w:tcPr>
          <w:p w14:paraId="049B293D" w14:textId="77777777" w:rsidR="0088112C" w:rsidRPr="004D53EC" w:rsidRDefault="0088112C" w:rsidP="005760FF">
            <w:pPr>
              <w:pStyle w:val="TableParagraph"/>
              <w:ind w:left="0"/>
              <w:jc w:val="left"/>
              <w:rPr>
                <w:sz w:val="14"/>
                <w:lang w:val="sq-AL"/>
              </w:rPr>
            </w:pPr>
          </w:p>
        </w:tc>
        <w:tc>
          <w:tcPr>
            <w:tcW w:w="1134" w:type="dxa"/>
          </w:tcPr>
          <w:p w14:paraId="4F89C3AE"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7324BEBA"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63B5E193"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539BB5EB"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179ED955"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44044701"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r>
      <w:tr w:rsidR="0088112C" w:rsidRPr="004D53EC" w14:paraId="2303BAFB" w14:textId="77777777" w:rsidTr="005760FF">
        <w:trPr>
          <w:trHeight w:val="222"/>
        </w:trPr>
        <w:tc>
          <w:tcPr>
            <w:tcW w:w="6804" w:type="dxa"/>
          </w:tcPr>
          <w:p w14:paraId="645549EA"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Rritja e kostos së punës për njësi, në raport me vitin e mëparshëm (%)</w:t>
            </w:r>
          </w:p>
        </w:tc>
        <w:tc>
          <w:tcPr>
            <w:tcW w:w="568" w:type="dxa"/>
          </w:tcPr>
          <w:p w14:paraId="370192EA" w14:textId="77777777" w:rsidR="0088112C" w:rsidRPr="004D53EC" w:rsidRDefault="0088112C" w:rsidP="005760FF">
            <w:pPr>
              <w:pStyle w:val="TableParagraph"/>
              <w:ind w:left="0"/>
              <w:jc w:val="left"/>
              <w:rPr>
                <w:sz w:val="14"/>
                <w:lang w:val="sq-AL"/>
              </w:rPr>
            </w:pPr>
          </w:p>
        </w:tc>
        <w:tc>
          <w:tcPr>
            <w:tcW w:w="1134" w:type="dxa"/>
          </w:tcPr>
          <w:p w14:paraId="526DECFB"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5E292815"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6BF391BB"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7A2AA68B"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51442D30"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3F866CAB"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r>
      <w:tr w:rsidR="0088112C" w:rsidRPr="004D53EC" w14:paraId="35F7048E" w14:textId="77777777" w:rsidTr="005760FF">
        <w:trPr>
          <w:trHeight w:val="223"/>
        </w:trPr>
        <w:tc>
          <w:tcPr>
            <w:tcW w:w="6804" w:type="dxa"/>
          </w:tcPr>
          <w:p w14:paraId="6129075F"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 Ndryshimi 3-vjeçar (T/T-3) në indeksin e rritjes së kostos së punës për njësi nominale (2015 = 100)</w:t>
            </w:r>
          </w:p>
        </w:tc>
        <w:tc>
          <w:tcPr>
            <w:tcW w:w="568" w:type="dxa"/>
          </w:tcPr>
          <w:p w14:paraId="7E0CBFB1" w14:textId="77777777" w:rsidR="0088112C" w:rsidRPr="004D53EC" w:rsidRDefault="0088112C" w:rsidP="005760FF">
            <w:pPr>
              <w:pStyle w:val="TableParagraph"/>
              <w:ind w:left="0"/>
              <w:jc w:val="left"/>
              <w:rPr>
                <w:sz w:val="14"/>
                <w:lang w:val="sq-AL"/>
              </w:rPr>
            </w:pPr>
          </w:p>
        </w:tc>
        <w:tc>
          <w:tcPr>
            <w:tcW w:w="1134" w:type="dxa"/>
          </w:tcPr>
          <w:p w14:paraId="4A22F6FD"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3A6A3455"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1766745A"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508A6182"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67CB96A2"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085EBFF6"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r>
      <w:tr w:rsidR="0088112C" w:rsidRPr="004D53EC" w14:paraId="44FEB62B" w14:textId="77777777" w:rsidTr="005760FF">
        <w:trPr>
          <w:trHeight w:val="396"/>
        </w:trPr>
        <w:tc>
          <w:tcPr>
            <w:tcW w:w="6804" w:type="dxa"/>
          </w:tcPr>
          <w:p w14:paraId="60767A4D" w14:textId="075AE926"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Produktiviteti i punës për person të punësuar:</w:t>
            </w:r>
            <w:r w:rsidR="004D53EC">
              <w:rPr>
                <w:sz w:val="16"/>
                <w:lang w:val="sq-AL" w:bidi="sq-AL"/>
              </w:rPr>
              <w:t xml:space="preserve"> </w:t>
            </w:r>
            <w:r w:rsidRPr="004D53EC">
              <w:rPr>
                <w:sz w:val="16"/>
                <w:lang w:val="sq-AL" w:bidi="sq-AL"/>
              </w:rPr>
              <w:t xml:space="preserve">PBB (në SFB) për person të punësuar në raport me </w:t>
            </w:r>
          </w:p>
          <w:p w14:paraId="3C3EB716" w14:textId="77777777" w:rsidR="0088112C" w:rsidRPr="004D53EC" w:rsidRDefault="0088112C" w:rsidP="005760FF">
            <w:pPr>
              <w:pStyle w:val="TableParagraph"/>
              <w:spacing w:before="15" w:line="178" w:lineRule="exact"/>
              <w:ind w:left="107"/>
              <w:jc w:val="left"/>
              <w:rPr>
                <w:rFonts w:ascii="Arial MT"/>
                <w:sz w:val="16"/>
                <w:lang w:val="sq-AL"/>
              </w:rPr>
            </w:pPr>
            <w:r w:rsidRPr="004D53EC">
              <w:rPr>
                <w:sz w:val="16"/>
                <w:lang w:val="sq-AL" w:bidi="sq-AL"/>
              </w:rPr>
              <w:t>mesataren e BE-së (BE-27 = 100)</w:t>
            </w:r>
          </w:p>
        </w:tc>
        <w:tc>
          <w:tcPr>
            <w:tcW w:w="568" w:type="dxa"/>
          </w:tcPr>
          <w:p w14:paraId="4D029C09" w14:textId="77777777" w:rsidR="0088112C" w:rsidRPr="004D53EC" w:rsidRDefault="0088112C" w:rsidP="005760FF">
            <w:pPr>
              <w:pStyle w:val="TableParagraph"/>
              <w:ind w:left="0"/>
              <w:jc w:val="left"/>
              <w:rPr>
                <w:sz w:val="14"/>
                <w:lang w:val="sq-AL"/>
              </w:rPr>
            </w:pPr>
          </w:p>
        </w:tc>
        <w:tc>
          <w:tcPr>
            <w:tcW w:w="1134" w:type="dxa"/>
          </w:tcPr>
          <w:p w14:paraId="7828E553"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53F29C1C"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1D5BBADC"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631C57D8"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5162F613"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5C87135D"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r>
      <w:tr w:rsidR="0088112C" w:rsidRPr="004D53EC" w14:paraId="3112DDCE" w14:textId="77777777" w:rsidTr="005760FF">
        <w:trPr>
          <w:trHeight w:val="222"/>
        </w:trPr>
        <w:tc>
          <w:tcPr>
            <w:tcW w:w="6804" w:type="dxa"/>
          </w:tcPr>
          <w:p w14:paraId="7A9F7239"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Vlera e shtuar bruto sipas sektorëve kryesorë</w:t>
            </w:r>
          </w:p>
        </w:tc>
        <w:tc>
          <w:tcPr>
            <w:tcW w:w="7372" w:type="dxa"/>
            <w:gridSpan w:val="7"/>
          </w:tcPr>
          <w:p w14:paraId="51EDF668" w14:textId="77777777" w:rsidR="0088112C" w:rsidRPr="004D53EC" w:rsidRDefault="0088112C" w:rsidP="005760FF">
            <w:pPr>
              <w:pStyle w:val="TableParagraph"/>
              <w:ind w:left="0"/>
              <w:jc w:val="left"/>
              <w:rPr>
                <w:sz w:val="14"/>
                <w:lang w:val="sq-AL"/>
              </w:rPr>
            </w:pPr>
          </w:p>
        </w:tc>
      </w:tr>
      <w:tr w:rsidR="0088112C" w:rsidRPr="004D53EC" w14:paraId="03ECAA01" w14:textId="77777777" w:rsidTr="005760FF">
        <w:trPr>
          <w:trHeight w:val="223"/>
        </w:trPr>
        <w:tc>
          <w:tcPr>
            <w:tcW w:w="6804" w:type="dxa"/>
          </w:tcPr>
          <w:p w14:paraId="3BD40280"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Bujqësia, pyjet dhe peshkimi (%)</w:t>
            </w:r>
          </w:p>
        </w:tc>
        <w:tc>
          <w:tcPr>
            <w:tcW w:w="568" w:type="dxa"/>
          </w:tcPr>
          <w:p w14:paraId="4F70BA19" w14:textId="77777777" w:rsidR="0088112C" w:rsidRPr="004D53EC" w:rsidRDefault="0088112C" w:rsidP="005760FF">
            <w:pPr>
              <w:pStyle w:val="TableParagraph"/>
              <w:ind w:left="0"/>
              <w:jc w:val="left"/>
              <w:rPr>
                <w:sz w:val="14"/>
                <w:lang w:val="sq-AL"/>
              </w:rPr>
            </w:pPr>
          </w:p>
        </w:tc>
        <w:tc>
          <w:tcPr>
            <w:tcW w:w="1134" w:type="dxa"/>
          </w:tcPr>
          <w:p w14:paraId="32A02381" w14:textId="77777777" w:rsidR="0088112C" w:rsidRPr="004D53EC" w:rsidRDefault="0088112C" w:rsidP="005760FF">
            <w:pPr>
              <w:pStyle w:val="TableParagraph"/>
              <w:spacing w:before="1"/>
              <w:rPr>
                <w:rFonts w:ascii="Arial MT"/>
                <w:sz w:val="16"/>
                <w:lang w:val="sq-AL"/>
              </w:rPr>
            </w:pPr>
            <w:r w:rsidRPr="004D53EC">
              <w:rPr>
                <w:spacing w:val="-4"/>
                <w:sz w:val="16"/>
                <w:lang w:val="sq-AL" w:bidi="sq-AL"/>
              </w:rPr>
              <w:t>20.7</w:t>
            </w:r>
          </w:p>
        </w:tc>
        <w:tc>
          <w:tcPr>
            <w:tcW w:w="1134" w:type="dxa"/>
          </w:tcPr>
          <w:p w14:paraId="447EDE36" w14:textId="77777777" w:rsidR="0088112C" w:rsidRPr="004D53EC" w:rsidRDefault="0088112C" w:rsidP="005760FF">
            <w:pPr>
              <w:pStyle w:val="TableParagraph"/>
              <w:spacing w:before="1"/>
              <w:rPr>
                <w:rFonts w:ascii="Arial MT"/>
                <w:sz w:val="16"/>
                <w:lang w:val="sq-AL"/>
              </w:rPr>
            </w:pPr>
            <w:r w:rsidRPr="004D53EC">
              <w:rPr>
                <w:spacing w:val="-4"/>
                <w:sz w:val="16"/>
                <w:lang w:val="sq-AL" w:bidi="sq-AL"/>
              </w:rPr>
              <w:t>21.8</w:t>
            </w:r>
          </w:p>
        </w:tc>
        <w:tc>
          <w:tcPr>
            <w:tcW w:w="1134" w:type="dxa"/>
          </w:tcPr>
          <w:p w14:paraId="521F88FF" w14:textId="77777777" w:rsidR="0088112C" w:rsidRPr="004D53EC" w:rsidRDefault="0088112C" w:rsidP="005760FF">
            <w:pPr>
              <w:pStyle w:val="TableParagraph"/>
              <w:spacing w:before="1"/>
              <w:rPr>
                <w:rFonts w:ascii="Arial MT"/>
                <w:sz w:val="16"/>
                <w:lang w:val="sq-AL"/>
              </w:rPr>
            </w:pPr>
            <w:r w:rsidRPr="004D53EC">
              <w:rPr>
                <w:spacing w:val="-4"/>
                <w:sz w:val="16"/>
                <w:lang w:val="sq-AL" w:bidi="sq-AL"/>
              </w:rPr>
              <w:t>21.1</w:t>
            </w:r>
          </w:p>
        </w:tc>
        <w:tc>
          <w:tcPr>
            <w:tcW w:w="1134" w:type="dxa"/>
          </w:tcPr>
          <w:p w14:paraId="1ED76E23" w14:textId="77777777" w:rsidR="0088112C" w:rsidRPr="004D53EC" w:rsidRDefault="0088112C" w:rsidP="005760FF">
            <w:pPr>
              <w:pStyle w:val="TableParagraph"/>
              <w:spacing w:before="1"/>
              <w:rPr>
                <w:rFonts w:ascii="Arial MT"/>
                <w:sz w:val="16"/>
                <w:lang w:val="sq-AL"/>
              </w:rPr>
            </w:pPr>
            <w:r w:rsidRPr="004D53EC">
              <w:rPr>
                <w:spacing w:val="-4"/>
                <w:sz w:val="16"/>
                <w:lang w:val="sq-AL" w:bidi="sq-AL"/>
              </w:rPr>
              <w:t>21.0</w:t>
            </w:r>
          </w:p>
        </w:tc>
        <w:tc>
          <w:tcPr>
            <w:tcW w:w="1134" w:type="dxa"/>
          </w:tcPr>
          <w:p w14:paraId="49A903D7" w14:textId="77777777" w:rsidR="0088112C" w:rsidRPr="004D53EC" w:rsidRDefault="0088112C" w:rsidP="005760FF">
            <w:pPr>
              <w:pStyle w:val="TableParagraph"/>
              <w:spacing w:before="1"/>
              <w:rPr>
                <w:rFonts w:ascii="Arial MT"/>
                <w:sz w:val="16"/>
                <w:lang w:val="sq-AL"/>
              </w:rPr>
            </w:pPr>
            <w:r w:rsidRPr="004D53EC">
              <w:rPr>
                <w:spacing w:val="-4"/>
                <w:sz w:val="16"/>
                <w:lang w:val="sq-AL" w:bidi="sq-AL"/>
              </w:rPr>
              <w:t>21.9</w:t>
            </w:r>
          </w:p>
        </w:tc>
        <w:tc>
          <w:tcPr>
            <w:tcW w:w="1134" w:type="dxa"/>
          </w:tcPr>
          <w:p w14:paraId="740521C0" w14:textId="77777777" w:rsidR="0088112C" w:rsidRPr="004D53EC" w:rsidRDefault="0088112C" w:rsidP="005760FF">
            <w:pPr>
              <w:pStyle w:val="TableParagraph"/>
              <w:spacing w:before="1"/>
              <w:ind w:left="343"/>
              <w:jc w:val="left"/>
              <w:rPr>
                <w:rFonts w:ascii="Arial MT"/>
                <w:sz w:val="16"/>
                <w:lang w:val="sq-AL"/>
              </w:rPr>
            </w:pPr>
            <w:r w:rsidRPr="004D53EC">
              <w:rPr>
                <w:sz w:val="16"/>
                <w:lang w:val="sq-AL" w:bidi="sq-AL"/>
              </w:rPr>
              <w:t>21.1 p</w:t>
            </w:r>
          </w:p>
        </w:tc>
      </w:tr>
      <w:tr w:rsidR="0088112C" w:rsidRPr="004D53EC" w14:paraId="6C2D7A01" w14:textId="77777777" w:rsidTr="005760FF">
        <w:trPr>
          <w:trHeight w:val="222"/>
        </w:trPr>
        <w:tc>
          <w:tcPr>
            <w:tcW w:w="6804" w:type="dxa"/>
          </w:tcPr>
          <w:p w14:paraId="2942A788"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Industria (%)</w:t>
            </w:r>
          </w:p>
        </w:tc>
        <w:tc>
          <w:tcPr>
            <w:tcW w:w="568" w:type="dxa"/>
          </w:tcPr>
          <w:p w14:paraId="7D21C499" w14:textId="77777777" w:rsidR="0088112C" w:rsidRPr="004D53EC" w:rsidRDefault="0088112C" w:rsidP="005760FF">
            <w:pPr>
              <w:pStyle w:val="TableParagraph"/>
              <w:ind w:left="0"/>
              <w:jc w:val="left"/>
              <w:rPr>
                <w:sz w:val="14"/>
                <w:lang w:val="sq-AL"/>
              </w:rPr>
            </w:pPr>
          </w:p>
        </w:tc>
        <w:tc>
          <w:tcPr>
            <w:tcW w:w="1134" w:type="dxa"/>
          </w:tcPr>
          <w:p w14:paraId="13802AA1"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13.8</w:t>
            </w:r>
          </w:p>
        </w:tc>
        <w:tc>
          <w:tcPr>
            <w:tcW w:w="1134" w:type="dxa"/>
          </w:tcPr>
          <w:p w14:paraId="36F01E82"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12.8</w:t>
            </w:r>
          </w:p>
        </w:tc>
        <w:tc>
          <w:tcPr>
            <w:tcW w:w="1134" w:type="dxa"/>
          </w:tcPr>
          <w:p w14:paraId="34CF27A9"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14.1</w:t>
            </w:r>
          </w:p>
        </w:tc>
        <w:tc>
          <w:tcPr>
            <w:tcW w:w="1134" w:type="dxa"/>
          </w:tcPr>
          <w:p w14:paraId="0A314E59"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13.8</w:t>
            </w:r>
          </w:p>
        </w:tc>
        <w:tc>
          <w:tcPr>
            <w:tcW w:w="1134" w:type="dxa"/>
          </w:tcPr>
          <w:p w14:paraId="2097588B"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12.8</w:t>
            </w:r>
          </w:p>
        </w:tc>
        <w:tc>
          <w:tcPr>
            <w:tcW w:w="1134" w:type="dxa"/>
          </w:tcPr>
          <w:p w14:paraId="692C866A" w14:textId="77777777" w:rsidR="0088112C" w:rsidRPr="004D53EC" w:rsidRDefault="0088112C" w:rsidP="005760FF">
            <w:pPr>
              <w:pStyle w:val="TableParagraph"/>
              <w:spacing w:line="184" w:lineRule="exact"/>
              <w:ind w:left="343"/>
              <w:jc w:val="left"/>
              <w:rPr>
                <w:rFonts w:ascii="Arial MT"/>
                <w:sz w:val="16"/>
                <w:lang w:val="sq-AL"/>
              </w:rPr>
            </w:pPr>
            <w:r w:rsidRPr="004D53EC">
              <w:rPr>
                <w:sz w:val="16"/>
                <w:lang w:val="sq-AL" w:bidi="sq-AL"/>
              </w:rPr>
              <w:t>12.9 p</w:t>
            </w:r>
          </w:p>
        </w:tc>
      </w:tr>
      <w:tr w:rsidR="0088112C" w:rsidRPr="004D53EC" w14:paraId="35258DC9" w14:textId="77777777" w:rsidTr="005760FF">
        <w:trPr>
          <w:trHeight w:val="222"/>
        </w:trPr>
        <w:tc>
          <w:tcPr>
            <w:tcW w:w="6804" w:type="dxa"/>
          </w:tcPr>
          <w:p w14:paraId="27AE6EFA" w14:textId="77777777" w:rsidR="0088112C" w:rsidRPr="004D53EC" w:rsidRDefault="0088112C" w:rsidP="005760FF">
            <w:pPr>
              <w:pStyle w:val="TableParagraph"/>
              <w:spacing w:line="184" w:lineRule="exact"/>
              <w:ind w:left="107"/>
              <w:jc w:val="left"/>
              <w:rPr>
                <w:rFonts w:ascii="Arial MT"/>
                <w:sz w:val="16"/>
                <w:lang w:val="sq-AL"/>
              </w:rPr>
            </w:pPr>
            <w:r w:rsidRPr="004D53EC">
              <w:rPr>
                <w:spacing w:val="-2"/>
                <w:sz w:val="16"/>
                <w:lang w:val="sq-AL" w:bidi="sq-AL"/>
              </w:rPr>
              <w:t>Ndërtimi (%)</w:t>
            </w:r>
          </w:p>
        </w:tc>
        <w:tc>
          <w:tcPr>
            <w:tcW w:w="568" w:type="dxa"/>
          </w:tcPr>
          <w:p w14:paraId="69E434F9" w14:textId="77777777" w:rsidR="0088112C" w:rsidRPr="004D53EC" w:rsidRDefault="0088112C" w:rsidP="005760FF">
            <w:pPr>
              <w:pStyle w:val="TableParagraph"/>
              <w:ind w:left="0"/>
              <w:jc w:val="left"/>
              <w:rPr>
                <w:sz w:val="14"/>
                <w:lang w:val="sq-AL"/>
              </w:rPr>
            </w:pPr>
          </w:p>
        </w:tc>
        <w:tc>
          <w:tcPr>
            <w:tcW w:w="1134" w:type="dxa"/>
          </w:tcPr>
          <w:p w14:paraId="72D13196"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14.9</w:t>
            </w:r>
          </w:p>
        </w:tc>
        <w:tc>
          <w:tcPr>
            <w:tcW w:w="1134" w:type="dxa"/>
          </w:tcPr>
          <w:p w14:paraId="5E682E5E"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10.5</w:t>
            </w:r>
          </w:p>
        </w:tc>
        <w:tc>
          <w:tcPr>
            <w:tcW w:w="1134" w:type="dxa"/>
          </w:tcPr>
          <w:p w14:paraId="5DC7B51F"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10.3</w:t>
            </w:r>
          </w:p>
        </w:tc>
        <w:tc>
          <w:tcPr>
            <w:tcW w:w="1134" w:type="dxa"/>
          </w:tcPr>
          <w:p w14:paraId="517C5275" w14:textId="77777777" w:rsidR="0088112C" w:rsidRPr="004D53EC" w:rsidRDefault="0088112C" w:rsidP="005760FF">
            <w:pPr>
              <w:pStyle w:val="TableParagraph"/>
              <w:spacing w:line="184" w:lineRule="exact"/>
              <w:rPr>
                <w:rFonts w:ascii="Arial MT"/>
                <w:sz w:val="16"/>
                <w:lang w:val="sq-AL"/>
              </w:rPr>
            </w:pPr>
            <w:r w:rsidRPr="004D53EC">
              <w:rPr>
                <w:spacing w:val="-5"/>
                <w:sz w:val="16"/>
                <w:lang w:val="sq-AL" w:bidi="sq-AL"/>
              </w:rPr>
              <w:t>11.3</w:t>
            </w:r>
          </w:p>
        </w:tc>
        <w:tc>
          <w:tcPr>
            <w:tcW w:w="1134" w:type="dxa"/>
          </w:tcPr>
          <w:p w14:paraId="2974376F"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10.2</w:t>
            </w:r>
          </w:p>
        </w:tc>
        <w:tc>
          <w:tcPr>
            <w:tcW w:w="1134" w:type="dxa"/>
          </w:tcPr>
          <w:p w14:paraId="6A7F6A80" w14:textId="77777777" w:rsidR="0088112C" w:rsidRPr="004D53EC" w:rsidRDefault="0088112C" w:rsidP="005760FF">
            <w:pPr>
              <w:pStyle w:val="TableParagraph"/>
              <w:spacing w:line="184" w:lineRule="exact"/>
              <w:ind w:left="343"/>
              <w:jc w:val="left"/>
              <w:rPr>
                <w:rFonts w:ascii="Arial MT"/>
                <w:sz w:val="16"/>
                <w:lang w:val="sq-AL"/>
              </w:rPr>
            </w:pPr>
            <w:r w:rsidRPr="004D53EC">
              <w:rPr>
                <w:sz w:val="16"/>
                <w:lang w:val="sq-AL" w:bidi="sq-AL"/>
              </w:rPr>
              <w:t>10.9 p</w:t>
            </w:r>
          </w:p>
        </w:tc>
      </w:tr>
      <w:tr w:rsidR="0088112C" w:rsidRPr="004D53EC" w14:paraId="5D094D76" w14:textId="77777777" w:rsidTr="005760FF">
        <w:trPr>
          <w:trHeight w:val="223"/>
        </w:trPr>
        <w:tc>
          <w:tcPr>
            <w:tcW w:w="6804" w:type="dxa"/>
          </w:tcPr>
          <w:p w14:paraId="7CBD3753"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Shërbimet (%)</w:t>
            </w:r>
          </w:p>
        </w:tc>
        <w:tc>
          <w:tcPr>
            <w:tcW w:w="568" w:type="dxa"/>
          </w:tcPr>
          <w:p w14:paraId="02006D28" w14:textId="77777777" w:rsidR="0088112C" w:rsidRPr="004D53EC" w:rsidRDefault="0088112C" w:rsidP="005760FF">
            <w:pPr>
              <w:pStyle w:val="TableParagraph"/>
              <w:ind w:left="0"/>
              <w:jc w:val="left"/>
              <w:rPr>
                <w:sz w:val="14"/>
                <w:lang w:val="sq-AL"/>
              </w:rPr>
            </w:pPr>
          </w:p>
        </w:tc>
        <w:tc>
          <w:tcPr>
            <w:tcW w:w="1134" w:type="dxa"/>
          </w:tcPr>
          <w:p w14:paraId="656850B3" w14:textId="77777777" w:rsidR="0088112C" w:rsidRPr="004D53EC" w:rsidRDefault="0088112C" w:rsidP="005760FF">
            <w:pPr>
              <w:pStyle w:val="TableParagraph"/>
              <w:spacing w:before="1"/>
              <w:ind w:left="348"/>
              <w:jc w:val="left"/>
              <w:rPr>
                <w:rFonts w:ascii="Arial MT"/>
                <w:sz w:val="16"/>
                <w:lang w:val="sq-AL"/>
              </w:rPr>
            </w:pPr>
            <w:r w:rsidRPr="004D53EC">
              <w:rPr>
                <w:sz w:val="16"/>
                <w:lang w:val="sq-AL" w:bidi="sq-AL"/>
              </w:rPr>
              <w:t>50.8 s</w:t>
            </w:r>
          </w:p>
        </w:tc>
        <w:tc>
          <w:tcPr>
            <w:tcW w:w="1134" w:type="dxa"/>
          </w:tcPr>
          <w:p w14:paraId="6DECD392" w14:textId="77777777" w:rsidR="0088112C" w:rsidRPr="004D53EC" w:rsidRDefault="0088112C" w:rsidP="005760FF">
            <w:pPr>
              <w:pStyle w:val="TableParagraph"/>
              <w:spacing w:before="1"/>
              <w:ind w:left="348"/>
              <w:jc w:val="left"/>
              <w:rPr>
                <w:rFonts w:ascii="Arial MT"/>
                <w:sz w:val="16"/>
                <w:lang w:val="sq-AL"/>
              </w:rPr>
            </w:pPr>
            <w:r w:rsidRPr="004D53EC">
              <w:rPr>
                <w:sz w:val="16"/>
                <w:lang w:val="sq-AL" w:bidi="sq-AL"/>
              </w:rPr>
              <w:t>54.9 s</w:t>
            </w:r>
          </w:p>
        </w:tc>
        <w:tc>
          <w:tcPr>
            <w:tcW w:w="1134" w:type="dxa"/>
          </w:tcPr>
          <w:p w14:paraId="317D7224" w14:textId="77777777" w:rsidR="0088112C" w:rsidRPr="004D53EC" w:rsidRDefault="0088112C" w:rsidP="005760FF">
            <w:pPr>
              <w:pStyle w:val="TableParagraph"/>
              <w:spacing w:before="1"/>
              <w:ind w:left="348"/>
              <w:jc w:val="left"/>
              <w:rPr>
                <w:rFonts w:ascii="Arial MT"/>
                <w:sz w:val="16"/>
                <w:lang w:val="sq-AL"/>
              </w:rPr>
            </w:pPr>
            <w:r w:rsidRPr="004D53EC">
              <w:rPr>
                <w:sz w:val="16"/>
                <w:lang w:val="sq-AL" w:bidi="sq-AL"/>
              </w:rPr>
              <w:t>54.6 s</w:t>
            </w:r>
          </w:p>
        </w:tc>
        <w:tc>
          <w:tcPr>
            <w:tcW w:w="1134" w:type="dxa"/>
          </w:tcPr>
          <w:p w14:paraId="34908A59" w14:textId="77777777" w:rsidR="0088112C" w:rsidRPr="004D53EC" w:rsidRDefault="0088112C" w:rsidP="005760FF">
            <w:pPr>
              <w:pStyle w:val="TableParagraph"/>
              <w:spacing w:before="1"/>
              <w:ind w:left="348"/>
              <w:jc w:val="left"/>
              <w:rPr>
                <w:rFonts w:ascii="Arial MT"/>
                <w:sz w:val="16"/>
                <w:lang w:val="sq-AL"/>
              </w:rPr>
            </w:pPr>
            <w:r w:rsidRPr="004D53EC">
              <w:rPr>
                <w:sz w:val="16"/>
                <w:lang w:val="sq-AL" w:bidi="sq-AL"/>
              </w:rPr>
              <w:t>55.4 s</w:t>
            </w:r>
          </w:p>
        </w:tc>
        <w:tc>
          <w:tcPr>
            <w:tcW w:w="1134" w:type="dxa"/>
          </w:tcPr>
          <w:p w14:paraId="281845CF" w14:textId="77777777" w:rsidR="0088112C" w:rsidRPr="004D53EC" w:rsidRDefault="0088112C" w:rsidP="005760FF">
            <w:pPr>
              <w:pStyle w:val="TableParagraph"/>
              <w:spacing w:before="1"/>
              <w:ind w:left="348"/>
              <w:jc w:val="left"/>
              <w:rPr>
                <w:rFonts w:ascii="Arial MT"/>
                <w:sz w:val="16"/>
                <w:lang w:val="sq-AL"/>
              </w:rPr>
            </w:pPr>
            <w:r w:rsidRPr="004D53EC">
              <w:rPr>
                <w:sz w:val="16"/>
                <w:lang w:val="sq-AL" w:bidi="sq-AL"/>
              </w:rPr>
              <w:t>55.2 s</w:t>
            </w:r>
          </w:p>
        </w:tc>
        <w:tc>
          <w:tcPr>
            <w:tcW w:w="1134" w:type="dxa"/>
          </w:tcPr>
          <w:p w14:paraId="463AE8FF" w14:textId="77777777" w:rsidR="0088112C" w:rsidRPr="004D53EC" w:rsidRDefault="0088112C" w:rsidP="005760FF">
            <w:pPr>
              <w:pStyle w:val="TableParagraph"/>
              <w:spacing w:before="1"/>
              <w:ind w:left="304"/>
              <w:jc w:val="left"/>
              <w:rPr>
                <w:rFonts w:ascii="Arial MT"/>
                <w:sz w:val="16"/>
                <w:lang w:val="sq-AL"/>
              </w:rPr>
            </w:pPr>
            <w:r w:rsidRPr="004D53EC">
              <w:rPr>
                <w:sz w:val="16"/>
                <w:lang w:val="sq-AL" w:bidi="sq-AL"/>
              </w:rPr>
              <w:t xml:space="preserve">55.2 </w:t>
            </w:r>
            <w:proofErr w:type="spellStart"/>
            <w:r w:rsidRPr="004D53EC">
              <w:rPr>
                <w:sz w:val="16"/>
                <w:lang w:val="sq-AL" w:bidi="sq-AL"/>
              </w:rPr>
              <w:t>ps</w:t>
            </w:r>
            <w:proofErr w:type="spellEnd"/>
          </w:p>
        </w:tc>
      </w:tr>
      <w:tr w:rsidR="0088112C" w:rsidRPr="004D53EC" w14:paraId="63BE8E5C" w14:textId="77777777" w:rsidTr="005760FF">
        <w:trPr>
          <w:trHeight w:val="222"/>
        </w:trPr>
        <w:tc>
          <w:tcPr>
            <w:tcW w:w="6804" w:type="dxa"/>
          </w:tcPr>
          <w:p w14:paraId="48ED8501"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Shpenzimet përfundimtare të konsumit, si raport i PBB-së (%)</w:t>
            </w:r>
          </w:p>
        </w:tc>
        <w:tc>
          <w:tcPr>
            <w:tcW w:w="568" w:type="dxa"/>
          </w:tcPr>
          <w:p w14:paraId="5B1448BC" w14:textId="77777777" w:rsidR="0088112C" w:rsidRPr="004D53EC" w:rsidRDefault="0088112C" w:rsidP="005760FF">
            <w:pPr>
              <w:pStyle w:val="TableParagraph"/>
              <w:ind w:left="0"/>
              <w:jc w:val="left"/>
              <w:rPr>
                <w:sz w:val="14"/>
                <w:lang w:val="sq-AL"/>
              </w:rPr>
            </w:pPr>
          </w:p>
        </w:tc>
        <w:tc>
          <w:tcPr>
            <w:tcW w:w="1134" w:type="dxa"/>
          </w:tcPr>
          <w:p w14:paraId="3437382D"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89.3</w:t>
            </w:r>
          </w:p>
        </w:tc>
        <w:tc>
          <w:tcPr>
            <w:tcW w:w="1134" w:type="dxa"/>
          </w:tcPr>
          <w:p w14:paraId="4572F50F"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91.1</w:t>
            </w:r>
          </w:p>
        </w:tc>
        <w:tc>
          <w:tcPr>
            <w:tcW w:w="1134" w:type="dxa"/>
          </w:tcPr>
          <w:p w14:paraId="66300AB3"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90.4</w:t>
            </w:r>
          </w:p>
        </w:tc>
        <w:tc>
          <w:tcPr>
            <w:tcW w:w="1134" w:type="dxa"/>
          </w:tcPr>
          <w:p w14:paraId="5C177574"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91.3</w:t>
            </w:r>
          </w:p>
        </w:tc>
        <w:tc>
          <w:tcPr>
            <w:tcW w:w="1134" w:type="dxa"/>
          </w:tcPr>
          <w:p w14:paraId="0B01C9B9"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92.5</w:t>
            </w:r>
          </w:p>
        </w:tc>
        <w:tc>
          <w:tcPr>
            <w:tcW w:w="1134" w:type="dxa"/>
          </w:tcPr>
          <w:p w14:paraId="5EA464DE" w14:textId="77777777" w:rsidR="0088112C" w:rsidRPr="004D53EC" w:rsidRDefault="0088112C" w:rsidP="005760FF">
            <w:pPr>
              <w:pStyle w:val="TableParagraph"/>
              <w:spacing w:line="184" w:lineRule="exact"/>
              <w:ind w:left="343"/>
              <w:jc w:val="left"/>
              <w:rPr>
                <w:rFonts w:ascii="Arial MT"/>
                <w:sz w:val="16"/>
                <w:lang w:val="sq-AL"/>
              </w:rPr>
            </w:pPr>
            <w:r w:rsidRPr="004D53EC">
              <w:rPr>
                <w:sz w:val="16"/>
                <w:lang w:val="sq-AL" w:bidi="sq-AL"/>
              </w:rPr>
              <w:t>88.6 p</w:t>
            </w:r>
          </w:p>
        </w:tc>
      </w:tr>
      <w:tr w:rsidR="0088112C" w:rsidRPr="004D53EC" w14:paraId="2F9A9491" w14:textId="77777777" w:rsidTr="005760FF">
        <w:trPr>
          <w:trHeight w:val="222"/>
        </w:trPr>
        <w:tc>
          <w:tcPr>
            <w:tcW w:w="6804" w:type="dxa"/>
          </w:tcPr>
          <w:p w14:paraId="206846FA"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Formimi bruto i kapitalit fiks, në raport me PBB-në (%)</w:t>
            </w:r>
          </w:p>
        </w:tc>
        <w:tc>
          <w:tcPr>
            <w:tcW w:w="568" w:type="dxa"/>
          </w:tcPr>
          <w:p w14:paraId="5B779958" w14:textId="77777777" w:rsidR="0088112C" w:rsidRPr="004D53EC" w:rsidRDefault="0088112C" w:rsidP="005760FF">
            <w:pPr>
              <w:pStyle w:val="TableParagraph"/>
              <w:ind w:left="0"/>
              <w:jc w:val="left"/>
              <w:rPr>
                <w:sz w:val="14"/>
                <w:lang w:val="sq-AL"/>
              </w:rPr>
            </w:pPr>
          </w:p>
        </w:tc>
        <w:tc>
          <w:tcPr>
            <w:tcW w:w="1134" w:type="dxa"/>
          </w:tcPr>
          <w:p w14:paraId="1642AB79"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28.4</w:t>
            </w:r>
          </w:p>
        </w:tc>
        <w:tc>
          <w:tcPr>
            <w:tcW w:w="1134" w:type="dxa"/>
          </w:tcPr>
          <w:p w14:paraId="16B90705"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24.6</w:t>
            </w:r>
          </w:p>
        </w:tc>
        <w:tc>
          <w:tcPr>
            <w:tcW w:w="1134" w:type="dxa"/>
          </w:tcPr>
          <w:p w14:paraId="534EF7EC"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23.9</w:t>
            </w:r>
          </w:p>
        </w:tc>
        <w:tc>
          <w:tcPr>
            <w:tcW w:w="1134" w:type="dxa"/>
          </w:tcPr>
          <w:p w14:paraId="1789FFEA"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22.3</w:t>
            </w:r>
          </w:p>
        </w:tc>
        <w:tc>
          <w:tcPr>
            <w:tcW w:w="1134" w:type="dxa"/>
          </w:tcPr>
          <w:p w14:paraId="242B6C0E"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22.6</w:t>
            </w:r>
          </w:p>
        </w:tc>
        <w:tc>
          <w:tcPr>
            <w:tcW w:w="1134" w:type="dxa"/>
          </w:tcPr>
          <w:p w14:paraId="30DD29D5" w14:textId="77777777" w:rsidR="0088112C" w:rsidRPr="004D53EC" w:rsidRDefault="0088112C" w:rsidP="005760FF">
            <w:pPr>
              <w:pStyle w:val="TableParagraph"/>
              <w:spacing w:line="184" w:lineRule="exact"/>
              <w:ind w:left="343"/>
              <w:jc w:val="left"/>
              <w:rPr>
                <w:rFonts w:ascii="Arial MT"/>
                <w:sz w:val="16"/>
                <w:lang w:val="sq-AL"/>
              </w:rPr>
            </w:pPr>
            <w:r w:rsidRPr="004D53EC">
              <w:rPr>
                <w:sz w:val="16"/>
                <w:lang w:val="sq-AL" w:bidi="sq-AL"/>
              </w:rPr>
              <w:t>24.4 p</w:t>
            </w:r>
          </w:p>
        </w:tc>
      </w:tr>
      <w:tr w:rsidR="0088112C" w:rsidRPr="004D53EC" w14:paraId="319C6379" w14:textId="77777777" w:rsidTr="005760FF">
        <w:trPr>
          <w:trHeight w:val="223"/>
        </w:trPr>
        <w:tc>
          <w:tcPr>
            <w:tcW w:w="6804" w:type="dxa"/>
          </w:tcPr>
          <w:p w14:paraId="58423D64"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Ndryshimet në inventarë, si raport i PBB-së (%)</w:t>
            </w:r>
          </w:p>
        </w:tc>
        <w:tc>
          <w:tcPr>
            <w:tcW w:w="568" w:type="dxa"/>
          </w:tcPr>
          <w:p w14:paraId="003A0072" w14:textId="77777777" w:rsidR="0088112C" w:rsidRPr="004D53EC" w:rsidRDefault="0088112C" w:rsidP="005760FF">
            <w:pPr>
              <w:pStyle w:val="TableParagraph"/>
              <w:ind w:left="0"/>
              <w:jc w:val="left"/>
              <w:rPr>
                <w:sz w:val="14"/>
                <w:lang w:val="sq-AL"/>
              </w:rPr>
            </w:pPr>
          </w:p>
        </w:tc>
        <w:tc>
          <w:tcPr>
            <w:tcW w:w="1134" w:type="dxa"/>
          </w:tcPr>
          <w:p w14:paraId="4C2FC418" w14:textId="77777777" w:rsidR="0088112C" w:rsidRPr="004D53EC" w:rsidRDefault="0088112C" w:rsidP="005760FF">
            <w:pPr>
              <w:pStyle w:val="TableParagraph"/>
              <w:spacing w:before="1"/>
              <w:rPr>
                <w:rFonts w:ascii="Arial MT"/>
                <w:sz w:val="16"/>
                <w:lang w:val="sq-AL"/>
              </w:rPr>
            </w:pPr>
            <w:r w:rsidRPr="004D53EC">
              <w:rPr>
                <w:spacing w:val="-5"/>
                <w:sz w:val="16"/>
                <w:lang w:val="sq-AL" w:bidi="sq-AL"/>
              </w:rPr>
              <w:t>1.9</w:t>
            </w:r>
          </w:p>
        </w:tc>
        <w:tc>
          <w:tcPr>
            <w:tcW w:w="1134" w:type="dxa"/>
          </w:tcPr>
          <w:p w14:paraId="5F82ACC7" w14:textId="77777777" w:rsidR="0088112C" w:rsidRPr="004D53EC" w:rsidRDefault="0088112C" w:rsidP="005760FF">
            <w:pPr>
              <w:pStyle w:val="TableParagraph"/>
              <w:spacing w:before="1"/>
              <w:rPr>
                <w:rFonts w:ascii="Arial MT"/>
                <w:sz w:val="16"/>
                <w:lang w:val="sq-AL"/>
              </w:rPr>
            </w:pPr>
            <w:r w:rsidRPr="004D53EC">
              <w:rPr>
                <w:spacing w:val="-5"/>
                <w:sz w:val="16"/>
                <w:lang w:val="sq-AL" w:bidi="sq-AL"/>
              </w:rPr>
              <w:t>0.5</w:t>
            </w:r>
          </w:p>
        </w:tc>
        <w:tc>
          <w:tcPr>
            <w:tcW w:w="1134" w:type="dxa"/>
          </w:tcPr>
          <w:p w14:paraId="332B3146" w14:textId="77777777" w:rsidR="0088112C" w:rsidRPr="004D53EC" w:rsidRDefault="0088112C" w:rsidP="005760FF">
            <w:pPr>
              <w:pStyle w:val="TableParagraph"/>
              <w:spacing w:before="1"/>
              <w:rPr>
                <w:rFonts w:ascii="Arial MT"/>
                <w:sz w:val="16"/>
                <w:lang w:val="sq-AL"/>
              </w:rPr>
            </w:pPr>
            <w:r w:rsidRPr="004D53EC">
              <w:rPr>
                <w:spacing w:val="-5"/>
                <w:sz w:val="16"/>
                <w:lang w:val="sq-AL" w:bidi="sq-AL"/>
              </w:rPr>
              <w:t>0.0</w:t>
            </w:r>
          </w:p>
        </w:tc>
        <w:tc>
          <w:tcPr>
            <w:tcW w:w="1134" w:type="dxa"/>
          </w:tcPr>
          <w:p w14:paraId="1B0E2240" w14:textId="77777777" w:rsidR="0088112C" w:rsidRPr="004D53EC" w:rsidRDefault="0088112C" w:rsidP="005760FF">
            <w:pPr>
              <w:pStyle w:val="TableParagraph"/>
              <w:spacing w:before="1"/>
              <w:rPr>
                <w:rFonts w:ascii="Arial MT"/>
                <w:sz w:val="16"/>
                <w:lang w:val="sq-AL"/>
              </w:rPr>
            </w:pPr>
            <w:r w:rsidRPr="004D53EC">
              <w:rPr>
                <w:spacing w:val="-5"/>
                <w:sz w:val="16"/>
                <w:lang w:val="sq-AL" w:bidi="sq-AL"/>
              </w:rPr>
              <w:t>0.7</w:t>
            </w:r>
          </w:p>
        </w:tc>
        <w:tc>
          <w:tcPr>
            <w:tcW w:w="1134" w:type="dxa"/>
          </w:tcPr>
          <w:p w14:paraId="0844A03C" w14:textId="77777777" w:rsidR="0088112C" w:rsidRPr="004D53EC" w:rsidRDefault="0088112C" w:rsidP="005760FF">
            <w:pPr>
              <w:pStyle w:val="TableParagraph"/>
              <w:spacing w:before="1"/>
              <w:rPr>
                <w:rFonts w:ascii="Arial MT"/>
                <w:sz w:val="16"/>
                <w:lang w:val="sq-AL"/>
              </w:rPr>
            </w:pPr>
            <w:r w:rsidRPr="004D53EC">
              <w:rPr>
                <w:spacing w:val="-5"/>
                <w:sz w:val="16"/>
                <w:lang w:val="sq-AL" w:bidi="sq-AL"/>
              </w:rPr>
              <w:t>0,3</w:t>
            </w:r>
          </w:p>
        </w:tc>
        <w:tc>
          <w:tcPr>
            <w:tcW w:w="1134" w:type="dxa"/>
          </w:tcPr>
          <w:p w14:paraId="4BC3CD00" w14:textId="77777777" w:rsidR="0088112C" w:rsidRPr="004D53EC" w:rsidRDefault="0088112C" w:rsidP="005760FF">
            <w:pPr>
              <w:pStyle w:val="TableParagraph"/>
              <w:spacing w:before="1"/>
              <w:ind w:left="388"/>
              <w:jc w:val="left"/>
              <w:rPr>
                <w:rFonts w:ascii="Arial MT"/>
                <w:sz w:val="16"/>
                <w:lang w:val="sq-AL"/>
              </w:rPr>
            </w:pPr>
            <w:r w:rsidRPr="004D53EC">
              <w:rPr>
                <w:sz w:val="16"/>
                <w:lang w:val="sq-AL" w:bidi="sq-AL"/>
              </w:rPr>
              <w:t>0.5 p</w:t>
            </w:r>
          </w:p>
        </w:tc>
      </w:tr>
      <w:tr w:rsidR="0088112C" w:rsidRPr="004D53EC" w14:paraId="60BAC132" w14:textId="77777777" w:rsidTr="005760FF">
        <w:trPr>
          <w:trHeight w:val="222"/>
        </w:trPr>
        <w:tc>
          <w:tcPr>
            <w:tcW w:w="6804" w:type="dxa"/>
          </w:tcPr>
          <w:p w14:paraId="57A0F711"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Eksportet e mallrave dhe shërbimeve, në raport me PBB (%)</w:t>
            </w:r>
          </w:p>
        </w:tc>
        <w:tc>
          <w:tcPr>
            <w:tcW w:w="568" w:type="dxa"/>
          </w:tcPr>
          <w:p w14:paraId="55332669" w14:textId="77777777" w:rsidR="0088112C" w:rsidRPr="004D53EC" w:rsidRDefault="0088112C" w:rsidP="005760FF">
            <w:pPr>
              <w:pStyle w:val="TableParagraph"/>
              <w:ind w:left="0"/>
              <w:jc w:val="left"/>
              <w:rPr>
                <w:sz w:val="14"/>
                <w:lang w:val="sq-AL"/>
              </w:rPr>
            </w:pPr>
          </w:p>
        </w:tc>
        <w:tc>
          <w:tcPr>
            <w:tcW w:w="1134" w:type="dxa"/>
          </w:tcPr>
          <w:p w14:paraId="26555ED1"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28.0</w:t>
            </w:r>
          </w:p>
        </w:tc>
        <w:tc>
          <w:tcPr>
            <w:tcW w:w="1134" w:type="dxa"/>
          </w:tcPr>
          <w:p w14:paraId="34233525"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31.6</w:t>
            </w:r>
          </w:p>
        </w:tc>
        <w:tc>
          <w:tcPr>
            <w:tcW w:w="1134" w:type="dxa"/>
          </w:tcPr>
          <w:p w14:paraId="45BA8F47"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31.6</w:t>
            </w:r>
          </w:p>
        </w:tc>
        <w:tc>
          <w:tcPr>
            <w:tcW w:w="1134" w:type="dxa"/>
          </w:tcPr>
          <w:p w14:paraId="21177189"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31.3</w:t>
            </w:r>
          </w:p>
        </w:tc>
        <w:tc>
          <w:tcPr>
            <w:tcW w:w="1134" w:type="dxa"/>
          </w:tcPr>
          <w:p w14:paraId="1B6B46F9"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22.7</w:t>
            </w:r>
          </w:p>
        </w:tc>
        <w:tc>
          <w:tcPr>
            <w:tcW w:w="1134" w:type="dxa"/>
          </w:tcPr>
          <w:p w14:paraId="7D8E8CC1" w14:textId="77777777" w:rsidR="0088112C" w:rsidRPr="004D53EC" w:rsidRDefault="0088112C" w:rsidP="005760FF">
            <w:pPr>
              <w:pStyle w:val="TableParagraph"/>
              <w:spacing w:line="184" w:lineRule="exact"/>
              <w:ind w:left="343"/>
              <w:jc w:val="left"/>
              <w:rPr>
                <w:rFonts w:ascii="Arial MT"/>
                <w:sz w:val="16"/>
                <w:lang w:val="sq-AL"/>
              </w:rPr>
            </w:pPr>
            <w:r w:rsidRPr="004D53EC">
              <w:rPr>
                <w:sz w:val="16"/>
                <w:lang w:val="sq-AL" w:bidi="sq-AL"/>
              </w:rPr>
              <w:t>31.3 p</w:t>
            </w:r>
          </w:p>
        </w:tc>
      </w:tr>
      <w:tr w:rsidR="0088112C" w:rsidRPr="004D53EC" w14:paraId="5915DB5F" w14:textId="77777777" w:rsidTr="005760FF">
        <w:trPr>
          <w:trHeight w:val="222"/>
        </w:trPr>
        <w:tc>
          <w:tcPr>
            <w:tcW w:w="6804" w:type="dxa"/>
          </w:tcPr>
          <w:p w14:paraId="77928961"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Importet e mallrave dhe shërbimeve, në raport me PBB (%)</w:t>
            </w:r>
          </w:p>
        </w:tc>
        <w:tc>
          <w:tcPr>
            <w:tcW w:w="568" w:type="dxa"/>
          </w:tcPr>
          <w:p w14:paraId="4BAD55DC" w14:textId="77777777" w:rsidR="0088112C" w:rsidRPr="004D53EC" w:rsidRDefault="0088112C" w:rsidP="005760FF">
            <w:pPr>
              <w:pStyle w:val="TableParagraph"/>
              <w:ind w:left="0"/>
              <w:jc w:val="left"/>
              <w:rPr>
                <w:sz w:val="14"/>
                <w:lang w:val="sq-AL"/>
              </w:rPr>
            </w:pPr>
          </w:p>
        </w:tc>
        <w:tc>
          <w:tcPr>
            <w:tcW w:w="1134" w:type="dxa"/>
          </w:tcPr>
          <w:p w14:paraId="53C3AA11"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48.6</w:t>
            </w:r>
          </w:p>
        </w:tc>
        <w:tc>
          <w:tcPr>
            <w:tcW w:w="1134" w:type="dxa"/>
          </w:tcPr>
          <w:p w14:paraId="14604384"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46.6</w:t>
            </w:r>
          </w:p>
        </w:tc>
        <w:tc>
          <w:tcPr>
            <w:tcW w:w="1134" w:type="dxa"/>
          </w:tcPr>
          <w:p w14:paraId="4C0AE3A9"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45.2</w:t>
            </w:r>
          </w:p>
        </w:tc>
        <w:tc>
          <w:tcPr>
            <w:tcW w:w="1134" w:type="dxa"/>
          </w:tcPr>
          <w:p w14:paraId="58CCB9E3"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45.0</w:t>
            </w:r>
          </w:p>
        </w:tc>
        <w:tc>
          <w:tcPr>
            <w:tcW w:w="1134" w:type="dxa"/>
          </w:tcPr>
          <w:p w14:paraId="41041E18"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37.2</w:t>
            </w:r>
          </w:p>
        </w:tc>
        <w:tc>
          <w:tcPr>
            <w:tcW w:w="1134" w:type="dxa"/>
          </w:tcPr>
          <w:p w14:paraId="56035662" w14:textId="77777777" w:rsidR="0088112C" w:rsidRPr="004D53EC" w:rsidRDefault="0088112C" w:rsidP="005760FF">
            <w:pPr>
              <w:pStyle w:val="TableParagraph"/>
              <w:spacing w:line="184" w:lineRule="exact"/>
              <w:ind w:left="343"/>
              <w:jc w:val="left"/>
              <w:rPr>
                <w:rFonts w:ascii="Arial MT"/>
                <w:sz w:val="16"/>
                <w:lang w:val="sq-AL"/>
              </w:rPr>
            </w:pPr>
            <w:r w:rsidRPr="004D53EC">
              <w:rPr>
                <w:sz w:val="16"/>
                <w:lang w:val="sq-AL" w:bidi="sq-AL"/>
              </w:rPr>
              <w:t>44.7 p</w:t>
            </w:r>
          </w:p>
        </w:tc>
      </w:tr>
      <w:tr w:rsidR="0088112C" w:rsidRPr="004D53EC" w14:paraId="3EF5CB20" w14:textId="77777777" w:rsidTr="005760FF">
        <w:trPr>
          <w:trHeight w:val="223"/>
        </w:trPr>
        <w:tc>
          <w:tcPr>
            <w:tcW w:w="6804" w:type="dxa"/>
          </w:tcPr>
          <w:p w14:paraId="368DA953"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Formimi i kapitalit fiks bruto nga sektori i qeverisjes së përgjithshme, si përqindje e PBB-së (%)</w:t>
            </w:r>
          </w:p>
        </w:tc>
        <w:tc>
          <w:tcPr>
            <w:tcW w:w="568" w:type="dxa"/>
          </w:tcPr>
          <w:p w14:paraId="73A59883" w14:textId="77777777" w:rsidR="0088112C" w:rsidRPr="004D53EC" w:rsidRDefault="0088112C" w:rsidP="005760FF">
            <w:pPr>
              <w:pStyle w:val="TableParagraph"/>
              <w:ind w:left="0"/>
              <w:jc w:val="left"/>
              <w:rPr>
                <w:sz w:val="14"/>
                <w:lang w:val="sq-AL"/>
              </w:rPr>
            </w:pPr>
          </w:p>
        </w:tc>
        <w:tc>
          <w:tcPr>
            <w:tcW w:w="1134" w:type="dxa"/>
          </w:tcPr>
          <w:p w14:paraId="32D8BEBF"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401A6141"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4F11D979"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7AD0CF25"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37A7B6A1"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3815FF74"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r>
      <w:tr w:rsidR="0088112C" w:rsidRPr="004D53EC" w14:paraId="67E151EC" w14:textId="77777777" w:rsidTr="005760FF">
        <w:trPr>
          <w:trHeight w:val="222"/>
        </w:trPr>
        <w:tc>
          <w:tcPr>
            <w:tcW w:w="14176" w:type="dxa"/>
            <w:gridSpan w:val="8"/>
            <w:tcBorders>
              <w:left w:val="nil"/>
              <w:bottom w:val="nil"/>
              <w:right w:val="nil"/>
            </w:tcBorders>
          </w:tcPr>
          <w:p w14:paraId="767E5720" w14:textId="77777777" w:rsidR="0088112C" w:rsidRPr="004D53EC" w:rsidRDefault="0088112C" w:rsidP="005760FF">
            <w:pPr>
              <w:pStyle w:val="TableParagraph"/>
              <w:ind w:left="0"/>
              <w:jc w:val="left"/>
              <w:rPr>
                <w:sz w:val="14"/>
                <w:lang w:val="sq-AL"/>
              </w:rPr>
            </w:pPr>
          </w:p>
        </w:tc>
      </w:tr>
      <w:tr w:rsidR="0088112C" w:rsidRPr="004D53EC" w14:paraId="2E31D476" w14:textId="77777777" w:rsidTr="005760FF">
        <w:trPr>
          <w:trHeight w:val="222"/>
        </w:trPr>
        <w:tc>
          <w:tcPr>
            <w:tcW w:w="6804" w:type="dxa"/>
            <w:tcBorders>
              <w:top w:val="nil"/>
              <w:left w:val="nil"/>
            </w:tcBorders>
          </w:tcPr>
          <w:p w14:paraId="4A10A8C5" w14:textId="77777777" w:rsidR="0088112C" w:rsidRPr="004D53EC" w:rsidRDefault="0088112C" w:rsidP="005760FF">
            <w:pPr>
              <w:pStyle w:val="TableParagraph"/>
              <w:spacing w:line="184" w:lineRule="exact"/>
              <w:ind w:left="115"/>
              <w:jc w:val="left"/>
              <w:rPr>
                <w:rFonts w:ascii="Arial"/>
                <w:b/>
                <w:sz w:val="16"/>
                <w:lang w:val="sq-AL"/>
              </w:rPr>
            </w:pPr>
            <w:r w:rsidRPr="004D53EC">
              <w:rPr>
                <w:b/>
                <w:spacing w:val="-2"/>
                <w:sz w:val="16"/>
                <w:lang w:val="sq-AL" w:bidi="sq-AL"/>
              </w:rPr>
              <w:t>Biznes</w:t>
            </w:r>
          </w:p>
        </w:tc>
        <w:tc>
          <w:tcPr>
            <w:tcW w:w="568" w:type="dxa"/>
          </w:tcPr>
          <w:p w14:paraId="7C2765D4" w14:textId="77777777" w:rsidR="0088112C" w:rsidRPr="004D53EC" w:rsidRDefault="0088112C" w:rsidP="005760FF">
            <w:pPr>
              <w:pStyle w:val="TableParagraph"/>
              <w:spacing w:line="184" w:lineRule="exact"/>
              <w:ind w:left="113"/>
              <w:jc w:val="left"/>
              <w:rPr>
                <w:rFonts w:ascii="Arial MT"/>
                <w:sz w:val="16"/>
                <w:lang w:val="sq-AL"/>
              </w:rPr>
            </w:pPr>
            <w:r w:rsidRPr="004D53EC">
              <w:rPr>
                <w:spacing w:val="-4"/>
                <w:sz w:val="16"/>
                <w:lang w:val="sq-AL" w:bidi="sq-AL"/>
              </w:rPr>
              <w:t>Shënime</w:t>
            </w:r>
          </w:p>
        </w:tc>
        <w:tc>
          <w:tcPr>
            <w:tcW w:w="1134" w:type="dxa"/>
          </w:tcPr>
          <w:p w14:paraId="0E7A752C" w14:textId="77777777" w:rsidR="0088112C" w:rsidRPr="004D53EC" w:rsidRDefault="0088112C" w:rsidP="005760FF">
            <w:pPr>
              <w:pStyle w:val="TableParagraph"/>
              <w:spacing w:line="184" w:lineRule="exact"/>
              <w:ind w:right="1"/>
              <w:rPr>
                <w:rFonts w:ascii="Arial MT"/>
                <w:sz w:val="16"/>
                <w:lang w:val="sq-AL"/>
              </w:rPr>
            </w:pPr>
            <w:r w:rsidRPr="004D53EC">
              <w:rPr>
                <w:spacing w:val="-4"/>
                <w:sz w:val="16"/>
                <w:lang w:val="sq-AL" w:bidi="sq-AL"/>
              </w:rPr>
              <w:t>2010</w:t>
            </w:r>
          </w:p>
        </w:tc>
        <w:tc>
          <w:tcPr>
            <w:tcW w:w="1134" w:type="dxa"/>
          </w:tcPr>
          <w:p w14:paraId="0AEDD5E8" w14:textId="77777777" w:rsidR="0088112C" w:rsidRPr="004D53EC" w:rsidRDefault="0088112C" w:rsidP="005760FF">
            <w:pPr>
              <w:pStyle w:val="TableParagraph"/>
              <w:spacing w:line="184" w:lineRule="exact"/>
              <w:ind w:right="1"/>
              <w:rPr>
                <w:rFonts w:ascii="Arial MT"/>
                <w:sz w:val="16"/>
                <w:lang w:val="sq-AL"/>
              </w:rPr>
            </w:pPr>
            <w:r w:rsidRPr="004D53EC">
              <w:rPr>
                <w:spacing w:val="-4"/>
                <w:sz w:val="16"/>
                <w:lang w:val="sq-AL" w:bidi="sq-AL"/>
              </w:rPr>
              <w:t>2017</w:t>
            </w:r>
          </w:p>
        </w:tc>
        <w:tc>
          <w:tcPr>
            <w:tcW w:w="1134" w:type="dxa"/>
          </w:tcPr>
          <w:p w14:paraId="6133CC3E" w14:textId="77777777" w:rsidR="0088112C" w:rsidRPr="004D53EC" w:rsidRDefault="0088112C" w:rsidP="005760FF">
            <w:pPr>
              <w:pStyle w:val="TableParagraph"/>
              <w:spacing w:line="184" w:lineRule="exact"/>
              <w:ind w:right="1"/>
              <w:rPr>
                <w:rFonts w:ascii="Arial MT"/>
                <w:sz w:val="16"/>
                <w:lang w:val="sq-AL"/>
              </w:rPr>
            </w:pPr>
            <w:r w:rsidRPr="004D53EC">
              <w:rPr>
                <w:spacing w:val="-4"/>
                <w:sz w:val="16"/>
                <w:lang w:val="sq-AL" w:bidi="sq-AL"/>
              </w:rPr>
              <w:t>2018</w:t>
            </w:r>
          </w:p>
        </w:tc>
        <w:tc>
          <w:tcPr>
            <w:tcW w:w="1134" w:type="dxa"/>
          </w:tcPr>
          <w:p w14:paraId="1B2F51C0" w14:textId="77777777" w:rsidR="0088112C" w:rsidRPr="004D53EC" w:rsidRDefault="0088112C" w:rsidP="005760FF">
            <w:pPr>
              <w:pStyle w:val="TableParagraph"/>
              <w:spacing w:line="184" w:lineRule="exact"/>
              <w:ind w:right="1"/>
              <w:rPr>
                <w:rFonts w:ascii="Arial MT"/>
                <w:sz w:val="16"/>
                <w:lang w:val="sq-AL"/>
              </w:rPr>
            </w:pPr>
            <w:r w:rsidRPr="004D53EC">
              <w:rPr>
                <w:spacing w:val="-4"/>
                <w:sz w:val="16"/>
                <w:lang w:val="sq-AL" w:bidi="sq-AL"/>
              </w:rPr>
              <w:t>2019</w:t>
            </w:r>
          </w:p>
        </w:tc>
        <w:tc>
          <w:tcPr>
            <w:tcW w:w="1134" w:type="dxa"/>
          </w:tcPr>
          <w:p w14:paraId="015FE375" w14:textId="77777777" w:rsidR="0088112C" w:rsidRPr="004D53EC" w:rsidRDefault="0088112C" w:rsidP="005760FF">
            <w:pPr>
              <w:pStyle w:val="TableParagraph"/>
              <w:spacing w:line="184" w:lineRule="exact"/>
              <w:ind w:right="1"/>
              <w:rPr>
                <w:rFonts w:ascii="Arial MT"/>
                <w:sz w:val="16"/>
                <w:lang w:val="sq-AL"/>
              </w:rPr>
            </w:pPr>
            <w:r w:rsidRPr="004D53EC">
              <w:rPr>
                <w:spacing w:val="-4"/>
                <w:sz w:val="16"/>
                <w:lang w:val="sq-AL" w:bidi="sq-AL"/>
              </w:rPr>
              <w:t>2020</w:t>
            </w:r>
          </w:p>
        </w:tc>
        <w:tc>
          <w:tcPr>
            <w:tcW w:w="1134" w:type="dxa"/>
          </w:tcPr>
          <w:p w14:paraId="56A5B587" w14:textId="77777777" w:rsidR="0088112C" w:rsidRPr="004D53EC" w:rsidRDefault="0088112C" w:rsidP="005760FF">
            <w:pPr>
              <w:pStyle w:val="TableParagraph"/>
              <w:spacing w:line="184" w:lineRule="exact"/>
              <w:ind w:right="1"/>
              <w:rPr>
                <w:rFonts w:ascii="Arial MT"/>
                <w:sz w:val="16"/>
                <w:lang w:val="sq-AL"/>
              </w:rPr>
            </w:pPr>
            <w:r w:rsidRPr="004D53EC">
              <w:rPr>
                <w:spacing w:val="-4"/>
                <w:sz w:val="16"/>
                <w:lang w:val="sq-AL" w:bidi="sq-AL"/>
              </w:rPr>
              <w:t>2021</w:t>
            </w:r>
          </w:p>
        </w:tc>
      </w:tr>
      <w:tr w:rsidR="0088112C" w:rsidRPr="004D53EC" w14:paraId="25DD1E10" w14:textId="77777777" w:rsidTr="005760FF">
        <w:trPr>
          <w:trHeight w:val="223"/>
        </w:trPr>
        <w:tc>
          <w:tcPr>
            <w:tcW w:w="6804" w:type="dxa"/>
          </w:tcPr>
          <w:p w14:paraId="48B07EB2"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Indeksi i vëllimit të prodhimit industrial (2015 = 100)</w:t>
            </w:r>
          </w:p>
        </w:tc>
        <w:tc>
          <w:tcPr>
            <w:tcW w:w="568" w:type="dxa"/>
          </w:tcPr>
          <w:p w14:paraId="35F9459C" w14:textId="77777777" w:rsidR="0088112C" w:rsidRPr="004D53EC" w:rsidRDefault="0088112C" w:rsidP="005760FF">
            <w:pPr>
              <w:pStyle w:val="TableParagraph"/>
              <w:spacing w:before="1"/>
              <w:ind w:left="107"/>
              <w:jc w:val="left"/>
              <w:rPr>
                <w:rFonts w:ascii="Arial MT"/>
                <w:sz w:val="16"/>
                <w:lang w:val="sq-AL"/>
              </w:rPr>
            </w:pPr>
            <w:r w:rsidRPr="004D53EC">
              <w:rPr>
                <w:spacing w:val="-5"/>
                <w:sz w:val="16"/>
                <w:lang w:val="sq-AL" w:bidi="sq-AL"/>
              </w:rPr>
              <w:t>1)</w:t>
            </w:r>
          </w:p>
        </w:tc>
        <w:tc>
          <w:tcPr>
            <w:tcW w:w="1134" w:type="dxa"/>
          </w:tcPr>
          <w:p w14:paraId="36F04E6F" w14:textId="77777777" w:rsidR="0088112C" w:rsidRPr="004D53EC" w:rsidRDefault="0088112C" w:rsidP="005760FF">
            <w:pPr>
              <w:pStyle w:val="TableParagraph"/>
              <w:spacing w:before="1"/>
              <w:ind w:left="330"/>
              <w:jc w:val="left"/>
              <w:rPr>
                <w:rFonts w:ascii="Arial MT"/>
                <w:sz w:val="16"/>
                <w:lang w:val="sq-AL"/>
              </w:rPr>
            </w:pPr>
            <w:r w:rsidRPr="004D53EC">
              <w:rPr>
                <w:sz w:val="16"/>
                <w:lang w:val="sq-AL" w:bidi="sq-AL"/>
              </w:rPr>
              <w:t>57.0 w</w:t>
            </w:r>
          </w:p>
        </w:tc>
        <w:tc>
          <w:tcPr>
            <w:tcW w:w="1134" w:type="dxa"/>
          </w:tcPr>
          <w:p w14:paraId="3BFDCD38" w14:textId="77777777" w:rsidR="0088112C" w:rsidRPr="004D53EC" w:rsidRDefault="0088112C" w:rsidP="005760FF">
            <w:pPr>
              <w:pStyle w:val="TableParagraph"/>
              <w:spacing w:before="1"/>
              <w:ind w:left="330"/>
              <w:jc w:val="left"/>
              <w:rPr>
                <w:rFonts w:ascii="Arial MT"/>
                <w:sz w:val="16"/>
                <w:lang w:val="sq-AL"/>
              </w:rPr>
            </w:pPr>
            <w:r w:rsidRPr="004D53EC">
              <w:rPr>
                <w:sz w:val="16"/>
                <w:lang w:val="sq-AL" w:bidi="sq-AL"/>
              </w:rPr>
              <w:t>81.4 w</w:t>
            </w:r>
          </w:p>
        </w:tc>
        <w:tc>
          <w:tcPr>
            <w:tcW w:w="1134" w:type="dxa"/>
          </w:tcPr>
          <w:p w14:paraId="12B6AF78" w14:textId="77777777" w:rsidR="0088112C" w:rsidRPr="004D53EC" w:rsidRDefault="0088112C" w:rsidP="005760FF">
            <w:pPr>
              <w:pStyle w:val="TableParagraph"/>
              <w:spacing w:before="1"/>
              <w:ind w:left="330"/>
              <w:jc w:val="left"/>
              <w:rPr>
                <w:rFonts w:ascii="Arial MT"/>
                <w:sz w:val="16"/>
                <w:lang w:val="sq-AL"/>
              </w:rPr>
            </w:pPr>
            <w:r w:rsidRPr="004D53EC">
              <w:rPr>
                <w:sz w:val="16"/>
                <w:lang w:val="sq-AL" w:bidi="sq-AL"/>
              </w:rPr>
              <w:t>96.6 w</w:t>
            </w:r>
          </w:p>
        </w:tc>
        <w:tc>
          <w:tcPr>
            <w:tcW w:w="1134" w:type="dxa"/>
          </w:tcPr>
          <w:p w14:paraId="05764512" w14:textId="77777777" w:rsidR="0088112C" w:rsidRPr="004D53EC" w:rsidRDefault="0088112C" w:rsidP="005760FF">
            <w:pPr>
              <w:pStyle w:val="TableParagraph"/>
              <w:spacing w:before="1"/>
              <w:ind w:left="330"/>
              <w:jc w:val="left"/>
              <w:rPr>
                <w:rFonts w:ascii="Arial MT"/>
                <w:sz w:val="16"/>
                <w:lang w:val="sq-AL"/>
              </w:rPr>
            </w:pPr>
            <w:r w:rsidRPr="004D53EC">
              <w:rPr>
                <w:sz w:val="16"/>
                <w:lang w:val="sq-AL" w:bidi="sq-AL"/>
              </w:rPr>
              <w:t>95.5 w</w:t>
            </w:r>
          </w:p>
        </w:tc>
        <w:tc>
          <w:tcPr>
            <w:tcW w:w="1134" w:type="dxa"/>
          </w:tcPr>
          <w:p w14:paraId="2544790A" w14:textId="77777777" w:rsidR="0088112C" w:rsidRPr="004D53EC" w:rsidRDefault="0088112C" w:rsidP="005760FF">
            <w:pPr>
              <w:pStyle w:val="TableParagraph"/>
              <w:spacing w:before="1"/>
              <w:ind w:left="330"/>
              <w:jc w:val="left"/>
              <w:rPr>
                <w:rFonts w:ascii="Arial MT"/>
                <w:sz w:val="16"/>
                <w:lang w:val="sq-AL"/>
              </w:rPr>
            </w:pPr>
            <w:r w:rsidRPr="004D53EC">
              <w:rPr>
                <w:sz w:val="16"/>
                <w:lang w:val="sq-AL" w:bidi="sq-AL"/>
              </w:rPr>
              <w:t>89.5 w</w:t>
            </w:r>
          </w:p>
        </w:tc>
        <w:tc>
          <w:tcPr>
            <w:tcW w:w="1134" w:type="dxa"/>
          </w:tcPr>
          <w:p w14:paraId="4EE442A2"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113.0 w</w:t>
            </w:r>
          </w:p>
        </w:tc>
      </w:tr>
      <w:tr w:rsidR="0088112C" w:rsidRPr="004D53EC" w14:paraId="5737B6B2" w14:textId="77777777" w:rsidTr="005760FF">
        <w:trPr>
          <w:trHeight w:val="222"/>
        </w:trPr>
        <w:tc>
          <w:tcPr>
            <w:tcW w:w="6804" w:type="dxa"/>
          </w:tcPr>
          <w:p w14:paraId="2ED72428"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lastRenderedPageBreak/>
              <w:t>Numri i ndërmarrjeve aktive (numër)</w:t>
            </w:r>
          </w:p>
        </w:tc>
        <w:tc>
          <w:tcPr>
            <w:tcW w:w="568" w:type="dxa"/>
          </w:tcPr>
          <w:p w14:paraId="0E92CBEE" w14:textId="77777777" w:rsidR="0088112C" w:rsidRPr="004D53EC" w:rsidRDefault="0088112C" w:rsidP="005760FF">
            <w:pPr>
              <w:pStyle w:val="TableParagraph"/>
              <w:spacing w:line="184" w:lineRule="exact"/>
              <w:ind w:left="107"/>
              <w:jc w:val="left"/>
              <w:rPr>
                <w:rFonts w:ascii="Arial MT"/>
                <w:sz w:val="16"/>
                <w:lang w:val="sq-AL"/>
              </w:rPr>
            </w:pPr>
            <w:r w:rsidRPr="004D53EC">
              <w:rPr>
                <w:spacing w:val="-5"/>
                <w:sz w:val="16"/>
                <w:lang w:val="sq-AL" w:bidi="sq-AL"/>
              </w:rPr>
              <w:t>2)</w:t>
            </w:r>
          </w:p>
        </w:tc>
        <w:tc>
          <w:tcPr>
            <w:tcW w:w="1134" w:type="dxa"/>
          </w:tcPr>
          <w:p w14:paraId="30A6222F" w14:textId="77777777" w:rsidR="0088112C" w:rsidRPr="004D53EC" w:rsidRDefault="0088112C" w:rsidP="005760FF">
            <w:pPr>
              <w:pStyle w:val="TableParagraph"/>
              <w:spacing w:line="184" w:lineRule="exact"/>
              <w:ind w:right="1"/>
              <w:rPr>
                <w:rFonts w:ascii="Arial MT"/>
                <w:sz w:val="16"/>
                <w:lang w:val="sq-AL"/>
              </w:rPr>
            </w:pPr>
            <w:r w:rsidRPr="004D53EC">
              <w:rPr>
                <w:sz w:val="16"/>
                <w:lang w:val="sq-AL" w:bidi="sq-AL"/>
              </w:rPr>
              <w:t>72 599 w</w:t>
            </w:r>
          </w:p>
        </w:tc>
        <w:tc>
          <w:tcPr>
            <w:tcW w:w="1134" w:type="dxa"/>
          </w:tcPr>
          <w:p w14:paraId="707A2BCE" w14:textId="77777777" w:rsidR="0088112C" w:rsidRPr="004D53EC" w:rsidRDefault="0088112C" w:rsidP="005760FF">
            <w:pPr>
              <w:pStyle w:val="TableParagraph"/>
              <w:spacing w:line="184" w:lineRule="exact"/>
              <w:ind w:right="1"/>
              <w:rPr>
                <w:rFonts w:ascii="Arial MT"/>
                <w:sz w:val="16"/>
                <w:lang w:val="sq-AL"/>
              </w:rPr>
            </w:pPr>
            <w:r w:rsidRPr="004D53EC">
              <w:rPr>
                <w:sz w:val="16"/>
                <w:lang w:val="sq-AL" w:bidi="sq-AL"/>
              </w:rPr>
              <w:t>97 352 w</w:t>
            </w:r>
          </w:p>
        </w:tc>
        <w:tc>
          <w:tcPr>
            <w:tcW w:w="1134" w:type="dxa"/>
          </w:tcPr>
          <w:p w14:paraId="19EF69A9" w14:textId="77777777" w:rsidR="0088112C" w:rsidRPr="004D53EC" w:rsidRDefault="0088112C" w:rsidP="005760FF">
            <w:pPr>
              <w:pStyle w:val="TableParagraph"/>
              <w:spacing w:line="184" w:lineRule="exact"/>
              <w:ind w:right="1"/>
              <w:rPr>
                <w:rFonts w:ascii="Arial MT"/>
                <w:sz w:val="16"/>
                <w:lang w:val="sq-AL"/>
              </w:rPr>
            </w:pPr>
            <w:r w:rsidRPr="004D53EC">
              <w:rPr>
                <w:sz w:val="16"/>
                <w:lang w:val="sq-AL" w:bidi="sq-AL"/>
              </w:rPr>
              <w:t>97 272 w</w:t>
            </w:r>
          </w:p>
        </w:tc>
        <w:tc>
          <w:tcPr>
            <w:tcW w:w="1134" w:type="dxa"/>
          </w:tcPr>
          <w:p w14:paraId="10B53A8F" w14:textId="77777777" w:rsidR="0088112C" w:rsidRPr="004D53EC" w:rsidRDefault="0088112C" w:rsidP="005760FF">
            <w:pPr>
              <w:pStyle w:val="TableParagraph"/>
              <w:spacing w:line="184" w:lineRule="exact"/>
              <w:ind w:right="1"/>
              <w:rPr>
                <w:rFonts w:ascii="Arial MT"/>
                <w:sz w:val="16"/>
                <w:lang w:val="sq-AL"/>
              </w:rPr>
            </w:pPr>
            <w:r w:rsidRPr="004D53EC">
              <w:rPr>
                <w:sz w:val="16"/>
                <w:lang w:val="sq-AL" w:bidi="sq-AL"/>
              </w:rPr>
              <w:t>93 563 w</w:t>
            </w:r>
          </w:p>
        </w:tc>
        <w:tc>
          <w:tcPr>
            <w:tcW w:w="1134" w:type="dxa"/>
          </w:tcPr>
          <w:p w14:paraId="13944257" w14:textId="77777777" w:rsidR="0088112C" w:rsidRPr="004D53EC" w:rsidRDefault="0088112C" w:rsidP="005760FF">
            <w:pPr>
              <w:pStyle w:val="TableParagraph"/>
              <w:spacing w:line="184" w:lineRule="exact"/>
              <w:ind w:right="1"/>
              <w:rPr>
                <w:rFonts w:ascii="Arial MT"/>
                <w:sz w:val="16"/>
                <w:lang w:val="sq-AL"/>
              </w:rPr>
            </w:pPr>
            <w:r w:rsidRPr="004D53EC">
              <w:rPr>
                <w:sz w:val="16"/>
                <w:lang w:val="sq-AL" w:bidi="sq-AL"/>
              </w:rPr>
              <w:t>92 008 w</w:t>
            </w:r>
          </w:p>
        </w:tc>
        <w:tc>
          <w:tcPr>
            <w:tcW w:w="1134" w:type="dxa"/>
          </w:tcPr>
          <w:p w14:paraId="39C1B489"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r>
      <w:tr w:rsidR="0088112C" w:rsidRPr="004D53EC" w14:paraId="72CC3BAC" w14:textId="77777777" w:rsidTr="005760FF">
        <w:trPr>
          <w:trHeight w:val="396"/>
        </w:trPr>
        <w:tc>
          <w:tcPr>
            <w:tcW w:w="6804" w:type="dxa"/>
          </w:tcPr>
          <w:p w14:paraId="0F68BD15"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Shkalla e lindjeve: numri i ndërmarrjeve të krijuara në periudhën referuese (t) pjesëtuar me numrin</w:t>
            </w:r>
          </w:p>
          <w:p w14:paraId="402A901E" w14:textId="77777777" w:rsidR="0088112C" w:rsidRPr="004D53EC" w:rsidRDefault="0088112C" w:rsidP="005760FF">
            <w:pPr>
              <w:pStyle w:val="TableParagraph"/>
              <w:spacing w:before="15" w:line="178" w:lineRule="exact"/>
              <w:ind w:left="107"/>
              <w:jc w:val="left"/>
              <w:rPr>
                <w:rFonts w:ascii="Arial MT"/>
                <w:sz w:val="16"/>
                <w:lang w:val="sq-AL"/>
              </w:rPr>
            </w:pPr>
            <w:r w:rsidRPr="004D53EC">
              <w:rPr>
                <w:sz w:val="16"/>
                <w:lang w:val="sq-AL" w:bidi="sq-AL"/>
              </w:rPr>
              <w:t xml:space="preserve"> të ndërmarrjeve aktive në t (%)</w:t>
            </w:r>
          </w:p>
        </w:tc>
        <w:tc>
          <w:tcPr>
            <w:tcW w:w="568" w:type="dxa"/>
          </w:tcPr>
          <w:p w14:paraId="3BE79F4C" w14:textId="77777777" w:rsidR="0088112C" w:rsidRPr="004D53EC" w:rsidRDefault="0088112C" w:rsidP="005760FF">
            <w:pPr>
              <w:pStyle w:val="TableParagraph"/>
              <w:spacing w:line="184" w:lineRule="exact"/>
              <w:ind w:left="107"/>
              <w:jc w:val="left"/>
              <w:rPr>
                <w:rFonts w:ascii="Arial MT"/>
                <w:sz w:val="16"/>
                <w:lang w:val="sq-AL"/>
              </w:rPr>
            </w:pPr>
            <w:r w:rsidRPr="004D53EC">
              <w:rPr>
                <w:spacing w:val="-5"/>
                <w:sz w:val="16"/>
                <w:lang w:val="sq-AL" w:bidi="sq-AL"/>
              </w:rPr>
              <w:t>3)</w:t>
            </w:r>
          </w:p>
        </w:tc>
        <w:tc>
          <w:tcPr>
            <w:tcW w:w="1134" w:type="dxa"/>
          </w:tcPr>
          <w:p w14:paraId="3FD6FCA1" w14:textId="77777777" w:rsidR="0088112C" w:rsidRPr="004D53EC" w:rsidRDefault="0088112C" w:rsidP="005760FF">
            <w:pPr>
              <w:pStyle w:val="TableParagraph"/>
              <w:spacing w:line="184" w:lineRule="exact"/>
              <w:ind w:left="330"/>
              <w:jc w:val="left"/>
              <w:rPr>
                <w:rFonts w:ascii="Arial MT"/>
                <w:sz w:val="16"/>
                <w:lang w:val="sq-AL"/>
              </w:rPr>
            </w:pPr>
            <w:r w:rsidRPr="004D53EC">
              <w:rPr>
                <w:sz w:val="16"/>
                <w:lang w:val="sq-AL" w:bidi="sq-AL"/>
              </w:rPr>
              <w:t>16.0 w</w:t>
            </w:r>
          </w:p>
        </w:tc>
        <w:tc>
          <w:tcPr>
            <w:tcW w:w="1134" w:type="dxa"/>
          </w:tcPr>
          <w:p w14:paraId="35A6740C" w14:textId="77777777" w:rsidR="0088112C" w:rsidRPr="004D53EC" w:rsidRDefault="0088112C" w:rsidP="005760FF">
            <w:pPr>
              <w:pStyle w:val="TableParagraph"/>
              <w:spacing w:line="184" w:lineRule="exact"/>
              <w:ind w:left="330"/>
              <w:jc w:val="left"/>
              <w:rPr>
                <w:rFonts w:ascii="Arial MT"/>
                <w:sz w:val="16"/>
                <w:lang w:val="sq-AL"/>
              </w:rPr>
            </w:pPr>
            <w:r w:rsidRPr="004D53EC">
              <w:rPr>
                <w:sz w:val="16"/>
                <w:lang w:val="sq-AL" w:bidi="sq-AL"/>
              </w:rPr>
              <w:t>15.3 w</w:t>
            </w:r>
          </w:p>
        </w:tc>
        <w:tc>
          <w:tcPr>
            <w:tcW w:w="1134" w:type="dxa"/>
          </w:tcPr>
          <w:p w14:paraId="4DBEB5BE" w14:textId="77777777" w:rsidR="0088112C" w:rsidRPr="004D53EC" w:rsidRDefault="0088112C" w:rsidP="005760FF">
            <w:pPr>
              <w:pStyle w:val="TableParagraph"/>
              <w:spacing w:line="184" w:lineRule="exact"/>
              <w:ind w:left="330"/>
              <w:jc w:val="left"/>
              <w:rPr>
                <w:rFonts w:ascii="Arial MT"/>
                <w:sz w:val="16"/>
                <w:lang w:val="sq-AL"/>
              </w:rPr>
            </w:pPr>
            <w:r w:rsidRPr="004D53EC">
              <w:rPr>
                <w:sz w:val="16"/>
                <w:lang w:val="sq-AL" w:bidi="sq-AL"/>
              </w:rPr>
              <w:t>12.5 w</w:t>
            </w:r>
          </w:p>
        </w:tc>
        <w:tc>
          <w:tcPr>
            <w:tcW w:w="1134" w:type="dxa"/>
          </w:tcPr>
          <w:p w14:paraId="284F1B82" w14:textId="77777777" w:rsidR="0088112C" w:rsidRPr="004D53EC" w:rsidRDefault="0088112C" w:rsidP="005760FF">
            <w:pPr>
              <w:pStyle w:val="TableParagraph"/>
              <w:spacing w:line="184" w:lineRule="exact"/>
              <w:ind w:left="330"/>
              <w:jc w:val="left"/>
              <w:rPr>
                <w:rFonts w:ascii="Arial MT"/>
                <w:sz w:val="16"/>
                <w:lang w:val="sq-AL"/>
              </w:rPr>
            </w:pPr>
            <w:r w:rsidRPr="004D53EC">
              <w:rPr>
                <w:sz w:val="16"/>
                <w:lang w:val="sq-AL" w:bidi="sq-AL"/>
              </w:rPr>
              <w:t>10.8 w</w:t>
            </w:r>
          </w:p>
        </w:tc>
        <w:tc>
          <w:tcPr>
            <w:tcW w:w="1134" w:type="dxa"/>
          </w:tcPr>
          <w:p w14:paraId="7DDF09C3" w14:textId="77777777" w:rsidR="0088112C" w:rsidRPr="004D53EC" w:rsidRDefault="0088112C" w:rsidP="005760FF">
            <w:pPr>
              <w:pStyle w:val="TableParagraph"/>
              <w:spacing w:line="184" w:lineRule="exact"/>
              <w:ind w:left="330"/>
              <w:jc w:val="left"/>
              <w:rPr>
                <w:rFonts w:ascii="Arial MT"/>
                <w:sz w:val="16"/>
                <w:lang w:val="sq-AL"/>
              </w:rPr>
            </w:pPr>
            <w:r w:rsidRPr="004D53EC">
              <w:rPr>
                <w:sz w:val="16"/>
                <w:lang w:val="sq-AL" w:bidi="sq-AL"/>
              </w:rPr>
              <w:t>10.4 w</w:t>
            </w:r>
          </w:p>
        </w:tc>
        <w:tc>
          <w:tcPr>
            <w:tcW w:w="1134" w:type="dxa"/>
          </w:tcPr>
          <w:p w14:paraId="70867F3D" w14:textId="77777777" w:rsidR="0088112C" w:rsidRPr="004D53EC" w:rsidRDefault="0088112C" w:rsidP="005760FF">
            <w:pPr>
              <w:pStyle w:val="TableParagraph"/>
              <w:spacing w:line="184" w:lineRule="exact"/>
              <w:ind w:left="330"/>
              <w:jc w:val="left"/>
              <w:rPr>
                <w:rFonts w:ascii="Arial MT"/>
                <w:sz w:val="16"/>
                <w:lang w:val="sq-AL"/>
              </w:rPr>
            </w:pPr>
            <w:r w:rsidRPr="004D53EC">
              <w:rPr>
                <w:sz w:val="16"/>
                <w:lang w:val="sq-AL" w:bidi="sq-AL"/>
              </w:rPr>
              <w:t>12.6 w</w:t>
            </w:r>
          </w:p>
        </w:tc>
      </w:tr>
      <w:tr w:rsidR="0088112C" w:rsidRPr="004D53EC" w14:paraId="0D504C4D" w14:textId="77777777" w:rsidTr="005760FF">
        <w:trPr>
          <w:trHeight w:val="396"/>
        </w:trPr>
        <w:tc>
          <w:tcPr>
            <w:tcW w:w="6804" w:type="dxa"/>
          </w:tcPr>
          <w:p w14:paraId="201A20B6"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 xml:space="preserve">Shkalla e vdekjes: numri i ndërmarrjeve të mbyllura në periudhën referuese (t) pjesëtuar me numrin </w:t>
            </w:r>
          </w:p>
          <w:p w14:paraId="256596E6" w14:textId="77777777" w:rsidR="0088112C" w:rsidRPr="004D53EC" w:rsidRDefault="0088112C" w:rsidP="005760FF">
            <w:pPr>
              <w:pStyle w:val="TableParagraph"/>
              <w:spacing w:before="14" w:line="178" w:lineRule="exact"/>
              <w:ind w:left="107"/>
              <w:jc w:val="left"/>
              <w:rPr>
                <w:rFonts w:ascii="Arial MT"/>
                <w:sz w:val="16"/>
                <w:lang w:val="sq-AL"/>
              </w:rPr>
            </w:pPr>
            <w:r w:rsidRPr="004D53EC">
              <w:rPr>
                <w:sz w:val="16"/>
                <w:lang w:val="sq-AL" w:bidi="sq-AL"/>
              </w:rPr>
              <w:t xml:space="preserve"> të ndërmarrjeve aktive në t (%)</w:t>
            </w:r>
          </w:p>
        </w:tc>
        <w:tc>
          <w:tcPr>
            <w:tcW w:w="568" w:type="dxa"/>
          </w:tcPr>
          <w:p w14:paraId="455AB28C" w14:textId="77777777" w:rsidR="0088112C" w:rsidRPr="004D53EC" w:rsidRDefault="0088112C" w:rsidP="005760FF">
            <w:pPr>
              <w:pStyle w:val="TableParagraph"/>
              <w:ind w:left="0"/>
              <w:jc w:val="left"/>
              <w:rPr>
                <w:sz w:val="14"/>
                <w:lang w:val="sq-AL"/>
              </w:rPr>
            </w:pPr>
          </w:p>
        </w:tc>
        <w:tc>
          <w:tcPr>
            <w:tcW w:w="1134" w:type="dxa"/>
          </w:tcPr>
          <w:p w14:paraId="43807927"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32B4B445"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59749282"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68255E17"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7C978287"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5B775DA4"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r>
    </w:tbl>
    <w:p w14:paraId="7B220DF5" w14:textId="77777777" w:rsidR="0088112C" w:rsidRPr="004D53EC" w:rsidRDefault="0088112C" w:rsidP="0088112C">
      <w:pPr>
        <w:pStyle w:val="BodyText"/>
        <w:spacing w:before="2"/>
        <w:ind w:left="0" w:right="0"/>
        <w:jc w:val="left"/>
        <w:rPr>
          <w:sz w:val="5"/>
          <w:lang w:val="sq-AL"/>
        </w:r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04"/>
        <w:gridCol w:w="568"/>
        <w:gridCol w:w="1134"/>
        <w:gridCol w:w="1134"/>
        <w:gridCol w:w="1134"/>
        <w:gridCol w:w="1134"/>
        <w:gridCol w:w="1134"/>
        <w:gridCol w:w="1134"/>
      </w:tblGrid>
      <w:tr w:rsidR="0088112C" w:rsidRPr="004D53EC" w14:paraId="3E2C14BC" w14:textId="77777777" w:rsidTr="005760FF">
        <w:trPr>
          <w:trHeight w:val="396"/>
        </w:trPr>
        <w:tc>
          <w:tcPr>
            <w:tcW w:w="6804" w:type="dxa"/>
          </w:tcPr>
          <w:p w14:paraId="647E5EE5"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 xml:space="preserve">Njerëzit e punësuar pranë NVM-ve si pjesë e të gjithë personave të punësuar (në ekonominë </w:t>
            </w:r>
          </w:p>
          <w:p w14:paraId="5F0B70CC" w14:textId="77777777" w:rsidR="0088112C" w:rsidRPr="004D53EC" w:rsidRDefault="0088112C" w:rsidP="005760FF">
            <w:pPr>
              <w:pStyle w:val="TableParagraph"/>
              <w:spacing w:before="14" w:line="178" w:lineRule="exact"/>
              <w:ind w:left="107"/>
              <w:jc w:val="left"/>
              <w:rPr>
                <w:rFonts w:ascii="Arial MT"/>
                <w:sz w:val="16"/>
                <w:lang w:val="sq-AL"/>
              </w:rPr>
            </w:pPr>
            <w:r w:rsidRPr="004D53EC">
              <w:rPr>
                <w:sz w:val="16"/>
                <w:lang w:val="sq-AL" w:bidi="sq-AL"/>
              </w:rPr>
              <w:t xml:space="preserve"> e bizneseve jo-financiare) (%)</w:t>
            </w:r>
          </w:p>
        </w:tc>
        <w:tc>
          <w:tcPr>
            <w:tcW w:w="568" w:type="dxa"/>
          </w:tcPr>
          <w:p w14:paraId="54F33ABE" w14:textId="77777777" w:rsidR="0088112C" w:rsidRPr="004D53EC" w:rsidRDefault="0088112C" w:rsidP="005760FF">
            <w:pPr>
              <w:pStyle w:val="TableParagraph"/>
              <w:spacing w:before="1"/>
              <w:ind w:left="107"/>
              <w:jc w:val="left"/>
              <w:rPr>
                <w:rFonts w:ascii="Arial MT"/>
                <w:sz w:val="16"/>
                <w:lang w:val="sq-AL"/>
              </w:rPr>
            </w:pPr>
            <w:r w:rsidRPr="004D53EC">
              <w:rPr>
                <w:spacing w:val="-5"/>
                <w:sz w:val="16"/>
                <w:lang w:val="sq-AL" w:bidi="sq-AL"/>
              </w:rPr>
              <w:t>2)</w:t>
            </w:r>
          </w:p>
        </w:tc>
        <w:tc>
          <w:tcPr>
            <w:tcW w:w="1134" w:type="dxa"/>
          </w:tcPr>
          <w:p w14:paraId="122175CD" w14:textId="77777777" w:rsidR="0088112C" w:rsidRPr="004D53EC" w:rsidRDefault="0088112C" w:rsidP="005760FF">
            <w:pPr>
              <w:pStyle w:val="TableParagraph"/>
              <w:spacing w:before="1"/>
              <w:ind w:left="290"/>
              <w:jc w:val="left"/>
              <w:rPr>
                <w:rFonts w:ascii="Arial MT"/>
                <w:sz w:val="16"/>
                <w:lang w:val="sq-AL"/>
              </w:rPr>
            </w:pPr>
            <w:r w:rsidRPr="004D53EC">
              <w:rPr>
                <w:sz w:val="16"/>
                <w:lang w:val="sq-AL" w:bidi="sq-AL"/>
              </w:rPr>
              <w:t xml:space="preserve">83.5 </w:t>
            </w:r>
            <w:proofErr w:type="spellStart"/>
            <w:r w:rsidRPr="004D53EC">
              <w:rPr>
                <w:sz w:val="16"/>
                <w:lang w:val="sq-AL" w:bidi="sq-AL"/>
              </w:rPr>
              <w:t>sw</w:t>
            </w:r>
            <w:proofErr w:type="spellEnd"/>
          </w:p>
        </w:tc>
        <w:tc>
          <w:tcPr>
            <w:tcW w:w="1134" w:type="dxa"/>
          </w:tcPr>
          <w:p w14:paraId="28B0E6BB" w14:textId="77777777" w:rsidR="0088112C" w:rsidRPr="004D53EC" w:rsidRDefault="0088112C" w:rsidP="005760FF">
            <w:pPr>
              <w:pStyle w:val="TableParagraph"/>
              <w:spacing w:before="1"/>
              <w:ind w:left="290"/>
              <w:jc w:val="left"/>
              <w:rPr>
                <w:rFonts w:ascii="Arial MT"/>
                <w:sz w:val="16"/>
                <w:lang w:val="sq-AL"/>
              </w:rPr>
            </w:pPr>
            <w:r w:rsidRPr="004D53EC">
              <w:rPr>
                <w:sz w:val="16"/>
                <w:lang w:val="sq-AL" w:bidi="sq-AL"/>
              </w:rPr>
              <w:t xml:space="preserve">80.5 </w:t>
            </w:r>
            <w:proofErr w:type="spellStart"/>
            <w:r w:rsidRPr="004D53EC">
              <w:rPr>
                <w:sz w:val="16"/>
                <w:lang w:val="sq-AL" w:bidi="sq-AL"/>
              </w:rPr>
              <w:t>sw</w:t>
            </w:r>
            <w:proofErr w:type="spellEnd"/>
          </w:p>
        </w:tc>
        <w:tc>
          <w:tcPr>
            <w:tcW w:w="1134" w:type="dxa"/>
          </w:tcPr>
          <w:p w14:paraId="259062AF" w14:textId="77777777" w:rsidR="0088112C" w:rsidRPr="004D53EC" w:rsidRDefault="0088112C" w:rsidP="005760FF">
            <w:pPr>
              <w:pStyle w:val="TableParagraph"/>
              <w:spacing w:before="1"/>
              <w:ind w:left="290"/>
              <w:jc w:val="left"/>
              <w:rPr>
                <w:rFonts w:ascii="Arial MT"/>
                <w:sz w:val="16"/>
                <w:lang w:val="sq-AL"/>
              </w:rPr>
            </w:pPr>
            <w:r w:rsidRPr="004D53EC">
              <w:rPr>
                <w:sz w:val="16"/>
                <w:lang w:val="sq-AL" w:bidi="sq-AL"/>
              </w:rPr>
              <w:t xml:space="preserve">80.2 </w:t>
            </w:r>
            <w:proofErr w:type="spellStart"/>
            <w:r w:rsidRPr="004D53EC">
              <w:rPr>
                <w:sz w:val="16"/>
                <w:lang w:val="sq-AL" w:bidi="sq-AL"/>
              </w:rPr>
              <w:t>sw</w:t>
            </w:r>
            <w:proofErr w:type="spellEnd"/>
          </w:p>
        </w:tc>
        <w:tc>
          <w:tcPr>
            <w:tcW w:w="1134" w:type="dxa"/>
          </w:tcPr>
          <w:p w14:paraId="2F26A9BE" w14:textId="77777777" w:rsidR="0088112C" w:rsidRPr="004D53EC" w:rsidRDefault="0088112C" w:rsidP="005760FF">
            <w:pPr>
              <w:pStyle w:val="TableParagraph"/>
              <w:spacing w:before="1"/>
              <w:ind w:left="290"/>
              <w:jc w:val="left"/>
              <w:rPr>
                <w:rFonts w:ascii="Arial MT"/>
                <w:sz w:val="16"/>
                <w:lang w:val="sq-AL"/>
              </w:rPr>
            </w:pPr>
            <w:r w:rsidRPr="004D53EC">
              <w:rPr>
                <w:sz w:val="16"/>
                <w:lang w:val="sq-AL" w:bidi="sq-AL"/>
              </w:rPr>
              <w:t xml:space="preserve">81.2 </w:t>
            </w:r>
            <w:proofErr w:type="spellStart"/>
            <w:r w:rsidRPr="004D53EC">
              <w:rPr>
                <w:sz w:val="16"/>
                <w:lang w:val="sq-AL" w:bidi="sq-AL"/>
              </w:rPr>
              <w:t>sw</w:t>
            </w:r>
            <w:proofErr w:type="spellEnd"/>
          </w:p>
        </w:tc>
        <w:tc>
          <w:tcPr>
            <w:tcW w:w="1134" w:type="dxa"/>
          </w:tcPr>
          <w:p w14:paraId="794AB383" w14:textId="77777777" w:rsidR="0088112C" w:rsidRPr="004D53EC" w:rsidRDefault="0088112C" w:rsidP="005760FF">
            <w:pPr>
              <w:pStyle w:val="TableParagraph"/>
              <w:spacing w:before="1"/>
              <w:ind w:left="290"/>
              <w:jc w:val="left"/>
              <w:rPr>
                <w:rFonts w:ascii="Arial MT"/>
                <w:sz w:val="16"/>
                <w:lang w:val="sq-AL"/>
              </w:rPr>
            </w:pPr>
            <w:r w:rsidRPr="004D53EC">
              <w:rPr>
                <w:sz w:val="16"/>
                <w:lang w:val="sq-AL" w:bidi="sq-AL"/>
              </w:rPr>
              <w:t xml:space="preserve">81.3 </w:t>
            </w:r>
            <w:proofErr w:type="spellStart"/>
            <w:r w:rsidRPr="004D53EC">
              <w:rPr>
                <w:sz w:val="16"/>
                <w:lang w:val="sq-AL" w:bidi="sq-AL"/>
              </w:rPr>
              <w:t>sw</w:t>
            </w:r>
            <w:proofErr w:type="spellEnd"/>
          </w:p>
        </w:tc>
        <w:tc>
          <w:tcPr>
            <w:tcW w:w="1134" w:type="dxa"/>
          </w:tcPr>
          <w:p w14:paraId="41D5B275"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r>
      <w:tr w:rsidR="0088112C" w:rsidRPr="004D53EC" w14:paraId="4984710A" w14:textId="77777777" w:rsidTr="005760FF">
        <w:trPr>
          <w:trHeight w:val="223"/>
        </w:trPr>
        <w:tc>
          <w:tcPr>
            <w:tcW w:w="6804" w:type="dxa"/>
          </w:tcPr>
          <w:p w14:paraId="3C244F28"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Vlera e shtuar nga NVM-të (në ekonominë e bizneseve jo-financiare) (në milion euro)</w:t>
            </w:r>
          </w:p>
        </w:tc>
        <w:tc>
          <w:tcPr>
            <w:tcW w:w="568" w:type="dxa"/>
          </w:tcPr>
          <w:p w14:paraId="57FD89B9" w14:textId="77777777" w:rsidR="0088112C" w:rsidRPr="004D53EC" w:rsidRDefault="0088112C" w:rsidP="005760FF">
            <w:pPr>
              <w:pStyle w:val="TableParagraph"/>
              <w:spacing w:before="1"/>
              <w:ind w:left="107"/>
              <w:jc w:val="left"/>
              <w:rPr>
                <w:rFonts w:ascii="Arial MT"/>
                <w:sz w:val="16"/>
                <w:lang w:val="sq-AL"/>
              </w:rPr>
            </w:pPr>
            <w:r w:rsidRPr="004D53EC">
              <w:rPr>
                <w:spacing w:val="-5"/>
                <w:sz w:val="16"/>
                <w:lang w:val="sq-AL" w:bidi="sq-AL"/>
              </w:rPr>
              <w:t>2)</w:t>
            </w:r>
          </w:p>
        </w:tc>
        <w:tc>
          <w:tcPr>
            <w:tcW w:w="1134" w:type="dxa"/>
          </w:tcPr>
          <w:p w14:paraId="34995008"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 xml:space="preserve">1 560 </w:t>
            </w:r>
            <w:proofErr w:type="spellStart"/>
            <w:r w:rsidRPr="004D53EC">
              <w:rPr>
                <w:sz w:val="16"/>
                <w:lang w:val="sq-AL" w:bidi="sq-AL"/>
              </w:rPr>
              <w:t>sw</w:t>
            </w:r>
            <w:proofErr w:type="spellEnd"/>
          </w:p>
        </w:tc>
        <w:tc>
          <w:tcPr>
            <w:tcW w:w="1134" w:type="dxa"/>
          </w:tcPr>
          <w:p w14:paraId="78A003DE"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 xml:space="preserve">2 520 </w:t>
            </w:r>
            <w:proofErr w:type="spellStart"/>
            <w:r w:rsidRPr="004D53EC">
              <w:rPr>
                <w:sz w:val="16"/>
                <w:lang w:val="sq-AL" w:bidi="sq-AL"/>
              </w:rPr>
              <w:t>sw</w:t>
            </w:r>
            <w:proofErr w:type="spellEnd"/>
          </w:p>
        </w:tc>
        <w:tc>
          <w:tcPr>
            <w:tcW w:w="1134" w:type="dxa"/>
          </w:tcPr>
          <w:p w14:paraId="2DC147FF"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 xml:space="preserve">2 881 </w:t>
            </w:r>
            <w:proofErr w:type="spellStart"/>
            <w:r w:rsidRPr="004D53EC">
              <w:rPr>
                <w:sz w:val="16"/>
                <w:lang w:val="sq-AL" w:bidi="sq-AL"/>
              </w:rPr>
              <w:t>sw</w:t>
            </w:r>
            <w:proofErr w:type="spellEnd"/>
          </w:p>
        </w:tc>
        <w:tc>
          <w:tcPr>
            <w:tcW w:w="1134" w:type="dxa"/>
          </w:tcPr>
          <w:p w14:paraId="6AF3CE49"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 xml:space="preserve">3 263 </w:t>
            </w:r>
            <w:proofErr w:type="spellStart"/>
            <w:r w:rsidRPr="004D53EC">
              <w:rPr>
                <w:sz w:val="16"/>
                <w:lang w:val="sq-AL" w:bidi="sq-AL"/>
              </w:rPr>
              <w:t>sw</w:t>
            </w:r>
            <w:proofErr w:type="spellEnd"/>
          </w:p>
        </w:tc>
        <w:tc>
          <w:tcPr>
            <w:tcW w:w="1134" w:type="dxa"/>
          </w:tcPr>
          <w:p w14:paraId="263DBFC1"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 xml:space="preserve">3 103 </w:t>
            </w:r>
            <w:proofErr w:type="spellStart"/>
            <w:r w:rsidRPr="004D53EC">
              <w:rPr>
                <w:sz w:val="16"/>
                <w:lang w:val="sq-AL" w:bidi="sq-AL"/>
              </w:rPr>
              <w:t>sw</w:t>
            </w:r>
            <w:proofErr w:type="spellEnd"/>
          </w:p>
        </w:tc>
        <w:tc>
          <w:tcPr>
            <w:tcW w:w="1134" w:type="dxa"/>
          </w:tcPr>
          <w:p w14:paraId="29F2250F"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r>
      <w:tr w:rsidR="0088112C" w:rsidRPr="004D53EC" w14:paraId="41894D55" w14:textId="77777777" w:rsidTr="005760FF">
        <w:trPr>
          <w:trHeight w:val="222"/>
        </w:trPr>
        <w:tc>
          <w:tcPr>
            <w:tcW w:w="6804" w:type="dxa"/>
          </w:tcPr>
          <w:p w14:paraId="78F15622"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Vlera e shtuar totale (në ekonominë e bizneseve jo-financiare) (në milion euro)</w:t>
            </w:r>
          </w:p>
        </w:tc>
        <w:tc>
          <w:tcPr>
            <w:tcW w:w="568" w:type="dxa"/>
          </w:tcPr>
          <w:p w14:paraId="5D825DD2" w14:textId="77777777" w:rsidR="0088112C" w:rsidRPr="004D53EC" w:rsidRDefault="0088112C" w:rsidP="005760FF">
            <w:pPr>
              <w:pStyle w:val="TableParagraph"/>
              <w:spacing w:line="184" w:lineRule="exact"/>
              <w:ind w:left="107"/>
              <w:jc w:val="left"/>
              <w:rPr>
                <w:rFonts w:ascii="Arial MT"/>
                <w:sz w:val="16"/>
                <w:lang w:val="sq-AL"/>
              </w:rPr>
            </w:pPr>
            <w:r w:rsidRPr="004D53EC">
              <w:rPr>
                <w:spacing w:val="-5"/>
                <w:sz w:val="16"/>
                <w:lang w:val="sq-AL" w:bidi="sq-AL"/>
              </w:rPr>
              <w:t>2)</w:t>
            </w:r>
          </w:p>
        </w:tc>
        <w:tc>
          <w:tcPr>
            <w:tcW w:w="1134" w:type="dxa"/>
          </w:tcPr>
          <w:p w14:paraId="6D562AB6" w14:textId="77777777" w:rsidR="0088112C" w:rsidRPr="004D53EC" w:rsidRDefault="0088112C" w:rsidP="005760FF">
            <w:pPr>
              <w:pStyle w:val="TableParagraph"/>
              <w:spacing w:line="184" w:lineRule="exact"/>
              <w:ind w:right="1"/>
              <w:rPr>
                <w:rFonts w:ascii="Arial MT"/>
                <w:sz w:val="16"/>
                <w:lang w:val="sq-AL"/>
              </w:rPr>
            </w:pPr>
            <w:r w:rsidRPr="004D53EC">
              <w:rPr>
                <w:sz w:val="16"/>
                <w:lang w:val="sq-AL" w:bidi="sq-AL"/>
              </w:rPr>
              <w:t>2 462 w</w:t>
            </w:r>
          </w:p>
        </w:tc>
        <w:tc>
          <w:tcPr>
            <w:tcW w:w="1134" w:type="dxa"/>
          </w:tcPr>
          <w:p w14:paraId="1DB177C3" w14:textId="77777777" w:rsidR="0088112C" w:rsidRPr="004D53EC" w:rsidRDefault="0088112C" w:rsidP="005760FF">
            <w:pPr>
              <w:pStyle w:val="TableParagraph"/>
              <w:spacing w:line="184" w:lineRule="exact"/>
              <w:ind w:right="1"/>
              <w:rPr>
                <w:rFonts w:ascii="Arial MT"/>
                <w:sz w:val="16"/>
                <w:lang w:val="sq-AL"/>
              </w:rPr>
            </w:pPr>
            <w:r w:rsidRPr="004D53EC">
              <w:rPr>
                <w:sz w:val="16"/>
                <w:lang w:val="sq-AL" w:bidi="sq-AL"/>
              </w:rPr>
              <w:t>3 687 w</w:t>
            </w:r>
          </w:p>
        </w:tc>
        <w:tc>
          <w:tcPr>
            <w:tcW w:w="1134" w:type="dxa"/>
          </w:tcPr>
          <w:p w14:paraId="3C4C4031" w14:textId="77777777" w:rsidR="0088112C" w:rsidRPr="004D53EC" w:rsidRDefault="0088112C" w:rsidP="005760FF">
            <w:pPr>
              <w:pStyle w:val="TableParagraph"/>
              <w:spacing w:line="184" w:lineRule="exact"/>
              <w:ind w:right="1"/>
              <w:rPr>
                <w:rFonts w:ascii="Arial MT"/>
                <w:sz w:val="16"/>
                <w:lang w:val="sq-AL"/>
              </w:rPr>
            </w:pPr>
            <w:r w:rsidRPr="004D53EC">
              <w:rPr>
                <w:sz w:val="16"/>
                <w:lang w:val="sq-AL" w:bidi="sq-AL"/>
              </w:rPr>
              <w:t>4 187 w</w:t>
            </w:r>
          </w:p>
        </w:tc>
        <w:tc>
          <w:tcPr>
            <w:tcW w:w="1134" w:type="dxa"/>
          </w:tcPr>
          <w:p w14:paraId="54477529" w14:textId="77777777" w:rsidR="0088112C" w:rsidRPr="004D53EC" w:rsidRDefault="0088112C" w:rsidP="005760FF">
            <w:pPr>
              <w:pStyle w:val="TableParagraph"/>
              <w:spacing w:line="184" w:lineRule="exact"/>
              <w:ind w:right="1"/>
              <w:rPr>
                <w:rFonts w:ascii="Arial MT"/>
                <w:sz w:val="16"/>
                <w:lang w:val="sq-AL"/>
              </w:rPr>
            </w:pPr>
            <w:r w:rsidRPr="004D53EC">
              <w:rPr>
                <w:sz w:val="16"/>
                <w:lang w:val="sq-AL" w:bidi="sq-AL"/>
              </w:rPr>
              <w:t>4 511 w</w:t>
            </w:r>
          </w:p>
        </w:tc>
        <w:tc>
          <w:tcPr>
            <w:tcW w:w="1134" w:type="dxa"/>
          </w:tcPr>
          <w:p w14:paraId="54668C2C" w14:textId="77777777" w:rsidR="0088112C" w:rsidRPr="004D53EC" w:rsidRDefault="0088112C" w:rsidP="005760FF">
            <w:pPr>
              <w:pStyle w:val="TableParagraph"/>
              <w:spacing w:line="184" w:lineRule="exact"/>
              <w:ind w:right="1"/>
              <w:rPr>
                <w:rFonts w:ascii="Arial MT"/>
                <w:sz w:val="16"/>
                <w:lang w:val="sq-AL"/>
              </w:rPr>
            </w:pPr>
            <w:r w:rsidRPr="004D53EC">
              <w:rPr>
                <w:sz w:val="16"/>
                <w:lang w:val="sq-AL" w:bidi="sq-AL"/>
              </w:rPr>
              <w:t>4 184 w</w:t>
            </w:r>
          </w:p>
        </w:tc>
        <w:tc>
          <w:tcPr>
            <w:tcW w:w="1134" w:type="dxa"/>
          </w:tcPr>
          <w:p w14:paraId="7D1C4B7F"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r>
      <w:tr w:rsidR="0088112C" w:rsidRPr="004D53EC" w14:paraId="0735C24F" w14:textId="77777777" w:rsidTr="005760FF">
        <w:trPr>
          <w:trHeight w:val="222"/>
        </w:trPr>
        <w:tc>
          <w:tcPr>
            <w:tcW w:w="14176" w:type="dxa"/>
            <w:gridSpan w:val="8"/>
            <w:tcBorders>
              <w:left w:val="nil"/>
              <w:bottom w:val="nil"/>
              <w:right w:val="nil"/>
            </w:tcBorders>
          </w:tcPr>
          <w:p w14:paraId="4B689C01" w14:textId="77777777" w:rsidR="0088112C" w:rsidRPr="004D53EC" w:rsidRDefault="0088112C" w:rsidP="005760FF">
            <w:pPr>
              <w:pStyle w:val="TableParagraph"/>
              <w:ind w:left="0"/>
              <w:jc w:val="left"/>
              <w:rPr>
                <w:sz w:val="14"/>
                <w:lang w:val="sq-AL"/>
              </w:rPr>
            </w:pPr>
          </w:p>
        </w:tc>
      </w:tr>
      <w:tr w:rsidR="0088112C" w:rsidRPr="004D53EC" w14:paraId="0516EA77" w14:textId="77777777" w:rsidTr="005760FF">
        <w:trPr>
          <w:trHeight w:val="223"/>
        </w:trPr>
        <w:tc>
          <w:tcPr>
            <w:tcW w:w="6804" w:type="dxa"/>
            <w:tcBorders>
              <w:top w:val="nil"/>
              <w:left w:val="nil"/>
            </w:tcBorders>
          </w:tcPr>
          <w:p w14:paraId="346C126A" w14:textId="77777777" w:rsidR="0088112C" w:rsidRPr="004D53EC" w:rsidRDefault="0088112C" w:rsidP="005760FF">
            <w:pPr>
              <w:pStyle w:val="TableParagraph"/>
              <w:spacing w:before="1"/>
              <w:ind w:left="115"/>
              <w:jc w:val="left"/>
              <w:rPr>
                <w:rFonts w:ascii="Arial"/>
                <w:b/>
                <w:sz w:val="16"/>
                <w:lang w:val="sq-AL"/>
              </w:rPr>
            </w:pPr>
            <w:r w:rsidRPr="004D53EC">
              <w:rPr>
                <w:b/>
                <w:sz w:val="16"/>
                <w:lang w:val="sq-AL" w:bidi="sq-AL"/>
              </w:rPr>
              <w:t>Norma e inflacionit dhe çmimet e shtëpive</w:t>
            </w:r>
          </w:p>
        </w:tc>
        <w:tc>
          <w:tcPr>
            <w:tcW w:w="568" w:type="dxa"/>
          </w:tcPr>
          <w:p w14:paraId="310B2B73" w14:textId="77777777" w:rsidR="0088112C" w:rsidRPr="004D53EC" w:rsidRDefault="0088112C" w:rsidP="005760FF">
            <w:pPr>
              <w:pStyle w:val="TableParagraph"/>
              <w:spacing w:before="1"/>
              <w:ind w:left="113"/>
              <w:jc w:val="left"/>
              <w:rPr>
                <w:rFonts w:ascii="Arial MT"/>
                <w:sz w:val="16"/>
                <w:lang w:val="sq-AL"/>
              </w:rPr>
            </w:pPr>
            <w:r w:rsidRPr="004D53EC">
              <w:rPr>
                <w:spacing w:val="-4"/>
                <w:sz w:val="16"/>
                <w:lang w:val="sq-AL" w:bidi="sq-AL"/>
              </w:rPr>
              <w:t>Shënime</w:t>
            </w:r>
          </w:p>
        </w:tc>
        <w:tc>
          <w:tcPr>
            <w:tcW w:w="1134" w:type="dxa"/>
          </w:tcPr>
          <w:p w14:paraId="148EA46F"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2010</w:t>
            </w:r>
          </w:p>
        </w:tc>
        <w:tc>
          <w:tcPr>
            <w:tcW w:w="1134" w:type="dxa"/>
          </w:tcPr>
          <w:p w14:paraId="3F46FF01"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2017</w:t>
            </w:r>
          </w:p>
        </w:tc>
        <w:tc>
          <w:tcPr>
            <w:tcW w:w="1134" w:type="dxa"/>
          </w:tcPr>
          <w:p w14:paraId="21B1AA8C"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2018</w:t>
            </w:r>
          </w:p>
        </w:tc>
        <w:tc>
          <w:tcPr>
            <w:tcW w:w="1134" w:type="dxa"/>
          </w:tcPr>
          <w:p w14:paraId="37E886E4"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2019</w:t>
            </w:r>
          </w:p>
        </w:tc>
        <w:tc>
          <w:tcPr>
            <w:tcW w:w="1134" w:type="dxa"/>
          </w:tcPr>
          <w:p w14:paraId="6E8B9DFC"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2020</w:t>
            </w:r>
          </w:p>
        </w:tc>
        <w:tc>
          <w:tcPr>
            <w:tcW w:w="1134" w:type="dxa"/>
          </w:tcPr>
          <w:p w14:paraId="7D38BF7C"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2021</w:t>
            </w:r>
          </w:p>
        </w:tc>
      </w:tr>
      <w:tr w:rsidR="0088112C" w:rsidRPr="004D53EC" w14:paraId="0343BD29" w14:textId="77777777" w:rsidTr="005760FF">
        <w:trPr>
          <w:trHeight w:val="222"/>
        </w:trPr>
        <w:tc>
          <w:tcPr>
            <w:tcW w:w="6804" w:type="dxa"/>
          </w:tcPr>
          <w:p w14:paraId="5B2D98CB"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Indeksi i çmimeve të konsumit (IÇK), ndryshimi në raport me vitin e mëparshëm (%)</w:t>
            </w:r>
          </w:p>
        </w:tc>
        <w:tc>
          <w:tcPr>
            <w:tcW w:w="568" w:type="dxa"/>
          </w:tcPr>
          <w:p w14:paraId="7F4B7B1C" w14:textId="77777777" w:rsidR="0088112C" w:rsidRPr="004D53EC" w:rsidRDefault="0088112C" w:rsidP="005760FF">
            <w:pPr>
              <w:pStyle w:val="TableParagraph"/>
              <w:ind w:left="0"/>
              <w:jc w:val="left"/>
              <w:rPr>
                <w:sz w:val="14"/>
                <w:lang w:val="sq-AL"/>
              </w:rPr>
            </w:pPr>
          </w:p>
        </w:tc>
        <w:tc>
          <w:tcPr>
            <w:tcW w:w="1134" w:type="dxa"/>
          </w:tcPr>
          <w:p w14:paraId="0DBED96F"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6DA83F54" w14:textId="77777777" w:rsidR="0088112C" w:rsidRPr="004D53EC" w:rsidRDefault="0088112C" w:rsidP="005760FF">
            <w:pPr>
              <w:pStyle w:val="TableParagraph"/>
              <w:spacing w:line="184" w:lineRule="exact"/>
              <w:ind w:left="388"/>
              <w:jc w:val="left"/>
              <w:rPr>
                <w:rFonts w:ascii="Arial MT"/>
                <w:sz w:val="16"/>
                <w:lang w:val="sq-AL"/>
              </w:rPr>
            </w:pPr>
            <w:r w:rsidRPr="004D53EC">
              <w:rPr>
                <w:sz w:val="16"/>
                <w:lang w:val="sq-AL" w:bidi="sq-AL"/>
              </w:rPr>
              <w:t>3.2 d</w:t>
            </w:r>
          </w:p>
        </w:tc>
        <w:tc>
          <w:tcPr>
            <w:tcW w:w="1134" w:type="dxa"/>
          </w:tcPr>
          <w:p w14:paraId="6A9268B5" w14:textId="77777777" w:rsidR="0088112C" w:rsidRPr="004D53EC" w:rsidRDefault="0088112C" w:rsidP="005760FF">
            <w:pPr>
              <w:pStyle w:val="TableParagraph"/>
              <w:spacing w:line="184" w:lineRule="exact"/>
              <w:ind w:left="388"/>
              <w:jc w:val="left"/>
              <w:rPr>
                <w:rFonts w:ascii="Arial MT"/>
                <w:sz w:val="16"/>
                <w:lang w:val="sq-AL"/>
              </w:rPr>
            </w:pPr>
            <w:r w:rsidRPr="004D53EC">
              <w:rPr>
                <w:sz w:val="16"/>
                <w:lang w:val="sq-AL" w:bidi="sq-AL"/>
              </w:rPr>
              <w:t>1.8 d</w:t>
            </w:r>
          </w:p>
        </w:tc>
        <w:tc>
          <w:tcPr>
            <w:tcW w:w="1134" w:type="dxa"/>
          </w:tcPr>
          <w:p w14:paraId="0DC7D6E0" w14:textId="77777777" w:rsidR="0088112C" w:rsidRPr="004D53EC" w:rsidRDefault="0088112C" w:rsidP="005760FF">
            <w:pPr>
              <w:pStyle w:val="TableParagraph"/>
              <w:spacing w:line="184" w:lineRule="exact"/>
              <w:ind w:left="388"/>
              <w:jc w:val="left"/>
              <w:rPr>
                <w:rFonts w:ascii="Arial MT"/>
                <w:sz w:val="16"/>
                <w:lang w:val="sq-AL"/>
              </w:rPr>
            </w:pPr>
            <w:r w:rsidRPr="004D53EC">
              <w:rPr>
                <w:sz w:val="16"/>
                <w:lang w:val="sq-AL" w:bidi="sq-AL"/>
              </w:rPr>
              <w:t>1.7 d</w:t>
            </w:r>
          </w:p>
        </w:tc>
        <w:tc>
          <w:tcPr>
            <w:tcW w:w="1134" w:type="dxa"/>
          </w:tcPr>
          <w:p w14:paraId="468B1129" w14:textId="77777777" w:rsidR="0088112C" w:rsidRPr="004D53EC" w:rsidRDefault="0088112C" w:rsidP="005760FF">
            <w:pPr>
              <w:pStyle w:val="TableParagraph"/>
              <w:spacing w:line="184" w:lineRule="exact"/>
              <w:ind w:left="388"/>
              <w:jc w:val="left"/>
              <w:rPr>
                <w:rFonts w:ascii="Arial MT"/>
                <w:sz w:val="16"/>
                <w:lang w:val="sq-AL"/>
              </w:rPr>
            </w:pPr>
            <w:r w:rsidRPr="004D53EC">
              <w:rPr>
                <w:sz w:val="16"/>
                <w:lang w:val="sq-AL" w:bidi="sq-AL"/>
              </w:rPr>
              <w:t>2.2 d</w:t>
            </w:r>
          </w:p>
        </w:tc>
        <w:tc>
          <w:tcPr>
            <w:tcW w:w="1134" w:type="dxa"/>
          </w:tcPr>
          <w:p w14:paraId="601E3E2A" w14:textId="77777777" w:rsidR="0088112C" w:rsidRPr="004D53EC" w:rsidRDefault="0088112C" w:rsidP="005760FF">
            <w:pPr>
              <w:pStyle w:val="TableParagraph"/>
              <w:spacing w:line="184" w:lineRule="exact"/>
              <w:ind w:left="388"/>
              <w:jc w:val="left"/>
              <w:rPr>
                <w:rFonts w:ascii="Arial MT"/>
                <w:sz w:val="16"/>
                <w:lang w:val="sq-AL"/>
              </w:rPr>
            </w:pPr>
            <w:r w:rsidRPr="004D53EC">
              <w:rPr>
                <w:sz w:val="16"/>
                <w:lang w:val="sq-AL" w:bidi="sq-AL"/>
              </w:rPr>
              <w:t>2.3 d</w:t>
            </w:r>
          </w:p>
        </w:tc>
      </w:tr>
      <w:tr w:rsidR="0088112C" w:rsidRPr="004D53EC" w14:paraId="0D60A5E1" w14:textId="77777777" w:rsidTr="005760FF">
        <w:trPr>
          <w:trHeight w:val="222"/>
        </w:trPr>
        <w:tc>
          <w:tcPr>
            <w:tcW w:w="6804" w:type="dxa"/>
          </w:tcPr>
          <w:p w14:paraId="58BC7096"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 Ndryshimi vjetor i indeksit të çmimeve të shtëpive që iu ka rënë vlera (2015 = 100)</w:t>
            </w:r>
          </w:p>
        </w:tc>
        <w:tc>
          <w:tcPr>
            <w:tcW w:w="568" w:type="dxa"/>
          </w:tcPr>
          <w:p w14:paraId="50380827" w14:textId="77777777" w:rsidR="0088112C" w:rsidRPr="004D53EC" w:rsidRDefault="0088112C" w:rsidP="005760FF">
            <w:pPr>
              <w:pStyle w:val="TableParagraph"/>
              <w:ind w:left="0"/>
              <w:jc w:val="left"/>
              <w:rPr>
                <w:sz w:val="14"/>
                <w:lang w:val="sq-AL"/>
              </w:rPr>
            </w:pPr>
          </w:p>
        </w:tc>
        <w:tc>
          <w:tcPr>
            <w:tcW w:w="1134" w:type="dxa"/>
          </w:tcPr>
          <w:p w14:paraId="109DB2F6"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0CE74556"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1F5BB00A"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1B7D212A"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2A6DFE35"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58BE08B3"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r>
      <w:tr w:rsidR="0088112C" w:rsidRPr="004D53EC" w14:paraId="54A33A5C" w14:textId="77777777" w:rsidTr="005760FF">
        <w:trPr>
          <w:trHeight w:val="223"/>
        </w:trPr>
        <w:tc>
          <w:tcPr>
            <w:tcW w:w="14176" w:type="dxa"/>
            <w:gridSpan w:val="8"/>
            <w:tcBorders>
              <w:left w:val="nil"/>
              <w:bottom w:val="nil"/>
              <w:right w:val="nil"/>
            </w:tcBorders>
          </w:tcPr>
          <w:p w14:paraId="4FC85CF6" w14:textId="77777777" w:rsidR="0088112C" w:rsidRPr="004D53EC" w:rsidRDefault="0088112C" w:rsidP="005760FF">
            <w:pPr>
              <w:pStyle w:val="TableParagraph"/>
              <w:ind w:left="0"/>
              <w:jc w:val="left"/>
              <w:rPr>
                <w:sz w:val="14"/>
                <w:lang w:val="sq-AL"/>
              </w:rPr>
            </w:pPr>
          </w:p>
        </w:tc>
      </w:tr>
      <w:tr w:rsidR="0088112C" w:rsidRPr="004D53EC" w14:paraId="5F02CC74" w14:textId="77777777" w:rsidTr="005760FF">
        <w:trPr>
          <w:trHeight w:val="222"/>
        </w:trPr>
        <w:tc>
          <w:tcPr>
            <w:tcW w:w="6804" w:type="dxa"/>
            <w:tcBorders>
              <w:top w:val="nil"/>
              <w:left w:val="nil"/>
            </w:tcBorders>
          </w:tcPr>
          <w:p w14:paraId="1502B1F8" w14:textId="77777777" w:rsidR="0088112C" w:rsidRPr="004D53EC" w:rsidRDefault="0088112C" w:rsidP="005760FF">
            <w:pPr>
              <w:pStyle w:val="TableParagraph"/>
              <w:spacing w:line="184" w:lineRule="exact"/>
              <w:ind w:left="115"/>
              <w:jc w:val="left"/>
              <w:rPr>
                <w:rFonts w:ascii="Arial"/>
                <w:b/>
                <w:sz w:val="16"/>
                <w:lang w:val="sq-AL"/>
              </w:rPr>
            </w:pPr>
            <w:r w:rsidRPr="004D53EC">
              <w:rPr>
                <w:b/>
                <w:sz w:val="16"/>
                <w:lang w:val="sq-AL" w:bidi="sq-AL"/>
              </w:rPr>
              <w:t>Bilanci i pagesave</w:t>
            </w:r>
          </w:p>
        </w:tc>
        <w:tc>
          <w:tcPr>
            <w:tcW w:w="568" w:type="dxa"/>
          </w:tcPr>
          <w:p w14:paraId="237222B4" w14:textId="77777777" w:rsidR="0088112C" w:rsidRPr="004D53EC" w:rsidRDefault="0088112C" w:rsidP="005760FF">
            <w:pPr>
              <w:pStyle w:val="TableParagraph"/>
              <w:spacing w:line="184" w:lineRule="exact"/>
              <w:ind w:left="113"/>
              <w:jc w:val="left"/>
              <w:rPr>
                <w:rFonts w:ascii="Arial MT"/>
                <w:sz w:val="16"/>
                <w:lang w:val="sq-AL"/>
              </w:rPr>
            </w:pPr>
            <w:r w:rsidRPr="004D53EC">
              <w:rPr>
                <w:spacing w:val="-4"/>
                <w:sz w:val="16"/>
                <w:lang w:val="sq-AL" w:bidi="sq-AL"/>
              </w:rPr>
              <w:t>Shënime</w:t>
            </w:r>
          </w:p>
        </w:tc>
        <w:tc>
          <w:tcPr>
            <w:tcW w:w="1134" w:type="dxa"/>
          </w:tcPr>
          <w:p w14:paraId="6CAA224A" w14:textId="77777777" w:rsidR="0088112C" w:rsidRPr="004D53EC" w:rsidRDefault="0088112C" w:rsidP="005760FF">
            <w:pPr>
              <w:pStyle w:val="TableParagraph"/>
              <w:spacing w:line="184" w:lineRule="exact"/>
              <w:ind w:right="1"/>
              <w:rPr>
                <w:rFonts w:ascii="Arial MT"/>
                <w:sz w:val="16"/>
                <w:lang w:val="sq-AL"/>
              </w:rPr>
            </w:pPr>
            <w:r w:rsidRPr="004D53EC">
              <w:rPr>
                <w:spacing w:val="-4"/>
                <w:sz w:val="16"/>
                <w:lang w:val="sq-AL" w:bidi="sq-AL"/>
              </w:rPr>
              <w:t>2010</w:t>
            </w:r>
          </w:p>
        </w:tc>
        <w:tc>
          <w:tcPr>
            <w:tcW w:w="1134" w:type="dxa"/>
          </w:tcPr>
          <w:p w14:paraId="55F254FC" w14:textId="77777777" w:rsidR="0088112C" w:rsidRPr="004D53EC" w:rsidRDefault="0088112C" w:rsidP="005760FF">
            <w:pPr>
              <w:pStyle w:val="TableParagraph"/>
              <w:spacing w:line="184" w:lineRule="exact"/>
              <w:ind w:right="1"/>
              <w:rPr>
                <w:rFonts w:ascii="Arial MT"/>
                <w:sz w:val="16"/>
                <w:lang w:val="sq-AL"/>
              </w:rPr>
            </w:pPr>
            <w:r w:rsidRPr="004D53EC">
              <w:rPr>
                <w:spacing w:val="-4"/>
                <w:sz w:val="16"/>
                <w:lang w:val="sq-AL" w:bidi="sq-AL"/>
              </w:rPr>
              <w:t>2017</w:t>
            </w:r>
          </w:p>
        </w:tc>
        <w:tc>
          <w:tcPr>
            <w:tcW w:w="1134" w:type="dxa"/>
          </w:tcPr>
          <w:p w14:paraId="4CB33B29" w14:textId="77777777" w:rsidR="0088112C" w:rsidRPr="004D53EC" w:rsidRDefault="0088112C" w:rsidP="005760FF">
            <w:pPr>
              <w:pStyle w:val="TableParagraph"/>
              <w:spacing w:line="184" w:lineRule="exact"/>
              <w:ind w:right="1"/>
              <w:rPr>
                <w:rFonts w:ascii="Arial MT"/>
                <w:sz w:val="16"/>
                <w:lang w:val="sq-AL"/>
              </w:rPr>
            </w:pPr>
            <w:r w:rsidRPr="004D53EC">
              <w:rPr>
                <w:spacing w:val="-4"/>
                <w:sz w:val="16"/>
                <w:lang w:val="sq-AL" w:bidi="sq-AL"/>
              </w:rPr>
              <w:t>2018</w:t>
            </w:r>
          </w:p>
        </w:tc>
        <w:tc>
          <w:tcPr>
            <w:tcW w:w="1134" w:type="dxa"/>
          </w:tcPr>
          <w:p w14:paraId="12F17827" w14:textId="77777777" w:rsidR="0088112C" w:rsidRPr="004D53EC" w:rsidRDefault="0088112C" w:rsidP="005760FF">
            <w:pPr>
              <w:pStyle w:val="TableParagraph"/>
              <w:spacing w:line="184" w:lineRule="exact"/>
              <w:ind w:right="1"/>
              <w:rPr>
                <w:rFonts w:ascii="Arial MT"/>
                <w:sz w:val="16"/>
                <w:lang w:val="sq-AL"/>
              </w:rPr>
            </w:pPr>
            <w:r w:rsidRPr="004D53EC">
              <w:rPr>
                <w:spacing w:val="-4"/>
                <w:sz w:val="16"/>
                <w:lang w:val="sq-AL" w:bidi="sq-AL"/>
              </w:rPr>
              <w:t>2019</w:t>
            </w:r>
          </w:p>
        </w:tc>
        <w:tc>
          <w:tcPr>
            <w:tcW w:w="1134" w:type="dxa"/>
          </w:tcPr>
          <w:p w14:paraId="549B24FE" w14:textId="77777777" w:rsidR="0088112C" w:rsidRPr="004D53EC" w:rsidRDefault="0088112C" w:rsidP="005760FF">
            <w:pPr>
              <w:pStyle w:val="TableParagraph"/>
              <w:spacing w:line="184" w:lineRule="exact"/>
              <w:ind w:right="1"/>
              <w:rPr>
                <w:rFonts w:ascii="Arial MT"/>
                <w:sz w:val="16"/>
                <w:lang w:val="sq-AL"/>
              </w:rPr>
            </w:pPr>
            <w:r w:rsidRPr="004D53EC">
              <w:rPr>
                <w:spacing w:val="-4"/>
                <w:sz w:val="16"/>
                <w:lang w:val="sq-AL" w:bidi="sq-AL"/>
              </w:rPr>
              <w:t>2020</w:t>
            </w:r>
          </w:p>
        </w:tc>
        <w:tc>
          <w:tcPr>
            <w:tcW w:w="1134" w:type="dxa"/>
          </w:tcPr>
          <w:p w14:paraId="5EE70049" w14:textId="77777777" w:rsidR="0088112C" w:rsidRPr="004D53EC" w:rsidRDefault="0088112C" w:rsidP="005760FF">
            <w:pPr>
              <w:pStyle w:val="TableParagraph"/>
              <w:spacing w:line="184" w:lineRule="exact"/>
              <w:ind w:right="1"/>
              <w:rPr>
                <w:rFonts w:ascii="Arial MT"/>
                <w:sz w:val="16"/>
                <w:lang w:val="sq-AL"/>
              </w:rPr>
            </w:pPr>
            <w:r w:rsidRPr="004D53EC">
              <w:rPr>
                <w:spacing w:val="-4"/>
                <w:sz w:val="16"/>
                <w:lang w:val="sq-AL" w:bidi="sq-AL"/>
              </w:rPr>
              <w:t>2021</w:t>
            </w:r>
          </w:p>
        </w:tc>
      </w:tr>
      <w:tr w:rsidR="0088112C" w:rsidRPr="004D53EC" w14:paraId="19A020E9" w14:textId="77777777" w:rsidTr="005760FF">
        <w:trPr>
          <w:trHeight w:val="222"/>
        </w:trPr>
        <w:tc>
          <w:tcPr>
            <w:tcW w:w="6804" w:type="dxa"/>
          </w:tcPr>
          <w:p w14:paraId="096A797A"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Bilanci i pagesave: totali i llogarisë aktuale (në milion euro)</w:t>
            </w:r>
          </w:p>
        </w:tc>
        <w:tc>
          <w:tcPr>
            <w:tcW w:w="568" w:type="dxa"/>
          </w:tcPr>
          <w:p w14:paraId="54C2F00C" w14:textId="77777777" w:rsidR="0088112C" w:rsidRPr="004D53EC" w:rsidRDefault="0088112C" w:rsidP="005760FF">
            <w:pPr>
              <w:pStyle w:val="TableParagraph"/>
              <w:ind w:left="0"/>
              <w:jc w:val="left"/>
              <w:rPr>
                <w:sz w:val="14"/>
                <w:lang w:val="sq-AL"/>
              </w:rPr>
            </w:pPr>
          </w:p>
        </w:tc>
        <w:tc>
          <w:tcPr>
            <w:tcW w:w="1134" w:type="dxa"/>
          </w:tcPr>
          <w:p w14:paraId="557FD513"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241E1624"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- 870.6</w:t>
            </w:r>
          </w:p>
        </w:tc>
        <w:tc>
          <w:tcPr>
            <w:tcW w:w="1134" w:type="dxa"/>
          </w:tcPr>
          <w:p w14:paraId="31442D8F"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- 865.7</w:t>
            </w:r>
          </w:p>
        </w:tc>
        <w:tc>
          <w:tcPr>
            <w:tcW w:w="1134" w:type="dxa"/>
          </w:tcPr>
          <w:p w14:paraId="1F948F8F"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- 1 089.2</w:t>
            </w:r>
          </w:p>
        </w:tc>
        <w:tc>
          <w:tcPr>
            <w:tcW w:w="1134" w:type="dxa"/>
          </w:tcPr>
          <w:p w14:paraId="215414CD"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- 1 153.3</w:t>
            </w:r>
          </w:p>
        </w:tc>
        <w:tc>
          <w:tcPr>
            <w:tcW w:w="1134" w:type="dxa"/>
          </w:tcPr>
          <w:p w14:paraId="31AECAA0"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- 1 166.2</w:t>
            </w:r>
          </w:p>
        </w:tc>
      </w:tr>
      <w:tr w:rsidR="0088112C" w:rsidRPr="004D53EC" w14:paraId="4C3E936E" w14:textId="77777777" w:rsidTr="005760FF">
        <w:trPr>
          <w:trHeight w:val="223"/>
        </w:trPr>
        <w:tc>
          <w:tcPr>
            <w:tcW w:w="6804" w:type="dxa"/>
          </w:tcPr>
          <w:p w14:paraId="2F1B5ABF"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 xml:space="preserve">Bilanci i pagesave në llogarinë </w:t>
            </w:r>
            <w:proofErr w:type="spellStart"/>
            <w:r w:rsidRPr="004D53EC">
              <w:rPr>
                <w:sz w:val="16"/>
                <w:lang w:val="sq-AL" w:bidi="sq-AL"/>
              </w:rPr>
              <w:t>korente</w:t>
            </w:r>
            <w:proofErr w:type="spellEnd"/>
            <w:r w:rsidRPr="004D53EC">
              <w:rPr>
                <w:sz w:val="16"/>
                <w:lang w:val="sq-AL" w:bidi="sq-AL"/>
              </w:rPr>
              <w:t>: bilanci tregtar (në milion euro)</w:t>
            </w:r>
          </w:p>
        </w:tc>
        <w:tc>
          <w:tcPr>
            <w:tcW w:w="568" w:type="dxa"/>
          </w:tcPr>
          <w:p w14:paraId="47750B88" w14:textId="77777777" w:rsidR="0088112C" w:rsidRPr="004D53EC" w:rsidRDefault="0088112C" w:rsidP="005760FF">
            <w:pPr>
              <w:pStyle w:val="TableParagraph"/>
              <w:ind w:left="0"/>
              <w:jc w:val="left"/>
              <w:rPr>
                <w:sz w:val="14"/>
                <w:lang w:val="sq-AL"/>
              </w:rPr>
            </w:pPr>
          </w:p>
        </w:tc>
        <w:tc>
          <w:tcPr>
            <w:tcW w:w="1134" w:type="dxa"/>
          </w:tcPr>
          <w:p w14:paraId="70483872"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1DAA57AA"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- 2 823.1</w:t>
            </w:r>
          </w:p>
        </w:tc>
        <w:tc>
          <w:tcPr>
            <w:tcW w:w="1134" w:type="dxa"/>
          </w:tcPr>
          <w:p w14:paraId="2AF1DE1D"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- 2 869.7</w:t>
            </w:r>
          </w:p>
        </w:tc>
        <w:tc>
          <w:tcPr>
            <w:tcW w:w="1134" w:type="dxa"/>
          </w:tcPr>
          <w:p w14:paraId="1BE2D1B5"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- 3 144.1</w:t>
            </w:r>
          </w:p>
        </w:tc>
        <w:tc>
          <w:tcPr>
            <w:tcW w:w="1134" w:type="dxa"/>
          </w:tcPr>
          <w:p w14:paraId="6793D80E"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- 2 982.1</w:t>
            </w:r>
          </w:p>
        </w:tc>
        <w:tc>
          <w:tcPr>
            <w:tcW w:w="1134" w:type="dxa"/>
          </w:tcPr>
          <w:p w14:paraId="2DD47FFB"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- 3 828.9</w:t>
            </w:r>
          </w:p>
        </w:tc>
      </w:tr>
      <w:tr w:rsidR="0088112C" w:rsidRPr="004D53EC" w14:paraId="3956CFC5" w14:textId="77777777" w:rsidTr="005760FF">
        <w:trPr>
          <w:trHeight w:val="222"/>
        </w:trPr>
        <w:tc>
          <w:tcPr>
            <w:tcW w:w="6804" w:type="dxa"/>
          </w:tcPr>
          <w:p w14:paraId="17AAB53C"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 xml:space="preserve">Bilanci i pagesave në llogarinë </w:t>
            </w:r>
            <w:proofErr w:type="spellStart"/>
            <w:r w:rsidRPr="004D53EC">
              <w:rPr>
                <w:sz w:val="16"/>
                <w:lang w:val="sq-AL" w:bidi="sq-AL"/>
              </w:rPr>
              <w:t>korente</w:t>
            </w:r>
            <w:proofErr w:type="spellEnd"/>
            <w:r w:rsidRPr="004D53EC">
              <w:rPr>
                <w:sz w:val="16"/>
                <w:lang w:val="sq-AL" w:bidi="sq-AL"/>
              </w:rPr>
              <w:t>: shërbimet neto (në milion euro)</w:t>
            </w:r>
          </w:p>
        </w:tc>
        <w:tc>
          <w:tcPr>
            <w:tcW w:w="568" w:type="dxa"/>
          </w:tcPr>
          <w:p w14:paraId="0AF78336" w14:textId="77777777" w:rsidR="0088112C" w:rsidRPr="004D53EC" w:rsidRDefault="0088112C" w:rsidP="005760FF">
            <w:pPr>
              <w:pStyle w:val="TableParagraph"/>
              <w:ind w:left="0"/>
              <w:jc w:val="left"/>
              <w:rPr>
                <w:sz w:val="14"/>
                <w:lang w:val="sq-AL"/>
              </w:rPr>
            </w:pPr>
          </w:p>
        </w:tc>
        <w:tc>
          <w:tcPr>
            <w:tcW w:w="1134" w:type="dxa"/>
          </w:tcPr>
          <w:p w14:paraId="54715BDF"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1BDE6F21" w14:textId="77777777" w:rsidR="0088112C" w:rsidRPr="004D53EC" w:rsidRDefault="0088112C" w:rsidP="005760FF">
            <w:pPr>
              <w:pStyle w:val="TableParagraph"/>
              <w:spacing w:line="184" w:lineRule="exact"/>
              <w:ind w:right="2"/>
              <w:rPr>
                <w:rFonts w:ascii="Arial MT"/>
                <w:sz w:val="16"/>
                <w:lang w:val="sq-AL"/>
              </w:rPr>
            </w:pPr>
            <w:r w:rsidRPr="004D53EC">
              <w:rPr>
                <w:sz w:val="16"/>
                <w:lang w:val="sq-AL" w:bidi="sq-AL"/>
              </w:rPr>
              <w:t>1 086.8</w:t>
            </w:r>
          </w:p>
        </w:tc>
        <w:tc>
          <w:tcPr>
            <w:tcW w:w="1134" w:type="dxa"/>
          </w:tcPr>
          <w:p w14:paraId="3F59F4CB" w14:textId="77777777" w:rsidR="0088112C" w:rsidRPr="004D53EC" w:rsidRDefault="0088112C" w:rsidP="005760FF">
            <w:pPr>
              <w:pStyle w:val="TableParagraph"/>
              <w:spacing w:line="184" w:lineRule="exact"/>
              <w:ind w:right="2"/>
              <w:rPr>
                <w:rFonts w:ascii="Arial MT"/>
                <w:sz w:val="16"/>
                <w:lang w:val="sq-AL"/>
              </w:rPr>
            </w:pPr>
            <w:r w:rsidRPr="004D53EC">
              <w:rPr>
                <w:sz w:val="16"/>
                <w:lang w:val="sq-AL" w:bidi="sq-AL"/>
              </w:rPr>
              <w:t>1 110.3</w:t>
            </w:r>
          </w:p>
        </w:tc>
        <w:tc>
          <w:tcPr>
            <w:tcW w:w="1134" w:type="dxa"/>
          </w:tcPr>
          <w:p w14:paraId="7910E53C" w14:textId="77777777" w:rsidR="0088112C" w:rsidRPr="004D53EC" w:rsidRDefault="0088112C" w:rsidP="005760FF">
            <w:pPr>
              <w:pStyle w:val="TableParagraph"/>
              <w:spacing w:line="184" w:lineRule="exact"/>
              <w:ind w:right="2"/>
              <w:rPr>
                <w:rFonts w:ascii="Arial MT"/>
                <w:sz w:val="16"/>
                <w:lang w:val="sq-AL"/>
              </w:rPr>
            </w:pPr>
            <w:r w:rsidRPr="004D53EC">
              <w:rPr>
                <w:sz w:val="16"/>
                <w:lang w:val="sq-AL" w:bidi="sq-AL"/>
              </w:rPr>
              <w:t>1 263.8</w:t>
            </w:r>
          </w:p>
        </w:tc>
        <w:tc>
          <w:tcPr>
            <w:tcW w:w="1134" w:type="dxa"/>
          </w:tcPr>
          <w:p w14:paraId="183738AB" w14:textId="77777777" w:rsidR="0088112C" w:rsidRPr="004D53EC" w:rsidRDefault="0088112C" w:rsidP="005760FF">
            <w:pPr>
              <w:pStyle w:val="TableParagraph"/>
              <w:spacing w:line="184" w:lineRule="exact"/>
              <w:ind w:right="2"/>
              <w:rPr>
                <w:rFonts w:ascii="Arial MT"/>
                <w:sz w:val="16"/>
                <w:lang w:val="sq-AL"/>
              </w:rPr>
            </w:pPr>
            <w:r w:rsidRPr="004D53EC">
              <w:rPr>
                <w:sz w:val="16"/>
                <w:lang w:val="sq-AL" w:bidi="sq-AL"/>
              </w:rPr>
              <w:t>1 056.2</w:t>
            </w:r>
          </w:p>
        </w:tc>
        <w:tc>
          <w:tcPr>
            <w:tcW w:w="1134" w:type="dxa"/>
          </w:tcPr>
          <w:p w14:paraId="1985B3FE" w14:textId="77777777" w:rsidR="0088112C" w:rsidRPr="004D53EC" w:rsidRDefault="0088112C" w:rsidP="005760FF">
            <w:pPr>
              <w:pStyle w:val="TableParagraph"/>
              <w:spacing w:line="184" w:lineRule="exact"/>
              <w:ind w:right="2"/>
              <w:rPr>
                <w:rFonts w:ascii="Arial MT"/>
                <w:sz w:val="16"/>
                <w:lang w:val="sq-AL"/>
              </w:rPr>
            </w:pPr>
            <w:r w:rsidRPr="004D53EC">
              <w:rPr>
                <w:sz w:val="16"/>
                <w:lang w:val="sq-AL" w:bidi="sq-AL"/>
              </w:rPr>
              <w:t>1 795.8</w:t>
            </w:r>
          </w:p>
        </w:tc>
      </w:tr>
      <w:tr w:rsidR="0088112C" w:rsidRPr="004D53EC" w14:paraId="1EA7D848" w14:textId="77777777" w:rsidTr="005760FF">
        <w:trPr>
          <w:trHeight w:val="222"/>
        </w:trPr>
        <w:tc>
          <w:tcPr>
            <w:tcW w:w="6804" w:type="dxa"/>
          </w:tcPr>
          <w:p w14:paraId="526D90C2"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 xml:space="preserve">Bilanci i pagesave në llogarinë </w:t>
            </w:r>
            <w:proofErr w:type="spellStart"/>
            <w:r w:rsidRPr="004D53EC">
              <w:rPr>
                <w:sz w:val="16"/>
                <w:lang w:val="sq-AL" w:bidi="sq-AL"/>
              </w:rPr>
              <w:t>korente</w:t>
            </w:r>
            <w:proofErr w:type="spellEnd"/>
            <w:r w:rsidRPr="004D53EC">
              <w:rPr>
                <w:sz w:val="16"/>
                <w:lang w:val="sq-AL" w:bidi="sq-AL"/>
              </w:rPr>
              <w:t>: bilanci neto për të ardhurat primare (në milion euro)</w:t>
            </w:r>
          </w:p>
        </w:tc>
        <w:tc>
          <w:tcPr>
            <w:tcW w:w="568" w:type="dxa"/>
          </w:tcPr>
          <w:p w14:paraId="5057344C" w14:textId="77777777" w:rsidR="0088112C" w:rsidRPr="004D53EC" w:rsidRDefault="0088112C" w:rsidP="005760FF">
            <w:pPr>
              <w:pStyle w:val="TableParagraph"/>
              <w:ind w:left="0"/>
              <w:jc w:val="left"/>
              <w:rPr>
                <w:sz w:val="14"/>
                <w:lang w:val="sq-AL"/>
              </w:rPr>
            </w:pPr>
          </w:p>
        </w:tc>
        <w:tc>
          <w:tcPr>
            <w:tcW w:w="1134" w:type="dxa"/>
          </w:tcPr>
          <w:p w14:paraId="3C7E2EF0"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4FDB732B" w14:textId="77777777" w:rsidR="0088112C" w:rsidRPr="004D53EC" w:rsidRDefault="0088112C" w:rsidP="005760FF">
            <w:pPr>
              <w:pStyle w:val="TableParagraph"/>
              <w:spacing w:before="1"/>
              <w:rPr>
                <w:rFonts w:ascii="Arial MT"/>
                <w:sz w:val="16"/>
                <w:lang w:val="sq-AL"/>
              </w:rPr>
            </w:pPr>
            <w:r w:rsidRPr="004D53EC">
              <w:rPr>
                <w:spacing w:val="-4"/>
                <w:sz w:val="16"/>
                <w:lang w:val="sq-AL" w:bidi="sq-AL"/>
              </w:rPr>
              <w:t>18.3</w:t>
            </w:r>
          </w:p>
        </w:tc>
        <w:tc>
          <w:tcPr>
            <w:tcW w:w="1134" w:type="dxa"/>
          </w:tcPr>
          <w:p w14:paraId="30DE2B7D"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- 13.6</w:t>
            </w:r>
          </w:p>
        </w:tc>
        <w:tc>
          <w:tcPr>
            <w:tcW w:w="1134" w:type="dxa"/>
          </w:tcPr>
          <w:p w14:paraId="56371F58"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- 180.3</w:t>
            </w:r>
          </w:p>
        </w:tc>
        <w:tc>
          <w:tcPr>
            <w:tcW w:w="1134" w:type="dxa"/>
          </w:tcPr>
          <w:p w14:paraId="1BBA5102"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- 227.6</w:t>
            </w:r>
          </w:p>
        </w:tc>
        <w:tc>
          <w:tcPr>
            <w:tcW w:w="1134" w:type="dxa"/>
          </w:tcPr>
          <w:p w14:paraId="55C26BA1"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- 211.0</w:t>
            </w:r>
          </w:p>
        </w:tc>
      </w:tr>
      <w:tr w:rsidR="0088112C" w:rsidRPr="004D53EC" w14:paraId="6954FB67" w14:textId="77777777" w:rsidTr="005760FF">
        <w:trPr>
          <w:trHeight w:val="223"/>
        </w:trPr>
        <w:tc>
          <w:tcPr>
            <w:tcW w:w="6804" w:type="dxa"/>
          </w:tcPr>
          <w:p w14:paraId="2820FF00"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 xml:space="preserve">Bilanci i pagesave në llogarinë </w:t>
            </w:r>
            <w:proofErr w:type="spellStart"/>
            <w:r w:rsidRPr="004D53EC">
              <w:rPr>
                <w:sz w:val="16"/>
                <w:lang w:val="sq-AL" w:bidi="sq-AL"/>
              </w:rPr>
              <w:t>korente</w:t>
            </w:r>
            <w:proofErr w:type="spellEnd"/>
            <w:r w:rsidRPr="004D53EC">
              <w:rPr>
                <w:sz w:val="16"/>
                <w:lang w:val="sq-AL" w:bidi="sq-AL"/>
              </w:rPr>
              <w:t>: bilanci neto për të ardhurat sekondare (në milion euro)</w:t>
            </w:r>
          </w:p>
        </w:tc>
        <w:tc>
          <w:tcPr>
            <w:tcW w:w="568" w:type="dxa"/>
          </w:tcPr>
          <w:p w14:paraId="14E3695C" w14:textId="77777777" w:rsidR="0088112C" w:rsidRPr="004D53EC" w:rsidRDefault="0088112C" w:rsidP="005760FF">
            <w:pPr>
              <w:pStyle w:val="TableParagraph"/>
              <w:ind w:left="0"/>
              <w:jc w:val="left"/>
              <w:rPr>
                <w:sz w:val="14"/>
                <w:lang w:val="sq-AL"/>
              </w:rPr>
            </w:pPr>
          </w:p>
        </w:tc>
        <w:tc>
          <w:tcPr>
            <w:tcW w:w="1134" w:type="dxa"/>
          </w:tcPr>
          <w:p w14:paraId="734DB766"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0781C11D" w14:textId="77777777" w:rsidR="0088112C" w:rsidRPr="004D53EC" w:rsidRDefault="0088112C" w:rsidP="005760FF">
            <w:pPr>
              <w:pStyle w:val="TableParagraph"/>
              <w:spacing w:before="1"/>
              <w:ind w:right="3"/>
              <w:rPr>
                <w:rFonts w:ascii="Arial MT"/>
                <w:sz w:val="16"/>
                <w:lang w:val="sq-AL"/>
              </w:rPr>
            </w:pPr>
            <w:r w:rsidRPr="004D53EC">
              <w:rPr>
                <w:spacing w:val="-2"/>
                <w:sz w:val="16"/>
                <w:lang w:val="sq-AL" w:bidi="sq-AL"/>
              </w:rPr>
              <w:t>847.5</w:t>
            </w:r>
          </w:p>
        </w:tc>
        <w:tc>
          <w:tcPr>
            <w:tcW w:w="1134" w:type="dxa"/>
          </w:tcPr>
          <w:p w14:paraId="17DA2F28" w14:textId="77777777" w:rsidR="0088112C" w:rsidRPr="004D53EC" w:rsidRDefault="0088112C" w:rsidP="005760FF">
            <w:pPr>
              <w:pStyle w:val="TableParagraph"/>
              <w:spacing w:before="1"/>
              <w:ind w:right="3"/>
              <w:rPr>
                <w:rFonts w:ascii="Arial MT"/>
                <w:sz w:val="16"/>
                <w:lang w:val="sq-AL"/>
              </w:rPr>
            </w:pPr>
            <w:r w:rsidRPr="004D53EC">
              <w:rPr>
                <w:spacing w:val="-2"/>
                <w:sz w:val="16"/>
                <w:lang w:val="sq-AL" w:bidi="sq-AL"/>
              </w:rPr>
              <w:t>907.2</w:t>
            </w:r>
          </w:p>
        </w:tc>
        <w:tc>
          <w:tcPr>
            <w:tcW w:w="1134" w:type="dxa"/>
          </w:tcPr>
          <w:p w14:paraId="284FDF29" w14:textId="77777777" w:rsidR="0088112C" w:rsidRPr="004D53EC" w:rsidRDefault="0088112C" w:rsidP="005760FF">
            <w:pPr>
              <w:pStyle w:val="TableParagraph"/>
              <w:spacing w:before="1"/>
              <w:ind w:right="3"/>
              <w:rPr>
                <w:rFonts w:ascii="Arial MT"/>
                <w:sz w:val="16"/>
                <w:lang w:val="sq-AL"/>
              </w:rPr>
            </w:pPr>
            <w:r w:rsidRPr="004D53EC">
              <w:rPr>
                <w:spacing w:val="-2"/>
                <w:sz w:val="16"/>
                <w:lang w:val="sq-AL" w:bidi="sq-AL"/>
              </w:rPr>
              <w:t>971.3</w:t>
            </w:r>
          </w:p>
        </w:tc>
        <w:tc>
          <w:tcPr>
            <w:tcW w:w="1134" w:type="dxa"/>
          </w:tcPr>
          <w:p w14:paraId="1B30E244" w14:textId="77777777" w:rsidR="0088112C" w:rsidRPr="004D53EC" w:rsidRDefault="0088112C" w:rsidP="005760FF">
            <w:pPr>
              <w:pStyle w:val="TableParagraph"/>
              <w:spacing w:before="1"/>
              <w:ind w:right="3"/>
              <w:rPr>
                <w:rFonts w:ascii="Arial MT"/>
                <w:sz w:val="16"/>
                <w:lang w:val="sq-AL"/>
              </w:rPr>
            </w:pPr>
            <w:r w:rsidRPr="004D53EC">
              <w:rPr>
                <w:spacing w:val="-2"/>
                <w:sz w:val="16"/>
                <w:lang w:val="sq-AL" w:bidi="sq-AL"/>
              </w:rPr>
              <w:t>997.1</w:t>
            </w:r>
          </w:p>
        </w:tc>
        <w:tc>
          <w:tcPr>
            <w:tcW w:w="1134" w:type="dxa"/>
          </w:tcPr>
          <w:p w14:paraId="3D651149" w14:textId="77777777" w:rsidR="0088112C" w:rsidRPr="004D53EC" w:rsidRDefault="0088112C" w:rsidP="005760FF">
            <w:pPr>
              <w:pStyle w:val="TableParagraph"/>
              <w:spacing w:before="1"/>
              <w:ind w:right="2"/>
              <w:rPr>
                <w:rFonts w:ascii="Arial MT"/>
                <w:sz w:val="16"/>
                <w:lang w:val="sq-AL"/>
              </w:rPr>
            </w:pPr>
            <w:r w:rsidRPr="004D53EC">
              <w:rPr>
                <w:sz w:val="16"/>
                <w:lang w:val="sq-AL" w:bidi="sq-AL"/>
              </w:rPr>
              <w:t>1 077.9</w:t>
            </w:r>
          </w:p>
        </w:tc>
      </w:tr>
      <w:tr w:rsidR="0088112C" w:rsidRPr="004D53EC" w14:paraId="2E725885" w14:textId="77777777" w:rsidTr="005760FF">
        <w:trPr>
          <w:trHeight w:val="222"/>
        </w:trPr>
        <w:tc>
          <w:tcPr>
            <w:tcW w:w="6804" w:type="dxa"/>
          </w:tcPr>
          <w:p w14:paraId="7C3D8F1B"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 xml:space="preserve">Bilanci neto për të ardhurat primare dhe sekondare: nga të cilat </w:t>
            </w:r>
            <w:proofErr w:type="spellStart"/>
            <w:r w:rsidRPr="004D53EC">
              <w:rPr>
                <w:sz w:val="16"/>
                <w:lang w:val="sq-AL" w:bidi="sq-AL"/>
              </w:rPr>
              <w:t>transferta</w:t>
            </w:r>
            <w:proofErr w:type="spellEnd"/>
            <w:r w:rsidRPr="004D53EC">
              <w:rPr>
                <w:sz w:val="16"/>
                <w:lang w:val="sq-AL" w:bidi="sq-AL"/>
              </w:rPr>
              <w:t xml:space="preserve"> qeveritare (në milion euro)</w:t>
            </w:r>
          </w:p>
        </w:tc>
        <w:tc>
          <w:tcPr>
            <w:tcW w:w="568" w:type="dxa"/>
          </w:tcPr>
          <w:p w14:paraId="60A80634" w14:textId="77777777" w:rsidR="0088112C" w:rsidRPr="004D53EC" w:rsidRDefault="0088112C" w:rsidP="005760FF">
            <w:pPr>
              <w:pStyle w:val="TableParagraph"/>
              <w:ind w:left="0"/>
              <w:jc w:val="left"/>
              <w:rPr>
                <w:sz w:val="14"/>
                <w:lang w:val="sq-AL"/>
              </w:rPr>
            </w:pPr>
          </w:p>
        </w:tc>
        <w:tc>
          <w:tcPr>
            <w:tcW w:w="1134" w:type="dxa"/>
          </w:tcPr>
          <w:p w14:paraId="2902DB6C"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6DA8929A"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69.6</w:t>
            </w:r>
          </w:p>
        </w:tc>
        <w:tc>
          <w:tcPr>
            <w:tcW w:w="1134" w:type="dxa"/>
          </w:tcPr>
          <w:p w14:paraId="770D0C03"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67.1</w:t>
            </w:r>
          </w:p>
        </w:tc>
        <w:tc>
          <w:tcPr>
            <w:tcW w:w="1134" w:type="dxa"/>
          </w:tcPr>
          <w:p w14:paraId="4A92C8D9"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67.1</w:t>
            </w:r>
          </w:p>
        </w:tc>
        <w:tc>
          <w:tcPr>
            <w:tcW w:w="1134" w:type="dxa"/>
          </w:tcPr>
          <w:p w14:paraId="7C300D1D"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58.2</w:t>
            </w:r>
          </w:p>
        </w:tc>
        <w:tc>
          <w:tcPr>
            <w:tcW w:w="1134" w:type="dxa"/>
          </w:tcPr>
          <w:p w14:paraId="5A73FB08"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48.6</w:t>
            </w:r>
          </w:p>
        </w:tc>
      </w:tr>
      <w:tr w:rsidR="0088112C" w:rsidRPr="004D53EC" w14:paraId="5B9B5FA6" w14:textId="77777777" w:rsidTr="005760FF">
        <w:trPr>
          <w:trHeight w:val="222"/>
        </w:trPr>
        <w:tc>
          <w:tcPr>
            <w:tcW w:w="6804" w:type="dxa"/>
          </w:tcPr>
          <w:p w14:paraId="73BAAE65"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 xml:space="preserve">* Mesatarja e prapambetur 3-vjeçare e bilancit të llogarisë </w:t>
            </w:r>
            <w:proofErr w:type="spellStart"/>
            <w:r w:rsidRPr="004D53EC">
              <w:rPr>
                <w:sz w:val="16"/>
                <w:lang w:val="sq-AL" w:bidi="sq-AL"/>
              </w:rPr>
              <w:t>korente</w:t>
            </w:r>
            <w:proofErr w:type="spellEnd"/>
            <w:r w:rsidRPr="004D53EC">
              <w:rPr>
                <w:sz w:val="16"/>
                <w:lang w:val="sq-AL" w:bidi="sq-AL"/>
              </w:rPr>
              <w:t xml:space="preserve"> në raport me PBB-në (%)</w:t>
            </w:r>
          </w:p>
        </w:tc>
        <w:tc>
          <w:tcPr>
            <w:tcW w:w="568" w:type="dxa"/>
          </w:tcPr>
          <w:p w14:paraId="5BC14EDA" w14:textId="77777777" w:rsidR="0088112C" w:rsidRPr="004D53EC" w:rsidRDefault="0088112C" w:rsidP="005760FF">
            <w:pPr>
              <w:pStyle w:val="TableParagraph"/>
              <w:ind w:left="0"/>
              <w:jc w:val="left"/>
              <w:rPr>
                <w:sz w:val="14"/>
                <w:lang w:val="sq-AL"/>
              </w:rPr>
            </w:pPr>
          </w:p>
        </w:tc>
        <w:tc>
          <w:tcPr>
            <w:tcW w:w="1134" w:type="dxa"/>
          </w:tcPr>
          <w:p w14:paraId="21FAEC45"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3246DC33"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- 7.9</w:t>
            </w:r>
          </w:p>
        </w:tc>
        <w:tc>
          <w:tcPr>
            <w:tcW w:w="1134" w:type="dxa"/>
          </w:tcPr>
          <w:p w14:paraId="637A4ECA"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- 7.3</w:t>
            </w:r>
          </w:p>
        </w:tc>
        <w:tc>
          <w:tcPr>
            <w:tcW w:w="1134" w:type="dxa"/>
          </w:tcPr>
          <w:p w14:paraId="662D9969"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- 7.4</w:t>
            </w:r>
          </w:p>
        </w:tc>
        <w:tc>
          <w:tcPr>
            <w:tcW w:w="1134" w:type="dxa"/>
          </w:tcPr>
          <w:p w14:paraId="7E633EE9"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- 7.8</w:t>
            </w:r>
          </w:p>
        </w:tc>
        <w:tc>
          <w:tcPr>
            <w:tcW w:w="1134" w:type="dxa"/>
          </w:tcPr>
          <w:p w14:paraId="407174D1"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- 8.1</w:t>
            </w:r>
          </w:p>
        </w:tc>
      </w:tr>
      <w:tr w:rsidR="0088112C" w:rsidRPr="004D53EC" w14:paraId="31D6BC52" w14:textId="77777777" w:rsidTr="005760FF">
        <w:trPr>
          <w:trHeight w:val="223"/>
        </w:trPr>
        <w:tc>
          <w:tcPr>
            <w:tcW w:w="6804" w:type="dxa"/>
          </w:tcPr>
          <w:p w14:paraId="72B14875"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 Ndryshimi 5-vjeçar në përqindjen e eksporteve botërore të mallrave dhe shërbimeve (%)</w:t>
            </w:r>
          </w:p>
        </w:tc>
        <w:tc>
          <w:tcPr>
            <w:tcW w:w="568" w:type="dxa"/>
          </w:tcPr>
          <w:p w14:paraId="16359297" w14:textId="77777777" w:rsidR="0088112C" w:rsidRPr="004D53EC" w:rsidRDefault="0088112C" w:rsidP="005760FF">
            <w:pPr>
              <w:pStyle w:val="TableParagraph"/>
              <w:ind w:left="0"/>
              <w:jc w:val="left"/>
              <w:rPr>
                <w:sz w:val="14"/>
                <w:lang w:val="sq-AL"/>
              </w:rPr>
            </w:pPr>
          </w:p>
        </w:tc>
        <w:tc>
          <w:tcPr>
            <w:tcW w:w="1134" w:type="dxa"/>
          </w:tcPr>
          <w:p w14:paraId="2045557E"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1EED83D0"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18E68F84"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601C8355"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40E73F8D" w14:textId="77777777" w:rsidR="0088112C" w:rsidRPr="004D53EC" w:rsidRDefault="0088112C" w:rsidP="005760FF">
            <w:pPr>
              <w:pStyle w:val="TableParagraph"/>
              <w:spacing w:before="1"/>
              <w:rPr>
                <w:rFonts w:ascii="Arial MT"/>
                <w:sz w:val="16"/>
                <w:lang w:val="sq-AL"/>
              </w:rPr>
            </w:pPr>
            <w:r w:rsidRPr="004D53EC">
              <w:rPr>
                <w:spacing w:val="-5"/>
                <w:sz w:val="16"/>
                <w:lang w:val="sq-AL" w:bidi="sq-AL"/>
              </w:rPr>
              <w:t>5.3</w:t>
            </w:r>
          </w:p>
        </w:tc>
        <w:tc>
          <w:tcPr>
            <w:tcW w:w="1134" w:type="dxa"/>
          </w:tcPr>
          <w:p w14:paraId="027DDEBD" w14:textId="77777777" w:rsidR="0088112C" w:rsidRPr="004D53EC" w:rsidRDefault="0088112C" w:rsidP="005760FF">
            <w:pPr>
              <w:pStyle w:val="TableParagraph"/>
              <w:spacing w:before="1"/>
              <w:rPr>
                <w:rFonts w:ascii="Arial MT"/>
                <w:sz w:val="16"/>
                <w:lang w:val="sq-AL"/>
              </w:rPr>
            </w:pPr>
            <w:r w:rsidRPr="004D53EC">
              <w:rPr>
                <w:spacing w:val="-4"/>
                <w:sz w:val="16"/>
                <w:lang w:val="sq-AL" w:bidi="sq-AL"/>
              </w:rPr>
              <w:t>21.7</w:t>
            </w:r>
          </w:p>
        </w:tc>
      </w:tr>
      <w:tr w:rsidR="0088112C" w:rsidRPr="004D53EC" w14:paraId="0A270FDA" w14:textId="77777777" w:rsidTr="005760FF">
        <w:trPr>
          <w:trHeight w:val="222"/>
        </w:trPr>
        <w:tc>
          <w:tcPr>
            <w:tcW w:w="6804" w:type="dxa"/>
          </w:tcPr>
          <w:p w14:paraId="16037075"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 xml:space="preserve">Bilanci neto (nga brenda - nga jashtë) i investimeve të huaja </w:t>
            </w:r>
            <w:proofErr w:type="spellStart"/>
            <w:r w:rsidRPr="004D53EC">
              <w:rPr>
                <w:sz w:val="16"/>
                <w:lang w:val="sq-AL" w:bidi="sq-AL"/>
              </w:rPr>
              <w:t>direkte</w:t>
            </w:r>
            <w:proofErr w:type="spellEnd"/>
            <w:r w:rsidRPr="004D53EC">
              <w:rPr>
                <w:sz w:val="16"/>
                <w:lang w:val="sq-AL" w:bidi="sq-AL"/>
              </w:rPr>
              <w:t xml:space="preserve"> (IHD) (në milion euro)</w:t>
            </w:r>
          </w:p>
        </w:tc>
        <w:tc>
          <w:tcPr>
            <w:tcW w:w="568" w:type="dxa"/>
          </w:tcPr>
          <w:p w14:paraId="1CFDFABE" w14:textId="77777777" w:rsidR="0088112C" w:rsidRPr="004D53EC" w:rsidRDefault="0088112C" w:rsidP="005760FF">
            <w:pPr>
              <w:pStyle w:val="TableParagraph"/>
              <w:ind w:left="0"/>
              <w:jc w:val="left"/>
              <w:rPr>
                <w:sz w:val="14"/>
                <w:lang w:val="sq-AL"/>
              </w:rPr>
            </w:pPr>
          </w:p>
        </w:tc>
        <w:tc>
          <w:tcPr>
            <w:tcW w:w="1134" w:type="dxa"/>
          </w:tcPr>
          <w:p w14:paraId="56891461" w14:textId="77777777" w:rsidR="0088112C" w:rsidRPr="004D53EC" w:rsidRDefault="0088112C" w:rsidP="005760FF">
            <w:pPr>
              <w:pStyle w:val="TableParagraph"/>
              <w:spacing w:line="184" w:lineRule="exact"/>
              <w:ind w:left="286"/>
              <w:jc w:val="left"/>
              <w:rPr>
                <w:rFonts w:ascii="Arial MT"/>
                <w:sz w:val="16"/>
                <w:lang w:val="sq-AL"/>
              </w:rPr>
            </w:pPr>
            <w:r w:rsidRPr="004D53EC">
              <w:rPr>
                <w:sz w:val="16"/>
                <w:lang w:val="sq-AL" w:bidi="sq-AL"/>
              </w:rPr>
              <w:t>788.5 w</w:t>
            </w:r>
          </w:p>
        </w:tc>
        <w:tc>
          <w:tcPr>
            <w:tcW w:w="1134" w:type="dxa"/>
          </w:tcPr>
          <w:p w14:paraId="63DFA068" w14:textId="77777777" w:rsidR="0088112C" w:rsidRPr="004D53EC" w:rsidRDefault="0088112C" w:rsidP="005760FF">
            <w:pPr>
              <w:pStyle w:val="TableParagraph"/>
              <w:spacing w:line="184" w:lineRule="exact"/>
              <w:ind w:left="304"/>
              <w:jc w:val="left"/>
              <w:rPr>
                <w:rFonts w:ascii="Arial MT"/>
                <w:sz w:val="16"/>
                <w:lang w:val="sq-AL"/>
              </w:rPr>
            </w:pPr>
            <w:r w:rsidRPr="004D53EC">
              <w:rPr>
                <w:sz w:val="16"/>
                <w:lang w:val="sq-AL" w:bidi="sq-AL"/>
              </w:rPr>
              <w:t>992.4 s</w:t>
            </w:r>
          </w:p>
        </w:tc>
        <w:tc>
          <w:tcPr>
            <w:tcW w:w="1134" w:type="dxa"/>
          </w:tcPr>
          <w:p w14:paraId="1519A773" w14:textId="77777777" w:rsidR="0088112C" w:rsidRPr="004D53EC" w:rsidRDefault="0088112C" w:rsidP="005760FF">
            <w:pPr>
              <w:pStyle w:val="TableParagraph"/>
              <w:spacing w:line="184" w:lineRule="exact"/>
              <w:ind w:right="2"/>
              <w:rPr>
                <w:rFonts w:ascii="Arial MT"/>
                <w:sz w:val="16"/>
                <w:lang w:val="sq-AL"/>
              </w:rPr>
            </w:pPr>
            <w:r w:rsidRPr="004D53EC">
              <w:rPr>
                <w:sz w:val="16"/>
                <w:lang w:val="sq-AL" w:bidi="sq-AL"/>
              </w:rPr>
              <w:t>1 023.6 s</w:t>
            </w:r>
          </w:p>
        </w:tc>
        <w:tc>
          <w:tcPr>
            <w:tcW w:w="1134" w:type="dxa"/>
          </w:tcPr>
          <w:p w14:paraId="1439AF50" w14:textId="77777777" w:rsidR="0088112C" w:rsidRPr="004D53EC" w:rsidRDefault="0088112C" w:rsidP="005760FF">
            <w:pPr>
              <w:pStyle w:val="TableParagraph"/>
              <w:spacing w:line="184" w:lineRule="exact"/>
              <w:ind w:right="2"/>
              <w:rPr>
                <w:rFonts w:ascii="Arial MT"/>
                <w:sz w:val="16"/>
                <w:lang w:val="sq-AL"/>
              </w:rPr>
            </w:pPr>
            <w:r w:rsidRPr="004D53EC">
              <w:rPr>
                <w:sz w:val="16"/>
                <w:lang w:val="sq-AL" w:bidi="sq-AL"/>
              </w:rPr>
              <w:t>1 037.1 s</w:t>
            </w:r>
          </w:p>
        </w:tc>
        <w:tc>
          <w:tcPr>
            <w:tcW w:w="1134" w:type="dxa"/>
          </w:tcPr>
          <w:p w14:paraId="04073CF3" w14:textId="77777777" w:rsidR="0088112C" w:rsidRPr="004D53EC" w:rsidRDefault="0088112C" w:rsidP="005760FF">
            <w:pPr>
              <w:pStyle w:val="TableParagraph"/>
              <w:spacing w:line="184" w:lineRule="exact"/>
              <w:ind w:left="304"/>
              <w:jc w:val="left"/>
              <w:rPr>
                <w:rFonts w:ascii="Arial MT"/>
                <w:sz w:val="16"/>
                <w:lang w:val="sq-AL"/>
              </w:rPr>
            </w:pPr>
            <w:r w:rsidRPr="004D53EC">
              <w:rPr>
                <w:sz w:val="16"/>
                <w:lang w:val="sq-AL" w:bidi="sq-AL"/>
              </w:rPr>
              <w:t>893.6 s</w:t>
            </w:r>
          </w:p>
        </w:tc>
        <w:tc>
          <w:tcPr>
            <w:tcW w:w="1134" w:type="dxa"/>
          </w:tcPr>
          <w:p w14:paraId="24B9E230" w14:textId="77777777" w:rsidR="0088112C" w:rsidRPr="004D53EC" w:rsidRDefault="0088112C" w:rsidP="005760FF">
            <w:pPr>
              <w:pStyle w:val="TableParagraph"/>
              <w:spacing w:line="184" w:lineRule="exact"/>
              <w:ind w:left="304"/>
              <w:jc w:val="left"/>
              <w:rPr>
                <w:rFonts w:ascii="Arial MT"/>
                <w:sz w:val="16"/>
                <w:lang w:val="sq-AL"/>
              </w:rPr>
            </w:pPr>
            <w:r w:rsidRPr="004D53EC">
              <w:rPr>
                <w:sz w:val="16"/>
                <w:lang w:val="sq-AL" w:bidi="sq-AL"/>
              </w:rPr>
              <w:t>988.8 s</w:t>
            </w:r>
          </w:p>
        </w:tc>
      </w:tr>
      <w:tr w:rsidR="0088112C" w:rsidRPr="004D53EC" w14:paraId="36BD17BF" w14:textId="77777777" w:rsidTr="005760FF">
        <w:trPr>
          <w:trHeight w:val="222"/>
        </w:trPr>
        <w:tc>
          <w:tcPr>
            <w:tcW w:w="6804" w:type="dxa"/>
          </w:tcPr>
          <w:p w14:paraId="1797CB74"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 xml:space="preserve">Investimet e huaja </w:t>
            </w:r>
            <w:proofErr w:type="spellStart"/>
            <w:r w:rsidRPr="004D53EC">
              <w:rPr>
                <w:sz w:val="16"/>
                <w:lang w:val="sq-AL" w:bidi="sq-AL"/>
              </w:rPr>
              <w:t>direkte</w:t>
            </w:r>
            <w:proofErr w:type="spellEnd"/>
            <w:r w:rsidRPr="004D53EC">
              <w:rPr>
                <w:sz w:val="16"/>
                <w:lang w:val="sq-AL" w:bidi="sq-AL"/>
              </w:rPr>
              <w:t xml:space="preserve"> (IHD) jashtë vendit (në milion euro)</w:t>
            </w:r>
          </w:p>
        </w:tc>
        <w:tc>
          <w:tcPr>
            <w:tcW w:w="568" w:type="dxa"/>
          </w:tcPr>
          <w:p w14:paraId="3564EFE4" w14:textId="77777777" w:rsidR="0088112C" w:rsidRPr="004D53EC" w:rsidRDefault="0088112C" w:rsidP="005760FF">
            <w:pPr>
              <w:pStyle w:val="TableParagraph"/>
              <w:ind w:left="0"/>
              <w:jc w:val="left"/>
              <w:rPr>
                <w:sz w:val="14"/>
                <w:lang w:val="sq-AL"/>
              </w:rPr>
            </w:pPr>
          </w:p>
        </w:tc>
        <w:tc>
          <w:tcPr>
            <w:tcW w:w="1134" w:type="dxa"/>
          </w:tcPr>
          <w:p w14:paraId="7C53D3FE" w14:textId="77777777" w:rsidR="0088112C" w:rsidRPr="004D53EC" w:rsidRDefault="0088112C" w:rsidP="005760FF">
            <w:pPr>
              <w:pStyle w:val="TableParagraph"/>
              <w:spacing w:before="1"/>
              <w:ind w:left="374"/>
              <w:jc w:val="left"/>
              <w:rPr>
                <w:rFonts w:ascii="Arial MT"/>
                <w:sz w:val="16"/>
                <w:lang w:val="sq-AL"/>
              </w:rPr>
            </w:pPr>
            <w:r w:rsidRPr="004D53EC">
              <w:rPr>
                <w:sz w:val="16"/>
                <w:lang w:val="sq-AL" w:bidi="sq-AL"/>
              </w:rPr>
              <w:t>4.8 w</w:t>
            </w:r>
          </w:p>
        </w:tc>
        <w:tc>
          <w:tcPr>
            <w:tcW w:w="1134" w:type="dxa"/>
          </w:tcPr>
          <w:p w14:paraId="36F8B321" w14:textId="77777777" w:rsidR="0088112C" w:rsidRPr="004D53EC" w:rsidRDefault="0088112C" w:rsidP="005760FF">
            <w:pPr>
              <w:pStyle w:val="TableParagraph"/>
              <w:spacing w:before="1"/>
              <w:rPr>
                <w:rFonts w:ascii="Arial MT"/>
                <w:sz w:val="16"/>
                <w:lang w:val="sq-AL"/>
              </w:rPr>
            </w:pPr>
            <w:r w:rsidRPr="004D53EC">
              <w:rPr>
                <w:spacing w:val="-4"/>
                <w:sz w:val="16"/>
                <w:lang w:val="sq-AL" w:bidi="sq-AL"/>
              </w:rPr>
              <w:t>135</w:t>
            </w:r>
          </w:p>
        </w:tc>
        <w:tc>
          <w:tcPr>
            <w:tcW w:w="1134" w:type="dxa"/>
          </w:tcPr>
          <w:p w14:paraId="7DFCDC91" w14:textId="77777777" w:rsidR="0088112C" w:rsidRPr="004D53EC" w:rsidRDefault="0088112C" w:rsidP="005760FF">
            <w:pPr>
              <w:pStyle w:val="TableParagraph"/>
              <w:spacing w:before="1"/>
              <w:rPr>
                <w:rFonts w:ascii="Arial MT"/>
                <w:sz w:val="16"/>
                <w:lang w:val="sq-AL"/>
              </w:rPr>
            </w:pPr>
            <w:r w:rsidRPr="004D53EC">
              <w:rPr>
                <w:spacing w:val="-4"/>
                <w:sz w:val="16"/>
                <w:lang w:val="sq-AL" w:bidi="sq-AL"/>
              </w:rPr>
              <w:t>69.1</w:t>
            </w:r>
          </w:p>
        </w:tc>
        <w:tc>
          <w:tcPr>
            <w:tcW w:w="1134" w:type="dxa"/>
          </w:tcPr>
          <w:p w14:paraId="68A68FDF" w14:textId="77777777" w:rsidR="0088112C" w:rsidRPr="004D53EC" w:rsidRDefault="0088112C" w:rsidP="005760FF">
            <w:pPr>
              <w:pStyle w:val="TableParagraph"/>
              <w:spacing w:before="1"/>
              <w:ind w:right="3"/>
              <w:rPr>
                <w:rFonts w:ascii="Arial MT"/>
                <w:sz w:val="16"/>
                <w:lang w:val="sq-AL"/>
              </w:rPr>
            </w:pPr>
            <w:r w:rsidRPr="004D53EC">
              <w:rPr>
                <w:spacing w:val="-2"/>
                <w:sz w:val="16"/>
                <w:lang w:val="sq-AL" w:bidi="sq-AL"/>
              </w:rPr>
              <w:t>114.2</w:t>
            </w:r>
          </w:p>
        </w:tc>
        <w:tc>
          <w:tcPr>
            <w:tcW w:w="1134" w:type="dxa"/>
          </w:tcPr>
          <w:p w14:paraId="58EA5F1D" w14:textId="77777777" w:rsidR="0088112C" w:rsidRPr="004D53EC" w:rsidRDefault="0088112C" w:rsidP="005760FF">
            <w:pPr>
              <w:pStyle w:val="TableParagraph"/>
              <w:spacing w:before="1"/>
              <w:rPr>
                <w:rFonts w:ascii="Arial MT"/>
                <w:sz w:val="16"/>
                <w:lang w:val="sq-AL"/>
              </w:rPr>
            </w:pPr>
            <w:r w:rsidRPr="004D53EC">
              <w:rPr>
                <w:spacing w:val="-4"/>
                <w:sz w:val="16"/>
                <w:lang w:val="sq-AL" w:bidi="sq-AL"/>
              </w:rPr>
              <w:t>76.4</w:t>
            </w:r>
          </w:p>
        </w:tc>
        <w:tc>
          <w:tcPr>
            <w:tcW w:w="1134" w:type="dxa"/>
          </w:tcPr>
          <w:p w14:paraId="324FB41A" w14:textId="77777777" w:rsidR="0088112C" w:rsidRPr="004D53EC" w:rsidRDefault="0088112C" w:rsidP="005760FF">
            <w:pPr>
              <w:pStyle w:val="TableParagraph"/>
              <w:spacing w:before="1"/>
              <w:rPr>
                <w:rFonts w:ascii="Arial MT"/>
                <w:sz w:val="16"/>
                <w:lang w:val="sq-AL"/>
              </w:rPr>
            </w:pPr>
            <w:r w:rsidRPr="004D53EC">
              <w:rPr>
                <w:spacing w:val="-4"/>
                <w:sz w:val="16"/>
                <w:lang w:val="sq-AL" w:bidi="sq-AL"/>
              </w:rPr>
              <w:t>53.3</w:t>
            </w:r>
          </w:p>
        </w:tc>
      </w:tr>
      <w:tr w:rsidR="0088112C" w:rsidRPr="004D53EC" w14:paraId="5F15E61B" w14:textId="77777777" w:rsidTr="005760FF">
        <w:trPr>
          <w:trHeight w:val="223"/>
        </w:trPr>
        <w:tc>
          <w:tcPr>
            <w:tcW w:w="6804" w:type="dxa"/>
          </w:tcPr>
          <w:p w14:paraId="0F44CD1C"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prej të cilave IHD-të e ekonomisë raportuese në vendet e BE-27 (në milion euro)</w:t>
            </w:r>
          </w:p>
        </w:tc>
        <w:tc>
          <w:tcPr>
            <w:tcW w:w="568" w:type="dxa"/>
          </w:tcPr>
          <w:p w14:paraId="5D7D7307" w14:textId="77777777" w:rsidR="0088112C" w:rsidRPr="004D53EC" w:rsidRDefault="0088112C" w:rsidP="005760FF">
            <w:pPr>
              <w:pStyle w:val="TableParagraph"/>
              <w:ind w:left="0"/>
              <w:jc w:val="left"/>
              <w:rPr>
                <w:sz w:val="14"/>
                <w:lang w:val="sq-AL"/>
              </w:rPr>
            </w:pPr>
          </w:p>
        </w:tc>
        <w:tc>
          <w:tcPr>
            <w:tcW w:w="1134" w:type="dxa"/>
          </w:tcPr>
          <w:p w14:paraId="30B2B4CD"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52CEED78" w14:textId="77777777" w:rsidR="0088112C" w:rsidRPr="004D53EC" w:rsidRDefault="0088112C" w:rsidP="005760FF">
            <w:pPr>
              <w:pStyle w:val="TableParagraph"/>
              <w:spacing w:before="1"/>
              <w:ind w:left="330"/>
              <w:jc w:val="left"/>
              <w:rPr>
                <w:rFonts w:ascii="Arial MT"/>
                <w:sz w:val="16"/>
                <w:lang w:val="sq-AL"/>
              </w:rPr>
            </w:pPr>
            <w:r w:rsidRPr="004D53EC">
              <w:rPr>
                <w:sz w:val="16"/>
                <w:lang w:val="sq-AL" w:bidi="sq-AL"/>
              </w:rPr>
              <w:t>14.6 w</w:t>
            </w:r>
          </w:p>
        </w:tc>
        <w:tc>
          <w:tcPr>
            <w:tcW w:w="1134" w:type="dxa"/>
          </w:tcPr>
          <w:p w14:paraId="6778FBFE" w14:textId="77777777" w:rsidR="0088112C" w:rsidRPr="004D53EC" w:rsidRDefault="0088112C" w:rsidP="005760FF">
            <w:pPr>
              <w:pStyle w:val="TableParagraph"/>
              <w:spacing w:before="1"/>
              <w:ind w:left="330"/>
              <w:jc w:val="left"/>
              <w:rPr>
                <w:rFonts w:ascii="Arial MT"/>
                <w:sz w:val="16"/>
                <w:lang w:val="sq-AL"/>
              </w:rPr>
            </w:pPr>
            <w:r w:rsidRPr="004D53EC">
              <w:rPr>
                <w:sz w:val="16"/>
                <w:lang w:val="sq-AL" w:bidi="sq-AL"/>
              </w:rPr>
              <w:t>32.4 w</w:t>
            </w:r>
          </w:p>
        </w:tc>
        <w:tc>
          <w:tcPr>
            <w:tcW w:w="1134" w:type="dxa"/>
          </w:tcPr>
          <w:p w14:paraId="27683297" w14:textId="77777777" w:rsidR="0088112C" w:rsidRPr="004D53EC" w:rsidRDefault="0088112C" w:rsidP="005760FF">
            <w:pPr>
              <w:pStyle w:val="TableParagraph"/>
              <w:spacing w:before="1"/>
              <w:rPr>
                <w:rFonts w:ascii="Arial MT"/>
                <w:sz w:val="16"/>
                <w:lang w:val="sq-AL"/>
              </w:rPr>
            </w:pPr>
            <w:r w:rsidRPr="004D53EC">
              <w:rPr>
                <w:spacing w:val="-4"/>
                <w:sz w:val="16"/>
                <w:lang w:val="sq-AL" w:bidi="sq-AL"/>
              </w:rPr>
              <w:t>39.1</w:t>
            </w:r>
          </w:p>
        </w:tc>
        <w:tc>
          <w:tcPr>
            <w:tcW w:w="1134" w:type="dxa"/>
          </w:tcPr>
          <w:p w14:paraId="6369933C" w14:textId="77777777" w:rsidR="0088112C" w:rsidRPr="004D53EC" w:rsidRDefault="0088112C" w:rsidP="005760FF">
            <w:pPr>
              <w:pStyle w:val="TableParagraph"/>
              <w:spacing w:before="1"/>
              <w:rPr>
                <w:rFonts w:ascii="Arial MT"/>
                <w:sz w:val="16"/>
                <w:lang w:val="sq-AL"/>
              </w:rPr>
            </w:pPr>
            <w:r w:rsidRPr="004D53EC">
              <w:rPr>
                <w:spacing w:val="-4"/>
                <w:sz w:val="16"/>
                <w:lang w:val="sq-AL" w:bidi="sq-AL"/>
              </w:rPr>
              <w:t>28.5</w:t>
            </w:r>
          </w:p>
        </w:tc>
        <w:tc>
          <w:tcPr>
            <w:tcW w:w="1134" w:type="dxa"/>
          </w:tcPr>
          <w:p w14:paraId="64425078" w14:textId="77777777" w:rsidR="0088112C" w:rsidRPr="004D53EC" w:rsidRDefault="0088112C" w:rsidP="005760FF">
            <w:pPr>
              <w:pStyle w:val="TableParagraph"/>
              <w:spacing w:before="1"/>
              <w:rPr>
                <w:rFonts w:ascii="Arial MT"/>
                <w:sz w:val="16"/>
                <w:lang w:val="sq-AL"/>
              </w:rPr>
            </w:pPr>
            <w:r w:rsidRPr="004D53EC">
              <w:rPr>
                <w:spacing w:val="-4"/>
                <w:sz w:val="16"/>
                <w:lang w:val="sq-AL" w:bidi="sq-AL"/>
              </w:rPr>
              <w:t>27.3</w:t>
            </w:r>
          </w:p>
        </w:tc>
      </w:tr>
      <w:tr w:rsidR="0088112C" w:rsidRPr="004D53EC" w14:paraId="04C87428" w14:textId="77777777" w:rsidTr="005760FF">
        <w:trPr>
          <w:trHeight w:val="222"/>
        </w:trPr>
        <w:tc>
          <w:tcPr>
            <w:tcW w:w="6804" w:type="dxa"/>
          </w:tcPr>
          <w:p w14:paraId="662983D5"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 xml:space="preserve">Investimet e huaja </w:t>
            </w:r>
            <w:proofErr w:type="spellStart"/>
            <w:r w:rsidRPr="004D53EC">
              <w:rPr>
                <w:sz w:val="16"/>
                <w:lang w:val="sq-AL" w:bidi="sq-AL"/>
              </w:rPr>
              <w:t>direkte</w:t>
            </w:r>
            <w:proofErr w:type="spellEnd"/>
            <w:r w:rsidRPr="004D53EC">
              <w:rPr>
                <w:sz w:val="16"/>
                <w:lang w:val="sq-AL" w:bidi="sq-AL"/>
              </w:rPr>
              <w:t xml:space="preserve"> (IHD) në ekonominë raportuese (në milion euro)</w:t>
            </w:r>
          </w:p>
        </w:tc>
        <w:tc>
          <w:tcPr>
            <w:tcW w:w="568" w:type="dxa"/>
          </w:tcPr>
          <w:p w14:paraId="61B35D0A" w14:textId="77777777" w:rsidR="0088112C" w:rsidRPr="004D53EC" w:rsidRDefault="0088112C" w:rsidP="005760FF">
            <w:pPr>
              <w:pStyle w:val="TableParagraph"/>
              <w:ind w:left="0"/>
              <w:jc w:val="left"/>
              <w:rPr>
                <w:sz w:val="14"/>
                <w:lang w:val="sq-AL"/>
              </w:rPr>
            </w:pPr>
          </w:p>
        </w:tc>
        <w:tc>
          <w:tcPr>
            <w:tcW w:w="1134" w:type="dxa"/>
          </w:tcPr>
          <w:p w14:paraId="39054098" w14:textId="77777777" w:rsidR="0088112C" w:rsidRPr="004D53EC" w:rsidRDefault="0088112C" w:rsidP="005760FF">
            <w:pPr>
              <w:pStyle w:val="TableParagraph"/>
              <w:spacing w:line="184" w:lineRule="exact"/>
              <w:ind w:left="286"/>
              <w:jc w:val="left"/>
              <w:rPr>
                <w:rFonts w:ascii="Arial MT"/>
                <w:sz w:val="16"/>
                <w:lang w:val="sq-AL"/>
              </w:rPr>
            </w:pPr>
            <w:r w:rsidRPr="004D53EC">
              <w:rPr>
                <w:sz w:val="16"/>
                <w:lang w:val="sq-AL" w:bidi="sq-AL"/>
              </w:rPr>
              <w:t>793.3 w</w:t>
            </w:r>
          </w:p>
        </w:tc>
        <w:tc>
          <w:tcPr>
            <w:tcW w:w="1134" w:type="dxa"/>
          </w:tcPr>
          <w:p w14:paraId="198BD9A4" w14:textId="77777777" w:rsidR="0088112C" w:rsidRPr="004D53EC" w:rsidRDefault="0088112C" w:rsidP="005760FF">
            <w:pPr>
              <w:pStyle w:val="TableParagraph"/>
              <w:spacing w:line="184" w:lineRule="exact"/>
              <w:ind w:right="3"/>
              <w:rPr>
                <w:rFonts w:ascii="Arial MT"/>
                <w:sz w:val="16"/>
                <w:lang w:val="sq-AL"/>
              </w:rPr>
            </w:pPr>
            <w:r w:rsidRPr="004D53EC">
              <w:rPr>
                <w:sz w:val="16"/>
                <w:lang w:val="sq-AL" w:bidi="sq-AL"/>
              </w:rPr>
              <w:t>1 017.0 w</w:t>
            </w:r>
          </w:p>
        </w:tc>
        <w:tc>
          <w:tcPr>
            <w:tcW w:w="1134" w:type="dxa"/>
          </w:tcPr>
          <w:p w14:paraId="25293AED" w14:textId="77777777" w:rsidR="0088112C" w:rsidRPr="004D53EC" w:rsidRDefault="0088112C" w:rsidP="005760FF">
            <w:pPr>
              <w:pStyle w:val="TableParagraph"/>
              <w:spacing w:line="184" w:lineRule="exact"/>
              <w:ind w:right="3"/>
              <w:rPr>
                <w:rFonts w:ascii="Arial MT"/>
                <w:sz w:val="16"/>
                <w:lang w:val="sq-AL"/>
              </w:rPr>
            </w:pPr>
            <w:r w:rsidRPr="004D53EC">
              <w:rPr>
                <w:sz w:val="16"/>
                <w:lang w:val="sq-AL" w:bidi="sq-AL"/>
              </w:rPr>
              <w:t>1 092.1 w</w:t>
            </w:r>
          </w:p>
        </w:tc>
        <w:tc>
          <w:tcPr>
            <w:tcW w:w="1134" w:type="dxa"/>
          </w:tcPr>
          <w:p w14:paraId="39C6617A" w14:textId="77777777" w:rsidR="0088112C" w:rsidRPr="004D53EC" w:rsidRDefault="0088112C" w:rsidP="005760FF">
            <w:pPr>
              <w:pStyle w:val="TableParagraph"/>
              <w:spacing w:line="184" w:lineRule="exact"/>
              <w:ind w:right="3"/>
              <w:rPr>
                <w:rFonts w:ascii="Arial MT"/>
                <w:sz w:val="16"/>
                <w:lang w:val="sq-AL"/>
              </w:rPr>
            </w:pPr>
            <w:r w:rsidRPr="004D53EC">
              <w:rPr>
                <w:sz w:val="16"/>
                <w:lang w:val="sq-AL" w:bidi="sq-AL"/>
              </w:rPr>
              <w:t>1 150.5 w</w:t>
            </w:r>
          </w:p>
        </w:tc>
        <w:tc>
          <w:tcPr>
            <w:tcW w:w="1134" w:type="dxa"/>
          </w:tcPr>
          <w:p w14:paraId="0A9654D3" w14:textId="77777777" w:rsidR="0088112C" w:rsidRPr="004D53EC" w:rsidRDefault="0088112C" w:rsidP="005760FF">
            <w:pPr>
              <w:pStyle w:val="TableParagraph"/>
              <w:spacing w:line="184" w:lineRule="exact"/>
              <w:ind w:left="286"/>
              <w:jc w:val="left"/>
              <w:rPr>
                <w:rFonts w:ascii="Arial MT"/>
                <w:sz w:val="16"/>
                <w:lang w:val="sq-AL"/>
              </w:rPr>
            </w:pPr>
            <w:r w:rsidRPr="004D53EC">
              <w:rPr>
                <w:sz w:val="16"/>
                <w:lang w:val="sq-AL" w:bidi="sq-AL"/>
              </w:rPr>
              <w:t>970.2 w</w:t>
            </w:r>
          </w:p>
        </w:tc>
        <w:tc>
          <w:tcPr>
            <w:tcW w:w="1134" w:type="dxa"/>
          </w:tcPr>
          <w:p w14:paraId="4440CB6A" w14:textId="77777777" w:rsidR="0088112C" w:rsidRPr="004D53EC" w:rsidRDefault="0088112C" w:rsidP="005760FF">
            <w:pPr>
              <w:pStyle w:val="TableParagraph"/>
              <w:spacing w:line="184" w:lineRule="exact"/>
              <w:ind w:right="3"/>
              <w:rPr>
                <w:rFonts w:ascii="Arial MT"/>
                <w:sz w:val="16"/>
                <w:lang w:val="sq-AL"/>
              </w:rPr>
            </w:pPr>
            <w:r w:rsidRPr="004D53EC">
              <w:rPr>
                <w:sz w:val="16"/>
                <w:lang w:val="sq-AL" w:bidi="sq-AL"/>
              </w:rPr>
              <w:t>1 043.3 w</w:t>
            </w:r>
          </w:p>
        </w:tc>
      </w:tr>
      <w:tr w:rsidR="0088112C" w:rsidRPr="004D53EC" w14:paraId="3B65B97E" w14:textId="77777777" w:rsidTr="005760FF">
        <w:trPr>
          <w:trHeight w:val="222"/>
        </w:trPr>
        <w:tc>
          <w:tcPr>
            <w:tcW w:w="6804" w:type="dxa"/>
          </w:tcPr>
          <w:p w14:paraId="191CE36C"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prej të cilave IHD-të e vendeve të BE-27 në ekonominë raportuese (në milion euro)</w:t>
            </w:r>
          </w:p>
        </w:tc>
        <w:tc>
          <w:tcPr>
            <w:tcW w:w="568" w:type="dxa"/>
          </w:tcPr>
          <w:p w14:paraId="044D6541" w14:textId="77777777" w:rsidR="0088112C" w:rsidRPr="004D53EC" w:rsidRDefault="0088112C" w:rsidP="005760FF">
            <w:pPr>
              <w:pStyle w:val="TableParagraph"/>
              <w:ind w:left="0"/>
              <w:jc w:val="left"/>
              <w:rPr>
                <w:sz w:val="14"/>
                <w:lang w:val="sq-AL"/>
              </w:rPr>
            </w:pPr>
          </w:p>
        </w:tc>
        <w:tc>
          <w:tcPr>
            <w:tcW w:w="1134" w:type="dxa"/>
          </w:tcPr>
          <w:p w14:paraId="283218E0"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24F10DF0"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404.7 w</w:t>
            </w:r>
          </w:p>
        </w:tc>
        <w:tc>
          <w:tcPr>
            <w:tcW w:w="1134" w:type="dxa"/>
          </w:tcPr>
          <w:p w14:paraId="4EB06B61"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248.0 w</w:t>
            </w:r>
          </w:p>
        </w:tc>
        <w:tc>
          <w:tcPr>
            <w:tcW w:w="1134" w:type="dxa"/>
          </w:tcPr>
          <w:p w14:paraId="6114551B" w14:textId="77777777" w:rsidR="0088112C" w:rsidRPr="004D53EC" w:rsidRDefault="0088112C" w:rsidP="005760FF">
            <w:pPr>
              <w:pStyle w:val="TableParagraph"/>
              <w:spacing w:before="1"/>
              <w:ind w:right="3"/>
              <w:rPr>
                <w:rFonts w:ascii="Arial MT"/>
                <w:sz w:val="16"/>
                <w:lang w:val="sq-AL"/>
              </w:rPr>
            </w:pPr>
            <w:r w:rsidRPr="004D53EC">
              <w:rPr>
                <w:spacing w:val="-2"/>
                <w:sz w:val="16"/>
                <w:lang w:val="sq-AL" w:bidi="sq-AL"/>
              </w:rPr>
              <w:t>649.4</w:t>
            </w:r>
          </w:p>
        </w:tc>
        <w:tc>
          <w:tcPr>
            <w:tcW w:w="1134" w:type="dxa"/>
          </w:tcPr>
          <w:p w14:paraId="6411EA16" w14:textId="77777777" w:rsidR="0088112C" w:rsidRPr="004D53EC" w:rsidRDefault="0088112C" w:rsidP="005760FF">
            <w:pPr>
              <w:pStyle w:val="TableParagraph"/>
              <w:spacing w:before="1"/>
              <w:ind w:right="3"/>
              <w:rPr>
                <w:rFonts w:ascii="Arial MT"/>
                <w:sz w:val="16"/>
                <w:lang w:val="sq-AL"/>
              </w:rPr>
            </w:pPr>
            <w:r w:rsidRPr="004D53EC">
              <w:rPr>
                <w:spacing w:val="-2"/>
                <w:sz w:val="16"/>
                <w:lang w:val="sq-AL" w:bidi="sq-AL"/>
              </w:rPr>
              <w:t>535.3</w:t>
            </w:r>
          </w:p>
        </w:tc>
        <w:tc>
          <w:tcPr>
            <w:tcW w:w="1134" w:type="dxa"/>
          </w:tcPr>
          <w:p w14:paraId="1E4E42CF" w14:textId="77777777" w:rsidR="0088112C" w:rsidRPr="004D53EC" w:rsidRDefault="0088112C" w:rsidP="005760FF">
            <w:pPr>
              <w:pStyle w:val="TableParagraph"/>
              <w:spacing w:before="1"/>
              <w:ind w:right="3"/>
              <w:rPr>
                <w:rFonts w:ascii="Arial MT"/>
                <w:sz w:val="16"/>
                <w:lang w:val="sq-AL"/>
              </w:rPr>
            </w:pPr>
            <w:r w:rsidRPr="004D53EC">
              <w:rPr>
                <w:spacing w:val="-2"/>
                <w:sz w:val="16"/>
                <w:lang w:val="sq-AL" w:bidi="sq-AL"/>
              </w:rPr>
              <w:t>679.8</w:t>
            </w:r>
          </w:p>
        </w:tc>
      </w:tr>
      <w:tr w:rsidR="0088112C" w:rsidRPr="004D53EC" w14:paraId="5337F48E" w14:textId="77777777" w:rsidTr="005760FF">
        <w:trPr>
          <w:trHeight w:val="223"/>
        </w:trPr>
        <w:tc>
          <w:tcPr>
            <w:tcW w:w="6804" w:type="dxa"/>
          </w:tcPr>
          <w:p w14:paraId="4889FCC0"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**Pozicioni neto i investimeve ndërkombëtare, në raport me PBB-në (%)</w:t>
            </w:r>
          </w:p>
        </w:tc>
        <w:tc>
          <w:tcPr>
            <w:tcW w:w="568" w:type="dxa"/>
          </w:tcPr>
          <w:p w14:paraId="70B233C1" w14:textId="77777777" w:rsidR="0088112C" w:rsidRPr="004D53EC" w:rsidRDefault="0088112C" w:rsidP="005760FF">
            <w:pPr>
              <w:pStyle w:val="TableParagraph"/>
              <w:ind w:left="0"/>
              <w:jc w:val="left"/>
              <w:rPr>
                <w:sz w:val="14"/>
                <w:lang w:val="sq-AL"/>
              </w:rPr>
            </w:pPr>
          </w:p>
        </w:tc>
        <w:tc>
          <w:tcPr>
            <w:tcW w:w="1134" w:type="dxa"/>
          </w:tcPr>
          <w:p w14:paraId="7F78636D"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488B5797" w14:textId="77777777" w:rsidR="0088112C" w:rsidRPr="004D53EC" w:rsidRDefault="0088112C" w:rsidP="005760FF">
            <w:pPr>
              <w:pStyle w:val="TableParagraph"/>
              <w:spacing w:before="1"/>
              <w:ind w:right="1"/>
              <w:rPr>
                <w:rFonts w:ascii="Arial MT"/>
                <w:sz w:val="16"/>
                <w:lang w:val="sq-AL"/>
              </w:rPr>
            </w:pPr>
            <w:r w:rsidRPr="004D53EC">
              <w:rPr>
                <w:sz w:val="16"/>
                <w:lang w:val="sq-AL" w:bidi="sq-AL"/>
              </w:rPr>
              <w:t>- 47.1 w</w:t>
            </w:r>
          </w:p>
        </w:tc>
        <w:tc>
          <w:tcPr>
            <w:tcW w:w="1134" w:type="dxa"/>
          </w:tcPr>
          <w:p w14:paraId="24AC1399" w14:textId="77777777" w:rsidR="0088112C" w:rsidRPr="004D53EC" w:rsidRDefault="0088112C" w:rsidP="005760FF">
            <w:pPr>
              <w:pStyle w:val="TableParagraph"/>
              <w:spacing w:before="1"/>
              <w:ind w:right="1"/>
              <w:rPr>
                <w:rFonts w:ascii="Arial MT"/>
                <w:sz w:val="16"/>
                <w:lang w:val="sq-AL"/>
              </w:rPr>
            </w:pPr>
            <w:r w:rsidRPr="004D53EC">
              <w:rPr>
                <w:sz w:val="16"/>
                <w:lang w:val="sq-AL" w:bidi="sq-AL"/>
              </w:rPr>
              <w:t>- 49.4 w</w:t>
            </w:r>
          </w:p>
        </w:tc>
        <w:tc>
          <w:tcPr>
            <w:tcW w:w="1134" w:type="dxa"/>
          </w:tcPr>
          <w:p w14:paraId="7878A2F4" w14:textId="77777777" w:rsidR="0088112C" w:rsidRPr="004D53EC" w:rsidRDefault="0088112C" w:rsidP="005760FF">
            <w:pPr>
              <w:pStyle w:val="TableParagraph"/>
              <w:spacing w:before="1"/>
              <w:ind w:right="1"/>
              <w:rPr>
                <w:rFonts w:ascii="Arial MT"/>
                <w:sz w:val="16"/>
                <w:lang w:val="sq-AL"/>
              </w:rPr>
            </w:pPr>
            <w:r w:rsidRPr="004D53EC">
              <w:rPr>
                <w:sz w:val="16"/>
                <w:lang w:val="sq-AL" w:bidi="sq-AL"/>
              </w:rPr>
              <w:t>- 48.4 w</w:t>
            </w:r>
          </w:p>
        </w:tc>
        <w:tc>
          <w:tcPr>
            <w:tcW w:w="1134" w:type="dxa"/>
          </w:tcPr>
          <w:p w14:paraId="47106AB1" w14:textId="77777777" w:rsidR="0088112C" w:rsidRPr="004D53EC" w:rsidRDefault="0088112C" w:rsidP="005760FF">
            <w:pPr>
              <w:pStyle w:val="TableParagraph"/>
              <w:spacing w:before="1"/>
              <w:ind w:right="1"/>
              <w:rPr>
                <w:rFonts w:ascii="Arial MT"/>
                <w:sz w:val="16"/>
                <w:lang w:val="sq-AL"/>
              </w:rPr>
            </w:pPr>
            <w:r w:rsidRPr="004D53EC">
              <w:rPr>
                <w:sz w:val="16"/>
                <w:lang w:val="sq-AL" w:bidi="sq-AL"/>
              </w:rPr>
              <w:t>- 53.9 w</w:t>
            </w:r>
          </w:p>
        </w:tc>
        <w:tc>
          <w:tcPr>
            <w:tcW w:w="1134" w:type="dxa"/>
          </w:tcPr>
          <w:p w14:paraId="5BD9F279" w14:textId="77777777" w:rsidR="0088112C" w:rsidRPr="004D53EC" w:rsidRDefault="0088112C" w:rsidP="005760FF">
            <w:pPr>
              <w:pStyle w:val="TableParagraph"/>
              <w:spacing w:before="1"/>
              <w:ind w:right="1"/>
              <w:rPr>
                <w:rFonts w:ascii="Arial MT"/>
                <w:sz w:val="16"/>
                <w:lang w:val="sq-AL"/>
              </w:rPr>
            </w:pPr>
            <w:r w:rsidRPr="004D53EC">
              <w:rPr>
                <w:sz w:val="16"/>
                <w:lang w:val="sq-AL" w:bidi="sq-AL"/>
              </w:rPr>
              <w:t>- 49.9 w</w:t>
            </w:r>
          </w:p>
        </w:tc>
      </w:tr>
      <w:tr w:rsidR="0088112C" w:rsidRPr="004D53EC" w14:paraId="7D54ADB7" w14:textId="77777777" w:rsidTr="005760FF">
        <w:trPr>
          <w:trHeight w:val="396"/>
        </w:trPr>
        <w:tc>
          <w:tcPr>
            <w:tcW w:w="6804" w:type="dxa"/>
          </w:tcPr>
          <w:p w14:paraId="24ADDB4E"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 xml:space="preserve">Shkalla e ndryshimit të </w:t>
            </w:r>
            <w:proofErr w:type="spellStart"/>
            <w:r w:rsidRPr="004D53EC">
              <w:rPr>
                <w:sz w:val="16"/>
                <w:lang w:val="sq-AL" w:bidi="sq-AL"/>
              </w:rPr>
              <w:t>vitpasvitshëm</w:t>
            </w:r>
            <w:proofErr w:type="spellEnd"/>
            <w:r w:rsidRPr="004D53EC">
              <w:rPr>
                <w:sz w:val="16"/>
                <w:lang w:val="sq-AL" w:bidi="sq-AL"/>
              </w:rPr>
              <w:t xml:space="preserve"> në prurjen bruto të </w:t>
            </w:r>
            <w:proofErr w:type="spellStart"/>
            <w:r w:rsidRPr="004D53EC">
              <w:rPr>
                <w:sz w:val="16"/>
                <w:lang w:val="sq-AL" w:bidi="sq-AL"/>
              </w:rPr>
              <w:t>remitancave</w:t>
            </w:r>
            <w:proofErr w:type="spellEnd"/>
            <w:r w:rsidRPr="004D53EC">
              <w:rPr>
                <w:sz w:val="16"/>
                <w:lang w:val="sq-AL" w:bidi="sq-AL"/>
              </w:rPr>
              <w:t xml:space="preserve"> (në monedhën kombëtare) nga </w:t>
            </w:r>
          </w:p>
          <w:p w14:paraId="3CC31282" w14:textId="77777777" w:rsidR="0088112C" w:rsidRPr="004D53EC" w:rsidRDefault="0088112C" w:rsidP="005760FF">
            <w:pPr>
              <w:pStyle w:val="TableParagraph"/>
              <w:spacing w:before="15" w:line="178" w:lineRule="exact"/>
              <w:ind w:left="107"/>
              <w:jc w:val="left"/>
              <w:rPr>
                <w:rFonts w:ascii="Arial MT"/>
                <w:sz w:val="16"/>
                <w:lang w:val="sq-AL"/>
              </w:rPr>
            </w:pPr>
            <w:r w:rsidRPr="004D53EC">
              <w:rPr>
                <w:sz w:val="16"/>
                <w:lang w:val="sq-AL" w:bidi="sq-AL"/>
              </w:rPr>
              <w:t>punëtorët emigrantë (%)</w:t>
            </w:r>
          </w:p>
        </w:tc>
        <w:tc>
          <w:tcPr>
            <w:tcW w:w="568" w:type="dxa"/>
          </w:tcPr>
          <w:p w14:paraId="22A9D088" w14:textId="77777777" w:rsidR="0088112C" w:rsidRPr="004D53EC" w:rsidRDefault="0088112C" w:rsidP="005760FF">
            <w:pPr>
              <w:pStyle w:val="TableParagraph"/>
              <w:ind w:left="0"/>
              <w:jc w:val="left"/>
              <w:rPr>
                <w:sz w:val="14"/>
                <w:lang w:val="sq-AL"/>
              </w:rPr>
            </w:pPr>
          </w:p>
        </w:tc>
        <w:tc>
          <w:tcPr>
            <w:tcW w:w="1134" w:type="dxa"/>
          </w:tcPr>
          <w:p w14:paraId="67B1B9EF" w14:textId="77777777" w:rsidR="0088112C" w:rsidRPr="004D53EC" w:rsidRDefault="0088112C" w:rsidP="005760FF">
            <w:pPr>
              <w:pStyle w:val="TableParagraph"/>
              <w:spacing w:line="184" w:lineRule="exact"/>
              <w:ind w:left="335"/>
              <w:jc w:val="left"/>
              <w:rPr>
                <w:rFonts w:ascii="Arial MT"/>
                <w:sz w:val="16"/>
                <w:lang w:val="sq-AL"/>
              </w:rPr>
            </w:pPr>
            <w:r w:rsidRPr="004D53EC">
              <w:rPr>
                <w:sz w:val="16"/>
                <w:lang w:val="sq-AL" w:bidi="sq-AL"/>
              </w:rPr>
              <w:t xml:space="preserve">7.7 </w:t>
            </w:r>
            <w:proofErr w:type="spellStart"/>
            <w:r w:rsidRPr="004D53EC">
              <w:rPr>
                <w:sz w:val="16"/>
                <w:lang w:val="sq-AL" w:bidi="sq-AL"/>
              </w:rPr>
              <w:t>sw</w:t>
            </w:r>
            <w:proofErr w:type="spellEnd"/>
          </w:p>
        </w:tc>
        <w:tc>
          <w:tcPr>
            <w:tcW w:w="1134" w:type="dxa"/>
          </w:tcPr>
          <w:p w14:paraId="2836FF6F" w14:textId="77777777" w:rsidR="0088112C" w:rsidRPr="004D53EC" w:rsidRDefault="0088112C" w:rsidP="005760FF">
            <w:pPr>
              <w:pStyle w:val="TableParagraph"/>
              <w:spacing w:line="184" w:lineRule="exact"/>
              <w:ind w:left="392"/>
              <w:jc w:val="left"/>
              <w:rPr>
                <w:rFonts w:ascii="Arial MT"/>
                <w:sz w:val="16"/>
                <w:lang w:val="sq-AL"/>
              </w:rPr>
            </w:pPr>
            <w:r w:rsidRPr="004D53EC">
              <w:rPr>
                <w:sz w:val="16"/>
                <w:lang w:val="sq-AL" w:bidi="sq-AL"/>
              </w:rPr>
              <w:t>5.5 s</w:t>
            </w:r>
          </w:p>
        </w:tc>
        <w:tc>
          <w:tcPr>
            <w:tcW w:w="1134" w:type="dxa"/>
          </w:tcPr>
          <w:p w14:paraId="60F21798" w14:textId="77777777" w:rsidR="0088112C" w:rsidRPr="004D53EC" w:rsidRDefault="0088112C" w:rsidP="005760FF">
            <w:pPr>
              <w:pStyle w:val="TableParagraph"/>
              <w:spacing w:line="184" w:lineRule="exact"/>
              <w:ind w:left="392"/>
              <w:jc w:val="left"/>
              <w:rPr>
                <w:rFonts w:ascii="Arial MT"/>
                <w:sz w:val="16"/>
                <w:lang w:val="sq-AL"/>
              </w:rPr>
            </w:pPr>
            <w:r w:rsidRPr="004D53EC">
              <w:rPr>
                <w:sz w:val="16"/>
                <w:lang w:val="sq-AL" w:bidi="sq-AL"/>
              </w:rPr>
              <w:t>5.2 s</w:t>
            </w:r>
          </w:p>
        </w:tc>
        <w:tc>
          <w:tcPr>
            <w:tcW w:w="1134" w:type="dxa"/>
          </w:tcPr>
          <w:p w14:paraId="42800CFE" w14:textId="77777777" w:rsidR="0088112C" w:rsidRPr="004D53EC" w:rsidRDefault="0088112C" w:rsidP="005760FF">
            <w:pPr>
              <w:pStyle w:val="TableParagraph"/>
              <w:spacing w:line="184" w:lineRule="exact"/>
              <w:ind w:left="392"/>
              <w:jc w:val="left"/>
              <w:rPr>
                <w:rFonts w:ascii="Arial MT"/>
                <w:sz w:val="16"/>
                <w:lang w:val="sq-AL"/>
              </w:rPr>
            </w:pPr>
            <w:r w:rsidRPr="004D53EC">
              <w:rPr>
                <w:sz w:val="16"/>
                <w:lang w:val="sq-AL" w:bidi="sq-AL"/>
              </w:rPr>
              <w:t>5.1 s</w:t>
            </w:r>
          </w:p>
        </w:tc>
        <w:tc>
          <w:tcPr>
            <w:tcW w:w="1134" w:type="dxa"/>
          </w:tcPr>
          <w:p w14:paraId="457F3FE5" w14:textId="77777777" w:rsidR="0088112C" w:rsidRPr="004D53EC" w:rsidRDefault="0088112C" w:rsidP="005760FF">
            <w:pPr>
              <w:pStyle w:val="TableParagraph"/>
              <w:spacing w:line="184" w:lineRule="exact"/>
              <w:ind w:left="392"/>
              <w:jc w:val="left"/>
              <w:rPr>
                <w:rFonts w:ascii="Arial MT"/>
                <w:sz w:val="16"/>
                <w:lang w:val="sq-AL"/>
              </w:rPr>
            </w:pPr>
            <w:r w:rsidRPr="004D53EC">
              <w:rPr>
                <w:sz w:val="16"/>
                <w:lang w:val="sq-AL" w:bidi="sq-AL"/>
              </w:rPr>
              <w:t>5.1 s</w:t>
            </w:r>
          </w:p>
        </w:tc>
        <w:tc>
          <w:tcPr>
            <w:tcW w:w="1134" w:type="dxa"/>
          </w:tcPr>
          <w:p w14:paraId="3DC302F1" w14:textId="77777777" w:rsidR="0088112C" w:rsidRPr="004D53EC" w:rsidRDefault="0088112C" w:rsidP="005760FF">
            <w:pPr>
              <w:pStyle w:val="TableParagraph"/>
              <w:spacing w:line="184" w:lineRule="exact"/>
              <w:ind w:left="348"/>
              <w:jc w:val="left"/>
              <w:rPr>
                <w:rFonts w:ascii="Arial MT"/>
                <w:sz w:val="16"/>
                <w:lang w:val="sq-AL"/>
              </w:rPr>
            </w:pPr>
            <w:r w:rsidRPr="004D53EC">
              <w:rPr>
                <w:sz w:val="16"/>
                <w:lang w:val="sq-AL" w:bidi="sq-AL"/>
              </w:rPr>
              <w:t xml:space="preserve">5.0 </w:t>
            </w:r>
            <w:proofErr w:type="spellStart"/>
            <w:r w:rsidRPr="004D53EC">
              <w:rPr>
                <w:sz w:val="16"/>
                <w:lang w:val="sq-AL" w:bidi="sq-AL"/>
              </w:rPr>
              <w:t>ps</w:t>
            </w:r>
            <w:proofErr w:type="spellEnd"/>
          </w:p>
        </w:tc>
      </w:tr>
      <w:tr w:rsidR="0088112C" w:rsidRPr="004D53EC" w14:paraId="766C63D2" w14:textId="77777777" w:rsidTr="005760FF">
        <w:trPr>
          <w:trHeight w:val="222"/>
        </w:trPr>
        <w:tc>
          <w:tcPr>
            <w:tcW w:w="14176" w:type="dxa"/>
            <w:gridSpan w:val="8"/>
            <w:tcBorders>
              <w:left w:val="nil"/>
              <w:bottom w:val="nil"/>
              <w:right w:val="nil"/>
            </w:tcBorders>
          </w:tcPr>
          <w:p w14:paraId="34994157" w14:textId="77777777" w:rsidR="0088112C" w:rsidRPr="004D53EC" w:rsidRDefault="0088112C" w:rsidP="005760FF">
            <w:pPr>
              <w:pStyle w:val="TableParagraph"/>
              <w:ind w:left="0"/>
              <w:jc w:val="left"/>
              <w:rPr>
                <w:sz w:val="14"/>
                <w:lang w:val="sq-AL"/>
              </w:rPr>
            </w:pPr>
          </w:p>
        </w:tc>
      </w:tr>
      <w:tr w:rsidR="0088112C" w:rsidRPr="004D53EC" w14:paraId="3894248C" w14:textId="77777777" w:rsidTr="005760FF">
        <w:trPr>
          <w:trHeight w:val="223"/>
        </w:trPr>
        <w:tc>
          <w:tcPr>
            <w:tcW w:w="6804" w:type="dxa"/>
            <w:tcBorders>
              <w:top w:val="nil"/>
              <w:left w:val="nil"/>
            </w:tcBorders>
          </w:tcPr>
          <w:p w14:paraId="373E587D" w14:textId="77777777" w:rsidR="0088112C" w:rsidRPr="004D53EC" w:rsidRDefault="0088112C" w:rsidP="005760FF">
            <w:pPr>
              <w:pStyle w:val="TableParagraph"/>
              <w:spacing w:before="1"/>
              <w:ind w:left="115"/>
              <w:jc w:val="left"/>
              <w:rPr>
                <w:rFonts w:ascii="Arial"/>
                <w:b/>
                <w:sz w:val="16"/>
                <w:lang w:val="sq-AL"/>
              </w:rPr>
            </w:pPr>
            <w:r w:rsidRPr="004D53EC">
              <w:rPr>
                <w:b/>
                <w:sz w:val="16"/>
                <w:lang w:val="sq-AL" w:bidi="sq-AL"/>
              </w:rPr>
              <w:t>Financat Publike</w:t>
            </w:r>
          </w:p>
        </w:tc>
        <w:tc>
          <w:tcPr>
            <w:tcW w:w="568" w:type="dxa"/>
          </w:tcPr>
          <w:p w14:paraId="6DD58E25" w14:textId="77777777" w:rsidR="0088112C" w:rsidRPr="004D53EC" w:rsidRDefault="0088112C" w:rsidP="005760FF">
            <w:pPr>
              <w:pStyle w:val="TableParagraph"/>
              <w:spacing w:before="1"/>
              <w:ind w:left="113"/>
              <w:jc w:val="left"/>
              <w:rPr>
                <w:rFonts w:ascii="Arial MT"/>
                <w:sz w:val="16"/>
                <w:lang w:val="sq-AL"/>
              </w:rPr>
            </w:pPr>
            <w:r w:rsidRPr="004D53EC">
              <w:rPr>
                <w:spacing w:val="-4"/>
                <w:sz w:val="16"/>
                <w:lang w:val="sq-AL" w:bidi="sq-AL"/>
              </w:rPr>
              <w:t>Shënime</w:t>
            </w:r>
          </w:p>
        </w:tc>
        <w:tc>
          <w:tcPr>
            <w:tcW w:w="1134" w:type="dxa"/>
          </w:tcPr>
          <w:p w14:paraId="34BB205F"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2010</w:t>
            </w:r>
          </w:p>
        </w:tc>
        <w:tc>
          <w:tcPr>
            <w:tcW w:w="1134" w:type="dxa"/>
          </w:tcPr>
          <w:p w14:paraId="09D5AAF7"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2017</w:t>
            </w:r>
          </w:p>
        </w:tc>
        <w:tc>
          <w:tcPr>
            <w:tcW w:w="1134" w:type="dxa"/>
          </w:tcPr>
          <w:p w14:paraId="650C8006"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2018</w:t>
            </w:r>
          </w:p>
        </w:tc>
        <w:tc>
          <w:tcPr>
            <w:tcW w:w="1134" w:type="dxa"/>
          </w:tcPr>
          <w:p w14:paraId="2B984C29"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2019</w:t>
            </w:r>
          </w:p>
        </w:tc>
        <w:tc>
          <w:tcPr>
            <w:tcW w:w="1134" w:type="dxa"/>
          </w:tcPr>
          <w:p w14:paraId="0CAE7C8A"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2020</w:t>
            </w:r>
          </w:p>
        </w:tc>
        <w:tc>
          <w:tcPr>
            <w:tcW w:w="1134" w:type="dxa"/>
          </w:tcPr>
          <w:p w14:paraId="1CEC8417"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2021</w:t>
            </w:r>
          </w:p>
        </w:tc>
      </w:tr>
      <w:tr w:rsidR="0088112C" w:rsidRPr="004D53EC" w14:paraId="2E768189" w14:textId="77777777" w:rsidTr="005760FF">
        <w:trPr>
          <w:trHeight w:val="222"/>
        </w:trPr>
        <w:tc>
          <w:tcPr>
            <w:tcW w:w="6804" w:type="dxa"/>
          </w:tcPr>
          <w:p w14:paraId="264ADF8F"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Deficiti / teprica e përgjithshme të qeverisë, në raport me PBB-në (%)</w:t>
            </w:r>
          </w:p>
        </w:tc>
        <w:tc>
          <w:tcPr>
            <w:tcW w:w="568" w:type="dxa"/>
          </w:tcPr>
          <w:p w14:paraId="216F3C7B" w14:textId="77777777" w:rsidR="0088112C" w:rsidRPr="004D53EC" w:rsidRDefault="0088112C" w:rsidP="005760FF">
            <w:pPr>
              <w:pStyle w:val="TableParagraph"/>
              <w:spacing w:line="184" w:lineRule="exact"/>
              <w:ind w:left="0" w:right="92"/>
              <w:jc w:val="right"/>
              <w:rPr>
                <w:rFonts w:ascii="Arial MT"/>
                <w:sz w:val="16"/>
                <w:lang w:val="sq-AL"/>
              </w:rPr>
            </w:pPr>
            <w:r w:rsidRPr="004D53EC">
              <w:rPr>
                <w:spacing w:val="-5"/>
                <w:sz w:val="16"/>
                <w:lang w:val="sq-AL" w:bidi="sq-AL"/>
              </w:rPr>
              <w:t>4)</w:t>
            </w:r>
          </w:p>
        </w:tc>
        <w:tc>
          <w:tcPr>
            <w:tcW w:w="1134" w:type="dxa"/>
          </w:tcPr>
          <w:p w14:paraId="436FF1C2" w14:textId="77777777" w:rsidR="0088112C" w:rsidRPr="004D53EC" w:rsidRDefault="0088112C" w:rsidP="005760FF">
            <w:pPr>
              <w:pStyle w:val="TableParagraph"/>
              <w:spacing w:line="184" w:lineRule="exact"/>
              <w:ind w:right="1"/>
              <w:rPr>
                <w:rFonts w:ascii="Arial MT"/>
                <w:sz w:val="16"/>
                <w:lang w:val="sq-AL"/>
              </w:rPr>
            </w:pPr>
            <w:r w:rsidRPr="004D53EC">
              <w:rPr>
                <w:sz w:val="16"/>
                <w:lang w:val="sq-AL" w:bidi="sq-AL"/>
              </w:rPr>
              <w:t>- 3.1 w</w:t>
            </w:r>
          </w:p>
        </w:tc>
        <w:tc>
          <w:tcPr>
            <w:tcW w:w="1134" w:type="dxa"/>
          </w:tcPr>
          <w:p w14:paraId="389A665C" w14:textId="77777777" w:rsidR="0088112C" w:rsidRPr="004D53EC" w:rsidRDefault="0088112C" w:rsidP="005760FF">
            <w:pPr>
              <w:pStyle w:val="TableParagraph"/>
              <w:spacing w:line="184" w:lineRule="exact"/>
              <w:ind w:right="1"/>
              <w:rPr>
                <w:rFonts w:ascii="Arial MT"/>
                <w:sz w:val="16"/>
                <w:lang w:val="sq-AL"/>
              </w:rPr>
            </w:pPr>
            <w:r w:rsidRPr="004D53EC">
              <w:rPr>
                <w:sz w:val="16"/>
                <w:lang w:val="sq-AL" w:bidi="sq-AL"/>
              </w:rPr>
              <w:t>- 2.0 w</w:t>
            </w:r>
          </w:p>
        </w:tc>
        <w:tc>
          <w:tcPr>
            <w:tcW w:w="1134" w:type="dxa"/>
          </w:tcPr>
          <w:p w14:paraId="1655AAD2" w14:textId="77777777" w:rsidR="0088112C" w:rsidRPr="004D53EC" w:rsidRDefault="0088112C" w:rsidP="005760FF">
            <w:pPr>
              <w:pStyle w:val="TableParagraph"/>
              <w:spacing w:line="184" w:lineRule="exact"/>
              <w:ind w:right="1"/>
              <w:rPr>
                <w:rFonts w:ascii="Arial MT"/>
                <w:sz w:val="16"/>
                <w:lang w:val="sq-AL"/>
              </w:rPr>
            </w:pPr>
            <w:r w:rsidRPr="004D53EC">
              <w:rPr>
                <w:sz w:val="16"/>
                <w:lang w:val="sq-AL" w:bidi="sq-AL"/>
              </w:rPr>
              <w:t>- 1.6 w</w:t>
            </w:r>
          </w:p>
        </w:tc>
        <w:tc>
          <w:tcPr>
            <w:tcW w:w="1134" w:type="dxa"/>
          </w:tcPr>
          <w:p w14:paraId="6F86F422" w14:textId="77777777" w:rsidR="0088112C" w:rsidRPr="004D53EC" w:rsidRDefault="0088112C" w:rsidP="005760FF">
            <w:pPr>
              <w:pStyle w:val="TableParagraph"/>
              <w:spacing w:line="184" w:lineRule="exact"/>
              <w:ind w:right="1"/>
              <w:rPr>
                <w:rFonts w:ascii="Arial MT"/>
                <w:sz w:val="16"/>
                <w:lang w:val="sq-AL"/>
              </w:rPr>
            </w:pPr>
            <w:r w:rsidRPr="004D53EC">
              <w:rPr>
                <w:sz w:val="16"/>
                <w:lang w:val="sq-AL" w:bidi="sq-AL"/>
              </w:rPr>
              <w:t>- 1.9 w</w:t>
            </w:r>
          </w:p>
        </w:tc>
        <w:tc>
          <w:tcPr>
            <w:tcW w:w="1134" w:type="dxa"/>
          </w:tcPr>
          <w:p w14:paraId="27509EE2" w14:textId="77777777" w:rsidR="0088112C" w:rsidRPr="004D53EC" w:rsidRDefault="0088112C" w:rsidP="005760FF">
            <w:pPr>
              <w:pStyle w:val="TableParagraph"/>
              <w:spacing w:line="184" w:lineRule="exact"/>
              <w:ind w:right="1"/>
              <w:rPr>
                <w:rFonts w:ascii="Arial MT"/>
                <w:sz w:val="16"/>
                <w:lang w:val="sq-AL"/>
              </w:rPr>
            </w:pPr>
            <w:r w:rsidRPr="004D53EC">
              <w:rPr>
                <w:sz w:val="16"/>
                <w:lang w:val="sq-AL" w:bidi="sq-AL"/>
              </w:rPr>
              <w:t>- 6.8 w</w:t>
            </w:r>
          </w:p>
        </w:tc>
        <w:tc>
          <w:tcPr>
            <w:tcW w:w="1134" w:type="dxa"/>
          </w:tcPr>
          <w:p w14:paraId="5AEC188B" w14:textId="77777777" w:rsidR="0088112C" w:rsidRPr="004D53EC" w:rsidRDefault="0088112C" w:rsidP="005760FF">
            <w:pPr>
              <w:pStyle w:val="TableParagraph"/>
              <w:spacing w:line="184" w:lineRule="exact"/>
              <w:ind w:right="3"/>
              <w:rPr>
                <w:rFonts w:ascii="Arial MT"/>
                <w:sz w:val="16"/>
                <w:lang w:val="sq-AL"/>
              </w:rPr>
            </w:pPr>
            <w:r w:rsidRPr="004D53EC">
              <w:rPr>
                <w:sz w:val="16"/>
                <w:lang w:val="sq-AL" w:bidi="sq-AL"/>
              </w:rPr>
              <w:t xml:space="preserve">- 6.8 </w:t>
            </w:r>
            <w:proofErr w:type="spellStart"/>
            <w:r w:rsidRPr="004D53EC">
              <w:rPr>
                <w:sz w:val="16"/>
                <w:lang w:val="sq-AL" w:bidi="sq-AL"/>
              </w:rPr>
              <w:t>fw</w:t>
            </w:r>
            <w:proofErr w:type="spellEnd"/>
          </w:p>
        </w:tc>
      </w:tr>
      <w:tr w:rsidR="0088112C" w:rsidRPr="004D53EC" w14:paraId="4F8E4D3E" w14:textId="77777777" w:rsidTr="005760FF">
        <w:trPr>
          <w:trHeight w:val="222"/>
        </w:trPr>
        <w:tc>
          <w:tcPr>
            <w:tcW w:w="6804" w:type="dxa"/>
          </w:tcPr>
          <w:p w14:paraId="135433F9"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Borxhi i përgjithshëm bruto i qeverisë në raport me e PBB-në (%)</w:t>
            </w:r>
          </w:p>
        </w:tc>
        <w:tc>
          <w:tcPr>
            <w:tcW w:w="568" w:type="dxa"/>
          </w:tcPr>
          <w:p w14:paraId="205A8AB6" w14:textId="77777777" w:rsidR="0088112C" w:rsidRPr="004D53EC" w:rsidRDefault="0088112C" w:rsidP="005760FF">
            <w:pPr>
              <w:pStyle w:val="TableParagraph"/>
              <w:spacing w:before="1"/>
              <w:ind w:left="0" w:right="92"/>
              <w:jc w:val="right"/>
              <w:rPr>
                <w:rFonts w:ascii="Arial MT"/>
                <w:sz w:val="16"/>
                <w:lang w:val="sq-AL"/>
              </w:rPr>
            </w:pPr>
            <w:r w:rsidRPr="004D53EC">
              <w:rPr>
                <w:spacing w:val="-5"/>
                <w:sz w:val="16"/>
                <w:lang w:val="sq-AL" w:bidi="sq-AL"/>
              </w:rPr>
              <w:t>4)</w:t>
            </w:r>
          </w:p>
        </w:tc>
        <w:tc>
          <w:tcPr>
            <w:tcW w:w="1134" w:type="dxa"/>
          </w:tcPr>
          <w:p w14:paraId="4C8824E2" w14:textId="77777777" w:rsidR="0088112C" w:rsidRPr="004D53EC" w:rsidRDefault="0088112C" w:rsidP="005760FF">
            <w:pPr>
              <w:pStyle w:val="TableParagraph"/>
              <w:spacing w:before="1"/>
              <w:ind w:left="330"/>
              <w:jc w:val="left"/>
              <w:rPr>
                <w:rFonts w:ascii="Arial MT"/>
                <w:sz w:val="16"/>
                <w:lang w:val="sq-AL"/>
              </w:rPr>
            </w:pPr>
            <w:r w:rsidRPr="004D53EC">
              <w:rPr>
                <w:sz w:val="16"/>
                <w:lang w:val="sq-AL" w:bidi="sq-AL"/>
              </w:rPr>
              <w:t>54.0 w</w:t>
            </w:r>
          </w:p>
        </w:tc>
        <w:tc>
          <w:tcPr>
            <w:tcW w:w="1134" w:type="dxa"/>
          </w:tcPr>
          <w:p w14:paraId="1DFBD7DB" w14:textId="77777777" w:rsidR="0088112C" w:rsidRPr="004D53EC" w:rsidRDefault="0088112C" w:rsidP="005760FF">
            <w:pPr>
              <w:pStyle w:val="TableParagraph"/>
              <w:spacing w:before="1"/>
              <w:ind w:left="330"/>
              <w:jc w:val="left"/>
              <w:rPr>
                <w:rFonts w:ascii="Arial MT"/>
                <w:sz w:val="16"/>
                <w:lang w:val="sq-AL"/>
              </w:rPr>
            </w:pPr>
            <w:r w:rsidRPr="004D53EC">
              <w:rPr>
                <w:sz w:val="16"/>
                <w:lang w:val="sq-AL" w:bidi="sq-AL"/>
              </w:rPr>
              <w:t>66.9 w</w:t>
            </w:r>
          </w:p>
        </w:tc>
        <w:tc>
          <w:tcPr>
            <w:tcW w:w="1134" w:type="dxa"/>
          </w:tcPr>
          <w:p w14:paraId="6194B9A8" w14:textId="77777777" w:rsidR="0088112C" w:rsidRPr="004D53EC" w:rsidRDefault="0088112C" w:rsidP="005760FF">
            <w:pPr>
              <w:pStyle w:val="TableParagraph"/>
              <w:spacing w:before="1"/>
              <w:ind w:left="330"/>
              <w:jc w:val="left"/>
              <w:rPr>
                <w:rFonts w:ascii="Arial MT"/>
                <w:sz w:val="16"/>
                <w:lang w:val="sq-AL"/>
              </w:rPr>
            </w:pPr>
            <w:r w:rsidRPr="004D53EC">
              <w:rPr>
                <w:sz w:val="16"/>
                <w:lang w:val="sq-AL" w:bidi="sq-AL"/>
              </w:rPr>
              <w:t>64.9 w</w:t>
            </w:r>
          </w:p>
        </w:tc>
        <w:tc>
          <w:tcPr>
            <w:tcW w:w="1134" w:type="dxa"/>
          </w:tcPr>
          <w:p w14:paraId="21A35EB7" w14:textId="77777777" w:rsidR="0088112C" w:rsidRPr="004D53EC" w:rsidRDefault="0088112C" w:rsidP="005760FF">
            <w:pPr>
              <w:pStyle w:val="TableParagraph"/>
              <w:spacing w:before="1"/>
              <w:ind w:left="330"/>
              <w:jc w:val="left"/>
              <w:rPr>
                <w:rFonts w:ascii="Arial MT"/>
                <w:sz w:val="16"/>
                <w:lang w:val="sq-AL"/>
              </w:rPr>
            </w:pPr>
            <w:r w:rsidRPr="004D53EC">
              <w:rPr>
                <w:sz w:val="16"/>
                <w:lang w:val="sq-AL" w:bidi="sq-AL"/>
              </w:rPr>
              <w:t>63.3 w</w:t>
            </w:r>
          </w:p>
        </w:tc>
        <w:tc>
          <w:tcPr>
            <w:tcW w:w="1134" w:type="dxa"/>
          </w:tcPr>
          <w:p w14:paraId="13754F8D" w14:textId="77777777" w:rsidR="0088112C" w:rsidRPr="004D53EC" w:rsidRDefault="0088112C" w:rsidP="005760FF">
            <w:pPr>
              <w:pStyle w:val="TableParagraph"/>
              <w:spacing w:before="1"/>
              <w:ind w:left="330"/>
              <w:jc w:val="left"/>
              <w:rPr>
                <w:rFonts w:ascii="Arial MT"/>
                <w:sz w:val="16"/>
                <w:lang w:val="sq-AL"/>
              </w:rPr>
            </w:pPr>
            <w:r w:rsidRPr="004D53EC">
              <w:rPr>
                <w:sz w:val="16"/>
                <w:lang w:val="sq-AL" w:bidi="sq-AL"/>
              </w:rPr>
              <w:t>72.7 w</w:t>
            </w:r>
          </w:p>
        </w:tc>
        <w:tc>
          <w:tcPr>
            <w:tcW w:w="1134" w:type="dxa"/>
          </w:tcPr>
          <w:p w14:paraId="16798920" w14:textId="77777777" w:rsidR="0088112C" w:rsidRPr="004D53EC" w:rsidRDefault="0088112C" w:rsidP="005760FF">
            <w:pPr>
              <w:pStyle w:val="TableParagraph"/>
              <w:spacing w:before="1"/>
              <w:ind w:left="307"/>
              <w:jc w:val="left"/>
              <w:rPr>
                <w:rFonts w:ascii="Arial MT"/>
                <w:sz w:val="16"/>
                <w:lang w:val="sq-AL"/>
              </w:rPr>
            </w:pPr>
            <w:r w:rsidRPr="004D53EC">
              <w:rPr>
                <w:sz w:val="16"/>
                <w:lang w:val="sq-AL" w:bidi="sq-AL"/>
              </w:rPr>
              <w:t xml:space="preserve">76.7 </w:t>
            </w:r>
            <w:proofErr w:type="spellStart"/>
            <w:r w:rsidRPr="004D53EC">
              <w:rPr>
                <w:sz w:val="16"/>
                <w:lang w:val="sq-AL" w:bidi="sq-AL"/>
              </w:rPr>
              <w:t>fw</w:t>
            </w:r>
            <w:proofErr w:type="spellEnd"/>
          </w:p>
        </w:tc>
      </w:tr>
      <w:tr w:rsidR="0088112C" w:rsidRPr="004D53EC" w14:paraId="6A4F9EF1" w14:textId="77777777" w:rsidTr="005760FF">
        <w:trPr>
          <w:trHeight w:val="223"/>
        </w:trPr>
        <w:tc>
          <w:tcPr>
            <w:tcW w:w="6804" w:type="dxa"/>
          </w:tcPr>
          <w:p w14:paraId="21361B57"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Borxhi i përgjithshëm bruto i qeverisë në raport me PBB-në (%)</w:t>
            </w:r>
          </w:p>
        </w:tc>
        <w:tc>
          <w:tcPr>
            <w:tcW w:w="568" w:type="dxa"/>
          </w:tcPr>
          <w:p w14:paraId="33C3ADF3" w14:textId="77777777" w:rsidR="0088112C" w:rsidRPr="004D53EC" w:rsidRDefault="0088112C" w:rsidP="005760FF">
            <w:pPr>
              <w:pStyle w:val="TableParagraph"/>
              <w:spacing w:before="1"/>
              <w:ind w:left="0" w:right="92"/>
              <w:jc w:val="right"/>
              <w:rPr>
                <w:rFonts w:ascii="Arial MT"/>
                <w:sz w:val="16"/>
                <w:lang w:val="sq-AL"/>
              </w:rPr>
            </w:pPr>
            <w:r w:rsidRPr="004D53EC">
              <w:rPr>
                <w:spacing w:val="-5"/>
                <w:sz w:val="16"/>
                <w:lang w:val="sq-AL" w:bidi="sq-AL"/>
              </w:rPr>
              <w:t>4)</w:t>
            </w:r>
          </w:p>
        </w:tc>
        <w:tc>
          <w:tcPr>
            <w:tcW w:w="1134" w:type="dxa"/>
          </w:tcPr>
          <w:p w14:paraId="74F518D8" w14:textId="77777777" w:rsidR="0088112C" w:rsidRPr="004D53EC" w:rsidRDefault="0088112C" w:rsidP="005760FF">
            <w:pPr>
              <w:pStyle w:val="TableParagraph"/>
              <w:spacing w:before="1"/>
              <w:ind w:left="330"/>
              <w:jc w:val="left"/>
              <w:rPr>
                <w:rFonts w:ascii="Arial MT"/>
                <w:sz w:val="16"/>
                <w:lang w:val="sq-AL"/>
              </w:rPr>
            </w:pPr>
            <w:r w:rsidRPr="004D53EC">
              <w:rPr>
                <w:sz w:val="16"/>
                <w:lang w:val="sq-AL" w:bidi="sq-AL"/>
              </w:rPr>
              <w:t>26.2 w</w:t>
            </w:r>
          </w:p>
        </w:tc>
        <w:tc>
          <w:tcPr>
            <w:tcW w:w="1134" w:type="dxa"/>
          </w:tcPr>
          <w:p w14:paraId="79C700F0" w14:textId="77777777" w:rsidR="0088112C" w:rsidRPr="004D53EC" w:rsidRDefault="0088112C" w:rsidP="005760FF">
            <w:pPr>
              <w:pStyle w:val="TableParagraph"/>
              <w:spacing w:before="1"/>
              <w:ind w:left="330"/>
              <w:jc w:val="left"/>
              <w:rPr>
                <w:rFonts w:ascii="Arial MT"/>
                <w:sz w:val="16"/>
                <w:lang w:val="sq-AL"/>
              </w:rPr>
            </w:pPr>
            <w:r w:rsidRPr="004D53EC">
              <w:rPr>
                <w:sz w:val="16"/>
                <w:lang w:val="sq-AL" w:bidi="sq-AL"/>
              </w:rPr>
              <w:t>27.8 w</w:t>
            </w:r>
          </w:p>
        </w:tc>
        <w:tc>
          <w:tcPr>
            <w:tcW w:w="1134" w:type="dxa"/>
          </w:tcPr>
          <w:p w14:paraId="627BFBBC" w14:textId="77777777" w:rsidR="0088112C" w:rsidRPr="004D53EC" w:rsidRDefault="0088112C" w:rsidP="005760FF">
            <w:pPr>
              <w:pStyle w:val="TableParagraph"/>
              <w:spacing w:before="1"/>
              <w:ind w:left="330"/>
              <w:jc w:val="left"/>
              <w:rPr>
                <w:rFonts w:ascii="Arial MT"/>
                <w:sz w:val="16"/>
                <w:lang w:val="sq-AL"/>
              </w:rPr>
            </w:pPr>
            <w:r w:rsidRPr="004D53EC">
              <w:rPr>
                <w:sz w:val="16"/>
                <w:lang w:val="sq-AL" w:bidi="sq-AL"/>
              </w:rPr>
              <w:t>27.5 w</w:t>
            </w:r>
          </w:p>
        </w:tc>
        <w:tc>
          <w:tcPr>
            <w:tcW w:w="1134" w:type="dxa"/>
          </w:tcPr>
          <w:p w14:paraId="49754193" w14:textId="77777777" w:rsidR="0088112C" w:rsidRPr="004D53EC" w:rsidRDefault="0088112C" w:rsidP="005760FF">
            <w:pPr>
              <w:pStyle w:val="TableParagraph"/>
              <w:spacing w:before="1"/>
              <w:ind w:left="330"/>
              <w:jc w:val="left"/>
              <w:rPr>
                <w:rFonts w:ascii="Arial MT"/>
                <w:sz w:val="16"/>
                <w:lang w:val="sq-AL"/>
              </w:rPr>
            </w:pPr>
            <w:r w:rsidRPr="004D53EC">
              <w:rPr>
                <w:sz w:val="16"/>
                <w:lang w:val="sq-AL" w:bidi="sq-AL"/>
              </w:rPr>
              <w:t>27.2 w</w:t>
            </w:r>
          </w:p>
        </w:tc>
        <w:tc>
          <w:tcPr>
            <w:tcW w:w="1134" w:type="dxa"/>
          </w:tcPr>
          <w:p w14:paraId="32617BEB" w14:textId="77777777" w:rsidR="0088112C" w:rsidRPr="004D53EC" w:rsidRDefault="0088112C" w:rsidP="005760FF">
            <w:pPr>
              <w:pStyle w:val="TableParagraph"/>
              <w:spacing w:before="1"/>
              <w:ind w:left="330"/>
              <w:jc w:val="left"/>
              <w:rPr>
                <w:rFonts w:ascii="Arial MT"/>
                <w:sz w:val="16"/>
                <w:lang w:val="sq-AL"/>
              </w:rPr>
            </w:pPr>
            <w:r w:rsidRPr="004D53EC">
              <w:rPr>
                <w:sz w:val="16"/>
                <w:lang w:val="sq-AL" w:bidi="sq-AL"/>
              </w:rPr>
              <w:t>26.3 w</w:t>
            </w:r>
          </w:p>
        </w:tc>
        <w:tc>
          <w:tcPr>
            <w:tcW w:w="1134" w:type="dxa"/>
          </w:tcPr>
          <w:p w14:paraId="60DBC634" w14:textId="77777777" w:rsidR="0088112C" w:rsidRPr="004D53EC" w:rsidRDefault="0088112C" w:rsidP="005760FF">
            <w:pPr>
              <w:pStyle w:val="TableParagraph"/>
              <w:spacing w:before="1"/>
              <w:ind w:left="307"/>
              <w:jc w:val="left"/>
              <w:rPr>
                <w:rFonts w:ascii="Arial MT"/>
                <w:sz w:val="16"/>
                <w:lang w:val="sq-AL"/>
              </w:rPr>
            </w:pPr>
            <w:r w:rsidRPr="004D53EC">
              <w:rPr>
                <w:sz w:val="16"/>
                <w:lang w:val="sq-AL" w:bidi="sq-AL"/>
              </w:rPr>
              <w:t xml:space="preserve">28.1 </w:t>
            </w:r>
            <w:proofErr w:type="spellStart"/>
            <w:r w:rsidRPr="004D53EC">
              <w:rPr>
                <w:sz w:val="16"/>
                <w:lang w:val="sq-AL" w:bidi="sq-AL"/>
              </w:rPr>
              <w:t>fw</w:t>
            </w:r>
            <w:proofErr w:type="spellEnd"/>
          </w:p>
        </w:tc>
      </w:tr>
      <w:tr w:rsidR="0088112C" w:rsidRPr="004D53EC" w14:paraId="2854337A" w14:textId="77777777" w:rsidTr="005760FF">
        <w:trPr>
          <w:trHeight w:val="222"/>
        </w:trPr>
        <w:tc>
          <w:tcPr>
            <w:tcW w:w="6804" w:type="dxa"/>
          </w:tcPr>
          <w:p w14:paraId="0B916C87"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Borxhi i përgjithshëm bruto i qeverisë në raport me PBB-në (%)</w:t>
            </w:r>
          </w:p>
        </w:tc>
        <w:tc>
          <w:tcPr>
            <w:tcW w:w="568" w:type="dxa"/>
          </w:tcPr>
          <w:p w14:paraId="64FD3CE0" w14:textId="77777777" w:rsidR="0088112C" w:rsidRPr="004D53EC" w:rsidRDefault="0088112C" w:rsidP="005760FF">
            <w:pPr>
              <w:pStyle w:val="TableParagraph"/>
              <w:spacing w:line="184" w:lineRule="exact"/>
              <w:ind w:left="0" w:right="92"/>
              <w:jc w:val="right"/>
              <w:rPr>
                <w:rFonts w:ascii="Arial MT"/>
                <w:sz w:val="16"/>
                <w:lang w:val="sq-AL"/>
              </w:rPr>
            </w:pPr>
            <w:r w:rsidRPr="004D53EC">
              <w:rPr>
                <w:spacing w:val="-5"/>
                <w:sz w:val="16"/>
                <w:lang w:val="sq-AL" w:bidi="sq-AL"/>
              </w:rPr>
              <w:t>4)</w:t>
            </w:r>
          </w:p>
        </w:tc>
        <w:tc>
          <w:tcPr>
            <w:tcW w:w="1134" w:type="dxa"/>
          </w:tcPr>
          <w:p w14:paraId="6215424D" w14:textId="77777777" w:rsidR="0088112C" w:rsidRPr="004D53EC" w:rsidRDefault="0088112C" w:rsidP="005760FF">
            <w:pPr>
              <w:pStyle w:val="TableParagraph"/>
              <w:spacing w:line="184" w:lineRule="exact"/>
              <w:ind w:left="330"/>
              <w:jc w:val="left"/>
              <w:rPr>
                <w:rFonts w:ascii="Arial MT"/>
                <w:sz w:val="16"/>
                <w:lang w:val="sq-AL"/>
              </w:rPr>
            </w:pPr>
            <w:r w:rsidRPr="004D53EC">
              <w:rPr>
                <w:sz w:val="16"/>
                <w:lang w:val="sq-AL" w:bidi="sq-AL"/>
              </w:rPr>
              <w:t>29.3 w</w:t>
            </w:r>
          </w:p>
        </w:tc>
        <w:tc>
          <w:tcPr>
            <w:tcW w:w="1134" w:type="dxa"/>
          </w:tcPr>
          <w:p w14:paraId="649D7783" w14:textId="77777777" w:rsidR="0088112C" w:rsidRPr="004D53EC" w:rsidRDefault="0088112C" w:rsidP="005760FF">
            <w:pPr>
              <w:pStyle w:val="TableParagraph"/>
              <w:spacing w:line="184" w:lineRule="exact"/>
              <w:ind w:left="330"/>
              <w:jc w:val="left"/>
              <w:rPr>
                <w:rFonts w:ascii="Arial MT"/>
                <w:sz w:val="16"/>
                <w:lang w:val="sq-AL"/>
              </w:rPr>
            </w:pPr>
            <w:r w:rsidRPr="004D53EC">
              <w:rPr>
                <w:sz w:val="16"/>
                <w:lang w:val="sq-AL" w:bidi="sq-AL"/>
              </w:rPr>
              <w:t>29.8 w</w:t>
            </w:r>
          </w:p>
        </w:tc>
        <w:tc>
          <w:tcPr>
            <w:tcW w:w="1134" w:type="dxa"/>
          </w:tcPr>
          <w:p w14:paraId="07FEB9E1" w14:textId="77777777" w:rsidR="0088112C" w:rsidRPr="004D53EC" w:rsidRDefault="0088112C" w:rsidP="005760FF">
            <w:pPr>
              <w:pStyle w:val="TableParagraph"/>
              <w:spacing w:line="184" w:lineRule="exact"/>
              <w:ind w:left="330"/>
              <w:jc w:val="left"/>
              <w:rPr>
                <w:rFonts w:ascii="Arial MT"/>
                <w:sz w:val="16"/>
                <w:lang w:val="sq-AL"/>
              </w:rPr>
            </w:pPr>
            <w:r w:rsidRPr="004D53EC">
              <w:rPr>
                <w:sz w:val="16"/>
                <w:lang w:val="sq-AL" w:bidi="sq-AL"/>
              </w:rPr>
              <w:t>29.1 w</w:t>
            </w:r>
          </w:p>
        </w:tc>
        <w:tc>
          <w:tcPr>
            <w:tcW w:w="1134" w:type="dxa"/>
          </w:tcPr>
          <w:p w14:paraId="522DA5AF" w14:textId="77777777" w:rsidR="0088112C" w:rsidRPr="004D53EC" w:rsidRDefault="0088112C" w:rsidP="005760FF">
            <w:pPr>
              <w:pStyle w:val="TableParagraph"/>
              <w:spacing w:line="184" w:lineRule="exact"/>
              <w:ind w:left="330"/>
              <w:jc w:val="left"/>
              <w:rPr>
                <w:rFonts w:ascii="Arial MT"/>
                <w:sz w:val="16"/>
                <w:lang w:val="sq-AL"/>
              </w:rPr>
            </w:pPr>
            <w:r w:rsidRPr="004D53EC">
              <w:rPr>
                <w:sz w:val="16"/>
                <w:lang w:val="sq-AL" w:bidi="sq-AL"/>
              </w:rPr>
              <w:t>29.1 w</w:t>
            </w:r>
          </w:p>
        </w:tc>
        <w:tc>
          <w:tcPr>
            <w:tcW w:w="1134" w:type="dxa"/>
          </w:tcPr>
          <w:p w14:paraId="3C3A0636" w14:textId="77777777" w:rsidR="0088112C" w:rsidRPr="004D53EC" w:rsidRDefault="0088112C" w:rsidP="005760FF">
            <w:pPr>
              <w:pStyle w:val="TableParagraph"/>
              <w:spacing w:line="184" w:lineRule="exact"/>
              <w:ind w:left="330"/>
              <w:jc w:val="left"/>
              <w:rPr>
                <w:rFonts w:ascii="Arial MT"/>
                <w:sz w:val="16"/>
                <w:lang w:val="sq-AL"/>
              </w:rPr>
            </w:pPr>
            <w:r w:rsidRPr="004D53EC">
              <w:rPr>
                <w:sz w:val="16"/>
                <w:lang w:val="sq-AL" w:bidi="sq-AL"/>
              </w:rPr>
              <w:t>33.2 w</w:t>
            </w:r>
          </w:p>
        </w:tc>
        <w:tc>
          <w:tcPr>
            <w:tcW w:w="1134" w:type="dxa"/>
          </w:tcPr>
          <w:p w14:paraId="190D2514" w14:textId="77777777" w:rsidR="0088112C" w:rsidRPr="004D53EC" w:rsidRDefault="0088112C" w:rsidP="005760FF">
            <w:pPr>
              <w:pStyle w:val="TableParagraph"/>
              <w:spacing w:line="184" w:lineRule="exact"/>
              <w:ind w:left="307"/>
              <w:jc w:val="left"/>
              <w:rPr>
                <w:rFonts w:ascii="Arial MT"/>
                <w:sz w:val="16"/>
                <w:lang w:val="sq-AL"/>
              </w:rPr>
            </w:pPr>
            <w:r w:rsidRPr="004D53EC">
              <w:rPr>
                <w:sz w:val="16"/>
                <w:lang w:val="sq-AL" w:bidi="sq-AL"/>
              </w:rPr>
              <w:t xml:space="preserve">35.0 </w:t>
            </w:r>
            <w:proofErr w:type="spellStart"/>
            <w:r w:rsidRPr="004D53EC">
              <w:rPr>
                <w:sz w:val="16"/>
                <w:lang w:val="sq-AL" w:bidi="sq-AL"/>
              </w:rPr>
              <w:t>fw</w:t>
            </w:r>
            <w:proofErr w:type="spellEnd"/>
          </w:p>
        </w:tc>
      </w:tr>
      <w:tr w:rsidR="0088112C" w:rsidRPr="004D53EC" w14:paraId="74CCC017" w14:textId="77777777" w:rsidTr="005760FF">
        <w:trPr>
          <w:trHeight w:val="222"/>
        </w:trPr>
        <w:tc>
          <w:tcPr>
            <w:tcW w:w="14176" w:type="dxa"/>
            <w:gridSpan w:val="8"/>
            <w:tcBorders>
              <w:left w:val="nil"/>
              <w:bottom w:val="nil"/>
              <w:right w:val="nil"/>
            </w:tcBorders>
          </w:tcPr>
          <w:p w14:paraId="4147A689" w14:textId="77777777" w:rsidR="0088112C" w:rsidRPr="004D53EC" w:rsidRDefault="0088112C" w:rsidP="005760FF">
            <w:pPr>
              <w:pStyle w:val="TableParagraph"/>
              <w:ind w:left="0"/>
              <w:jc w:val="left"/>
              <w:rPr>
                <w:sz w:val="14"/>
                <w:lang w:val="sq-AL"/>
              </w:rPr>
            </w:pPr>
          </w:p>
        </w:tc>
      </w:tr>
      <w:tr w:rsidR="0088112C" w:rsidRPr="004D53EC" w14:paraId="53CD333C" w14:textId="77777777" w:rsidTr="005760FF">
        <w:trPr>
          <w:trHeight w:val="223"/>
        </w:trPr>
        <w:tc>
          <w:tcPr>
            <w:tcW w:w="6804" w:type="dxa"/>
            <w:tcBorders>
              <w:top w:val="nil"/>
              <w:left w:val="nil"/>
            </w:tcBorders>
          </w:tcPr>
          <w:p w14:paraId="6DF228E4" w14:textId="77777777" w:rsidR="0088112C" w:rsidRPr="004D53EC" w:rsidRDefault="0088112C" w:rsidP="005760FF">
            <w:pPr>
              <w:pStyle w:val="TableParagraph"/>
              <w:spacing w:before="1"/>
              <w:ind w:left="115"/>
              <w:jc w:val="left"/>
              <w:rPr>
                <w:rFonts w:ascii="Arial"/>
                <w:b/>
                <w:sz w:val="16"/>
                <w:lang w:val="sq-AL"/>
              </w:rPr>
            </w:pPr>
            <w:r w:rsidRPr="004D53EC">
              <w:rPr>
                <w:b/>
                <w:sz w:val="16"/>
                <w:lang w:val="sq-AL" w:bidi="sq-AL"/>
              </w:rPr>
              <w:t>Treguesit financiarë</w:t>
            </w:r>
          </w:p>
        </w:tc>
        <w:tc>
          <w:tcPr>
            <w:tcW w:w="568" w:type="dxa"/>
          </w:tcPr>
          <w:p w14:paraId="7E179A73" w14:textId="77777777" w:rsidR="0088112C" w:rsidRPr="004D53EC" w:rsidRDefault="0088112C" w:rsidP="005760FF">
            <w:pPr>
              <w:pStyle w:val="TableParagraph"/>
              <w:spacing w:before="1"/>
              <w:ind w:left="113"/>
              <w:jc w:val="left"/>
              <w:rPr>
                <w:rFonts w:ascii="Arial MT"/>
                <w:sz w:val="16"/>
                <w:lang w:val="sq-AL"/>
              </w:rPr>
            </w:pPr>
            <w:r w:rsidRPr="004D53EC">
              <w:rPr>
                <w:spacing w:val="-4"/>
                <w:sz w:val="16"/>
                <w:lang w:val="sq-AL" w:bidi="sq-AL"/>
              </w:rPr>
              <w:t>Shëni</w:t>
            </w:r>
            <w:r w:rsidRPr="004D53EC">
              <w:rPr>
                <w:spacing w:val="-4"/>
                <w:sz w:val="16"/>
                <w:lang w:val="sq-AL" w:bidi="sq-AL"/>
              </w:rPr>
              <w:lastRenderedPageBreak/>
              <w:t>me</w:t>
            </w:r>
          </w:p>
        </w:tc>
        <w:tc>
          <w:tcPr>
            <w:tcW w:w="1134" w:type="dxa"/>
          </w:tcPr>
          <w:p w14:paraId="6A8D3612"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lastRenderedPageBreak/>
              <w:t>2010</w:t>
            </w:r>
          </w:p>
        </w:tc>
        <w:tc>
          <w:tcPr>
            <w:tcW w:w="1134" w:type="dxa"/>
          </w:tcPr>
          <w:p w14:paraId="466039F7"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2017</w:t>
            </w:r>
          </w:p>
        </w:tc>
        <w:tc>
          <w:tcPr>
            <w:tcW w:w="1134" w:type="dxa"/>
          </w:tcPr>
          <w:p w14:paraId="749C8202"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2018</w:t>
            </w:r>
          </w:p>
        </w:tc>
        <w:tc>
          <w:tcPr>
            <w:tcW w:w="1134" w:type="dxa"/>
          </w:tcPr>
          <w:p w14:paraId="3334794B"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2019</w:t>
            </w:r>
          </w:p>
        </w:tc>
        <w:tc>
          <w:tcPr>
            <w:tcW w:w="1134" w:type="dxa"/>
          </w:tcPr>
          <w:p w14:paraId="7F1E01BE"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2020</w:t>
            </w:r>
          </w:p>
        </w:tc>
        <w:tc>
          <w:tcPr>
            <w:tcW w:w="1134" w:type="dxa"/>
          </w:tcPr>
          <w:p w14:paraId="3D35CB83"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2021</w:t>
            </w:r>
          </w:p>
        </w:tc>
      </w:tr>
      <w:tr w:rsidR="0088112C" w:rsidRPr="004D53EC" w14:paraId="5F37F219" w14:textId="77777777" w:rsidTr="005760FF">
        <w:trPr>
          <w:trHeight w:val="222"/>
        </w:trPr>
        <w:tc>
          <w:tcPr>
            <w:tcW w:w="6804" w:type="dxa"/>
          </w:tcPr>
          <w:p w14:paraId="02336C0D"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Borxhi i jashtëm bruto i ekonomisë në tërësi, në raport me PBB-në (%)</w:t>
            </w:r>
          </w:p>
        </w:tc>
        <w:tc>
          <w:tcPr>
            <w:tcW w:w="568" w:type="dxa"/>
          </w:tcPr>
          <w:p w14:paraId="09C4EDBE" w14:textId="77777777" w:rsidR="0088112C" w:rsidRPr="004D53EC" w:rsidRDefault="0088112C" w:rsidP="005760FF">
            <w:pPr>
              <w:pStyle w:val="TableParagraph"/>
              <w:ind w:left="0"/>
              <w:jc w:val="left"/>
              <w:rPr>
                <w:sz w:val="14"/>
                <w:lang w:val="sq-AL"/>
              </w:rPr>
            </w:pPr>
          </w:p>
        </w:tc>
        <w:tc>
          <w:tcPr>
            <w:tcW w:w="1134" w:type="dxa"/>
          </w:tcPr>
          <w:p w14:paraId="62E13C49" w14:textId="77777777" w:rsidR="0088112C" w:rsidRPr="004D53EC" w:rsidRDefault="0088112C" w:rsidP="005760FF">
            <w:pPr>
              <w:pStyle w:val="TableParagraph"/>
              <w:spacing w:line="184" w:lineRule="exact"/>
              <w:ind w:left="290"/>
              <w:jc w:val="left"/>
              <w:rPr>
                <w:rFonts w:ascii="Arial MT"/>
                <w:sz w:val="16"/>
                <w:lang w:val="sq-AL"/>
              </w:rPr>
            </w:pPr>
            <w:r w:rsidRPr="004D53EC">
              <w:rPr>
                <w:sz w:val="16"/>
                <w:lang w:val="sq-AL" w:bidi="sq-AL"/>
              </w:rPr>
              <w:t xml:space="preserve">45.6 </w:t>
            </w:r>
            <w:proofErr w:type="spellStart"/>
            <w:r w:rsidRPr="004D53EC">
              <w:rPr>
                <w:sz w:val="16"/>
                <w:lang w:val="sq-AL" w:bidi="sq-AL"/>
              </w:rPr>
              <w:t>sw</w:t>
            </w:r>
            <w:proofErr w:type="spellEnd"/>
          </w:p>
        </w:tc>
        <w:tc>
          <w:tcPr>
            <w:tcW w:w="1134" w:type="dxa"/>
          </w:tcPr>
          <w:p w14:paraId="75D29812" w14:textId="77777777" w:rsidR="0088112C" w:rsidRPr="004D53EC" w:rsidRDefault="0088112C" w:rsidP="005760FF">
            <w:pPr>
              <w:pStyle w:val="TableParagraph"/>
              <w:spacing w:line="184" w:lineRule="exact"/>
              <w:ind w:left="348"/>
              <w:jc w:val="left"/>
              <w:rPr>
                <w:rFonts w:ascii="Arial MT"/>
                <w:sz w:val="16"/>
                <w:lang w:val="sq-AL"/>
              </w:rPr>
            </w:pPr>
            <w:r w:rsidRPr="004D53EC">
              <w:rPr>
                <w:sz w:val="16"/>
                <w:lang w:val="sq-AL" w:bidi="sq-AL"/>
              </w:rPr>
              <w:t>68.8 s</w:t>
            </w:r>
          </w:p>
        </w:tc>
        <w:tc>
          <w:tcPr>
            <w:tcW w:w="1134" w:type="dxa"/>
          </w:tcPr>
          <w:p w14:paraId="2B20DA1C" w14:textId="77777777" w:rsidR="0088112C" w:rsidRPr="004D53EC" w:rsidRDefault="0088112C" w:rsidP="005760FF">
            <w:pPr>
              <w:pStyle w:val="TableParagraph"/>
              <w:spacing w:line="184" w:lineRule="exact"/>
              <w:ind w:left="348"/>
              <w:jc w:val="left"/>
              <w:rPr>
                <w:rFonts w:ascii="Arial MT"/>
                <w:sz w:val="16"/>
                <w:lang w:val="sq-AL"/>
              </w:rPr>
            </w:pPr>
            <w:r w:rsidRPr="004D53EC">
              <w:rPr>
                <w:sz w:val="16"/>
                <w:lang w:val="sq-AL" w:bidi="sq-AL"/>
              </w:rPr>
              <w:t>65.1 s</w:t>
            </w:r>
          </w:p>
        </w:tc>
        <w:tc>
          <w:tcPr>
            <w:tcW w:w="1134" w:type="dxa"/>
          </w:tcPr>
          <w:p w14:paraId="265C297C" w14:textId="77777777" w:rsidR="0088112C" w:rsidRPr="004D53EC" w:rsidRDefault="0088112C" w:rsidP="005760FF">
            <w:pPr>
              <w:pStyle w:val="TableParagraph"/>
              <w:spacing w:line="184" w:lineRule="exact"/>
              <w:ind w:left="348"/>
              <w:jc w:val="left"/>
              <w:rPr>
                <w:rFonts w:ascii="Arial MT"/>
                <w:sz w:val="16"/>
                <w:lang w:val="sq-AL"/>
              </w:rPr>
            </w:pPr>
            <w:r w:rsidRPr="004D53EC">
              <w:rPr>
                <w:sz w:val="16"/>
                <w:lang w:val="sq-AL" w:bidi="sq-AL"/>
              </w:rPr>
              <w:t>59.9 s</w:t>
            </w:r>
          </w:p>
        </w:tc>
        <w:tc>
          <w:tcPr>
            <w:tcW w:w="1134" w:type="dxa"/>
          </w:tcPr>
          <w:p w14:paraId="38B02E33" w14:textId="77777777" w:rsidR="0088112C" w:rsidRPr="004D53EC" w:rsidRDefault="0088112C" w:rsidP="005760FF">
            <w:pPr>
              <w:pStyle w:val="TableParagraph"/>
              <w:spacing w:line="184" w:lineRule="exact"/>
              <w:ind w:left="348"/>
              <w:jc w:val="left"/>
              <w:rPr>
                <w:rFonts w:ascii="Arial MT"/>
                <w:sz w:val="16"/>
                <w:lang w:val="sq-AL"/>
              </w:rPr>
            </w:pPr>
            <w:r w:rsidRPr="004D53EC">
              <w:rPr>
                <w:sz w:val="16"/>
                <w:lang w:val="sq-AL" w:bidi="sq-AL"/>
              </w:rPr>
              <w:t>64.2 s</w:t>
            </w:r>
          </w:p>
        </w:tc>
        <w:tc>
          <w:tcPr>
            <w:tcW w:w="1134" w:type="dxa"/>
          </w:tcPr>
          <w:p w14:paraId="59E91E30" w14:textId="77777777" w:rsidR="0088112C" w:rsidRPr="004D53EC" w:rsidRDefault="0088112C" w:rsidP="005760FF">
            <w:pPr>
              <w:pStyle w:val="TableParagraph"/>
              <w:spacing w:line="184" w:lineRule="exact"/>
              <w:ind w:left="304"/>
              <w:jc w:val="left"/>
              <w:rPr>
                <w:rFonts w:ascii="Arial MT"/>
                <w:sz w:val="16"/>
                <w:lang w:val="sq-AL"/>
              </w:rPr>
            </w:pPr>
            <w:r w:rsidRPr="004D53EC">
              <w:rPr>
                <w:sz w:val="16"/>
                <w:lang w:val="sq-AL" w:bidi="sq-AL"/>
              </w:rPr>
              <w:t xml:space="preserve">64.4 </w:t>
            </w:r>
            <w:proofErr w:type="spellStart"/>
            <w:r w:rsidRPr="004D53EC">
              <w:rPr>
                <w:sz w:val="16"/>
                <w:lang w:val="sq-AL" w:bidi="sq-AL"/>
              </w:rPr>
              <w:t>ps</w:t>
            </w:r>
            <w:proofErr w:type="spellEnd"/>
          </w:p>
        </w:tc>
      </w:tr>
      <w:tr w:rsidR="0088112C" w:rsidRPr="004D53EC" w14:paraId="11992A7D" w14:textId="77777777" w:rsidTr="005760FF">
        <w:trPr>
          <w:trHeight w:val="222"/>
        </w:trPr>
        <w:tc>
          <w:tcPr>
            <w:tcW w:w="6804" w:type="dxa"/>
          </w:tcPr>
          <w:p w14:paraId="004FA10C"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Borxhi i jashtëm bruto i ekonomisë në tërësi, në raport me eksportet totale (%)</w:t>
            </w:r>
          </w:p>
        </w:tc>
        <w:tc>
          <w:tcPr>
            <w:tcW w:w="568" w:type="dxa"/>
          </w:tcPr>
          <w:p w14:paraId="09E1F56C" w14:textId="77777777" w:rsidR="0088112C" w:rsidRPr="004D53EC" w:rsidRDefault="0088112C" w:rsidP="005760FF">
            <w:pPr>
              <w:pStyle w:val="TableParagraph"/>
              <w:ind w:left="0"/>
              <w:jc w:val="left"/>
              <w:rPr>
                <w:sz w:val="14"/>
                <w:lang w:val="sq-AL"/>
              </w:rPr>
            </w:pPr>
          </w:p>
        </w:tc>
        <w:tc>
          <w:tcPr>
            <w:tcW w:w="1134" w:type="dxa"/>
          </w:tcPr>
          <w:p w14:paraId="3C90DC38"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162.6 w</w:t>
            </w:r>
          </w:p>
        </w:tc>
        <w:tc>
          <w:tcPr>
            <w:tcW w:w="1134" w:type="dxa"/>
          </w:tcPr>
          <w:p w14:paraId="1C5D2A1A"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217.6 w</w:t>
            </w:r>
          </w:p>
        </w:tc>
        <w:tc>
          <w:tcPr>
            <w:tcW w:w="1134" w:type="dxa"/>
          </w:tcPr>
          <w:p w14:paraId="3D24E2DD"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205.8 w</w:t>
            </w:r>
          </w:p>
        </w:tc>
        <w:tc>
          <w:tcPr>
            <w:tcW w:w="1134" w:type="dxa"/>
          </w:tcPr>
          <w:p w14:paraId="4B2013B3"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191.3 w</w:t>
            </w:r>
          </w:p>
        </w:tc>
        <w:tc>
          <w:tcPr>
            <w:tcW w:w="1134" w:type="dxa"/>
          </w:tcPr>
          <w:p w14:paraId="28A08495"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283.1 w</w:t>
            </w:r>
          </w:p>
        </w:tc>
        <w:tc>
          <w:tcPr>
            <w:tcW w:w="1134" w:type="dxa"/>
          </w:tcPr>
          <w:p w14:paraId="310B17B4"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205.3 w</w:t>
            </w:r>
          </w:p>
        </w:tc>
      </w:tr>
      <w:tr w:rsidR="0088112C" w:rsidRPr="004D53EC" w14:paraId="0437FFCB" w14:textId="77777777" w:rsidTr="005760FF">
        <w:trPr>
          <w:trHeight w:val="223"/>
        </w:trPr>
        <w:tc>
          <w:tcPr>
            <w:tcW w:w="6804" w:type="dxa"/>
          </w:tcPr>
          <w:p w14:paraId="3BFFA593"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Furnizimi me para: M1 (kartëmonedha, monedha, depozita afatshkurtra, në milionë euro)</w:t>
            </w:r>
          </w:p>
        </w:tc>
        <w:tc>
          <w:tcPr>
            <w:tcW w:w="568" w:type="dxa"/>
          </w:tcPr>
          <w:p w14:paraId="597FB9AA" w14:textId="77777777" w:rsidR="0088112C" w:rsidRPr="004D53EC" w:rsidRDefault="0088112C" w:rsidP="005760FF">
            <w:pPr>
              <w:pStyle w:val="TableParagraph"/>
              <w:ind w:left="0"/>
              <w:jc w:val="left"/>
              <w:rPr>
                <w:sz w:val="14"/>
                <w:lang w:val="sq-AL"/>
              </w:rPr>
            </w:pPr>
          </w:p>
        </w:tc>
        <w:tc>
          <w:tcPr>
            <w:tcW w:w="1134" w:type="dxa"/>
          </w:tcPr>
          <w:p w14:paraId="1402909E"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1 998.9 w</w:t>
            </w:r>
          </w:p>
        </w:tc>
        <w:tc>
          <w:tcPr>
            <w:tcW w:w="1134" w:type="dxa"/>
          </w:tcPr>
          <w:p w14:paraId="4172B96B"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3 440.8 w</w:t>
            </w:r>
          </w:p>
        </w:tc>
        <w:tc>
          <w:tcPr>
            <w:tcW w:w="1134" w:type="dxa"/>
          </w:tcPr>
          <w:p w14:paraId="6940044D"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3 752.1 w</w:t>
            </w:r>
          </w:p>
        </w:tc>
        <w:tc>
          <w:tcPr>
            <w:tcW w:w="1134" w:type="dxa"/>
          </w:tcPr>
          <w:p w14:paraId="57F1F449"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4 259.5 w</w:t>
            </w:r>
          </w:p>
        </w:tc>
        <w:tc>
          <w:tcPr>
            <w:tcW w:w="1134" w:type="dxa"/>
          </w:tcPr>
          <w:p w14:paraId="78356716"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5 149.2 w</w:t>
            </w:r>
          </w:p>
        </w:tc>
        <w:tc>
          <w:tcPr>
            <w:tcW w:w="1134" w:type="dxa"/>
          </w:tcPr>
          <w:p w14:paraId="33C0BDA4"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5 727.5 w</w:t>
            </w:r>
          </w:p>
        </w:tc>
      </w:tr>
      <w:tr w:rsidR="0088112C" w:rsidRPr="004D53EC" w14:paraId="52735780" w14:textId="77777777" w:rsidTr="005760FF">
        <w:trPr>
          <w:trHeight w:val="222"/>
        </w:trPr>
        <w:tc>
          <w:tcPr>
            <w:tcW w:w="6804" w:type="dxa"/>
          </w:tcPr>
          <w:p w14:paraId="735CBF99"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 xml:space="preserve">Furnizimi me para: M2 (M1 plus depozita me </w:t>
            </w:r>
            <w:proofErr w:type="spellStart"/>
            <w:r w:rsidRPr="004D53EC">
              <w:rPr>
                <w:sz w:val="16"/>
                <w:lang w:val="sq-AL" w:bidi="sq-AL"/>
              </w:rPr>
              <w:t>maturim</w:t>
            </w:r>
            <w:proofErr w:type="spellEnd"/>
            <w:r w:rsidRPr="004D53EC">
              <w:rPr>
                <w:sz w:val="16"/>
                <w:lang w:val="sq-AL" w:bidi="sq-AL"/>
              </w:rPr>
              <w:t xml:space="preserve"> deri në dy vjet, në milionë euro)</w:t>
            </w:r>
          </w:p>
        </w:tc>
        <w:tc>
          <w:tcPr>
            <w:tcW w:w="568" w:type="dxa"/>
          </w:tcPr>
          <w:p w14:paraId="482F3AE8" w14:textId="77777777" w:rsidR="0088112C" w:rsidRPr="004D53EC" w:rsidRDefault="0088112C" w:rsidP="005760FF">
            <w:pPr>
              <w:pStyle w:val="TableParagraph"/>
              <w:ind w:left="0"/>
              <w:jc w:val="left"/>
              <w:rPr>
                <w:sz w:val="14"/>
                <w:lang w:val="sq-AL"/>
              </w:rPr>
            </w:pPr>
          </w:p>
        </w:tc>
        <w:tc>
          <w:tcPr>
            <w:tcW w:w="1134" w:type="dxa"/>
          </w:tcPr>
          <w:p w14:paraId="56F3A687" w14:textId="77777777" w:rsidR="0088112C" w:rsidRPr="004D53EC" w:rsidRDefault="0088112C" w:rsidP="005760FF">
            <w:pPr>
              <w:pStyle w:val="TableParagraph"/>
              <w:spacing w:line="184" w:lineRule="exact"/>
              <w:ind w:right="3"/>
              <w:rPr>
                <w:rFonts w:ascii="Arial MT"/>
                <w:sz w:val="16"/>
                <w:lang w:val="sq-AL"/>
              </w:rPr>
            </w:pPr>
            <w:r w:rsidRPr="004D53EC">
              <w:rPr>
                <w:sz w:val="16"/>
                <w:lang w:val="sq-AL" w:bidi="sq-AL"/>
              </w:rPr>
              <w:t>4 387.2 w</w:t>
            </w:r>
          </w:p>
        </w:tc>
        <w:tc>
          <w:tcPr>
            <w:tcW w:w="1134" w:type="dxa"/>
          </w:tcPr>
          <w:p w14:paraId="5C48777C" w14:textId="77777777" w:rsidR="0088112C" w:rsidRPr="004D53EC" w:rsidRDefault="0088112C" w:rsidP="005760FF">
            <w:pPr>
              <w:pStyle w:val="TableParagraph"/>
              <w:spacing w:line="184" w:lineRule="exact"/>
              <w:ind w:right="3"/>
              <w:rPr>
                <w:rFonts w:ascii="Arial MT"/>
                <w:sz w:val="16"/>
                <w:lang w:val="sq-AL"/>
              </w:rPr>
            </w:pPr>
            <w:r w:rsidRPr="004D53EC">
              <w:rPr>
                <w:sz w:val="16"/>
                <w:lang w:val="sq-AL" w:bidi="sq-AL"/>
              </w:rPr>
              <w:t>5 508.2 w</w:t>
            </w:r>
          </w:p>
        </w:tc>
        <w:tc>
          <w:tcPr>
            <w:tcW w:w="1134" w:type="dxa"/>
          </w:tcPr>
          <w:p w14:paraId="631CC635" w14:textId="77777777" w:rsidR="0088112C" w:rsidRPr="004D53EC" w:rsidRDefault="0088112C" w:rsidP="005760FF">
            <w:pPr>
              <w:pStyle w:val="TableParagraph"/>
              <w:spacing w:line="184" w:lineRule="exact"/>
              <w:ind w:right="3"/>
              <w:rPr>
                <w:rFonts w:ascii="Arial MT"/>
                <w:sz w:val="16"/>
                <w:lang w:val="sq-AL"/>
              </w:rPr>
            </w:pPr>
            <w:r w:rsidRPr="004D53EC">
              <w:rPr>
                <w:sz w:val="16"/>
                <w:lang w:val="sq-AL" w:bidi="sq-AL"/>
              </w:rPr>
              <w:t>5 732.2 w</w:t>
            </w:r>
          </w:p>
        </w:tc>
        <w:tc>
          <w:tcPr>
            <w:tcW w:w="1134" w:type="dxa"/>
          </w:tcPr>
          <w:p w14:paraId="61ECCA40" w14:textId="77777777" w:rsidR="0088112C" w:rsidRPr="004D53EC" w:rsidRDefault="0088112C" w:rsidP="005760FF">
            <w:pPr>
              <w:pStyle w:val="TableParagraph"/>
              <w:spacing w:line="184" w:lineRule="exact"/>
              <w:ind w:right="3"/>
              <w:rPr>
                <w:rFonts w:ascii="Arial MT"/>
                <w:sz w:val="16"/>
                <w:lang w:val="sq-AL"/>
              </w:rPr>
            </w:pPr>
            <w:r w:rsidRPr="004D53EC">
              <w:rPr>
                <w:sz w:val="16"/>
                <w:lang w:val="sq-AL" w:bidi="sq-AL"/>
              </w:rPr>
              <w:t>6 160.4 w</w:t>
            </w:r>
          </w:p>
        </w:tc>
        <w:tc>
          <w:tcPr>
            <w:tcW w:w="1134" w:type="dxa"/>
          </w:tcPr>
          <w:p w14:paraId="5417E1C6" w14:textId="77777777" w:rsidR="0088112C" w:rsidRPr="004D53EC" w:rsidRDefault="0088112C" w:rsidP="005760FF">
            <w:pPr>
              <w:pStyle w:val="TableParagraph"/>
              <w:spacing w:line="184" w:lineRule="exact"/>
              <w:ind w:right="3"/>
              <w:rPr>
                <w:rFonts w:ascii="Arial MT"/>
                <w:sz w:val="16"/>
                <w:lang w:val="sq-AL"/>
              </w:rPr>
            </w:pPr>
            <w:r w:rsidRPr="004D53EC">
              <w:rPr>
                <w:sz w:val="16"/>
                <w:lang w:val="sq-AL" w:bidi="sq-AL"/>
              </w:rPr>
              <w:t>6 967.3 w</w:t>
            </w:r>
          </w:p>
        </w:tc>
        <w:tc>
          <w:tcPr>
            <w:tcW w:w="1134" w:type="dxa"/>
          </w:tcPr>
          <w:p w14:paraId="333D51AE" w14:textId="77777777" w:rsidR="0088112C" w:rsidRPr="004D53EC" w:rsidRDefault="0088112C" w:rsidP="005760FF">
            <w:pPr>
              <w:pStyle w:val="TableParagraph"/>
              <w:spacing w:line="184" w:lineRule="exact"/>
              <w:ind w:right="3"/>
              <w:rPr>
                <w:rFonts w:ascii="Arial MT"/>
                <w:sz w:val="16"/>
                <w:lang w:val="sq-AL"/>
              </w:rPr>
            </w:pPr>
            <w:r w:rsidRPr="004D53EC">
              <w:rPr>
                <w:sz w:val="16"/>
                <w:lang w:val="sq-AL" w:bidi="sq-AL"/>
              </w:rPr>
              <w:t>7 507.8 w</w:t>
            </w:r>
          </w:p>
        </w:tc>
      </w:tr>
      <w:tr w:rsidR="0088112C" w:rsidRPr="004D53EC" w14:paraId="01F4046F" w14:textId="77777777" w:rsidTr="005760FF">
        <w:trPr>
          <w:trHeight w:val="222"/>
        </w:trPr>
        <w:tc>
          <w:tcPr>
            <w:tcW w:w="6804" w:type="dxa"/>
          </w:tcPr>
          <w:p w14:paraId="2DF0BACB"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 xml:space="preserve">Furnizimi me para: M3 (M2 plus instrumente të </w:t>
            </w:r>
            <w:proofErr w:type="spellStart"/>
            <w:r w:rsidRPr="004D53EC">
              <w:rPr>
                <w:sz w:val="16"/>
                <w:lang w:val="sq-AL" w:bidi="sq-AL"/>
              </w:rPr>
              <w:t>tregtueshme</w:t>
            </w:r>
            <w:proofErr w:type="spellEnd"/>
            <w:r w:rsidRPr="004D53EC">
              <w:rPr>
                <w:sz w:val="16"/>
                <w:lang w:val="sq-AL" w:bidi="sq-AL"/>
              </w:rPr>
              <w:t>, në milionë euro)</w:t>
            </w:r>
          </w:p>
        </w:tc>
        <w:tc>
          <w:tcPr>
            <w:tcW w:w="568" w:type="dxa"/>
          </w:tcPr>
          <w:p w14:paraId="073AC9CD" w14:textId="77777777" w:rsidR="0088112C" w:rsidRPr="004D53EC" w:rsidRDefault="0088112C" w:rsidP="005760FF">
            <w:pPr>
              <w:pStyle w:val="TableParagraph"/>
              <w:ind w:left="0"/>
              <w:jc w:val="left"/>
              <w:rPr>
                <w:sz w:val="14"/>
                <w:lang w:val="sq-AL"/>
              </w:rPr>
            </w:pPr>
          </w:p>
        </w:tc>
        <w:tc>
          <w:tcPr>
            <w:tcW w:w="1134" w:type="dxa"/>
          </w:tcPr>
          <w:p w14:paraId="755C7EF5"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7 114.3 w</w:t>
            </w:r>
          </w:p>
        </w:tc>
        <w:tc>
          <w:tcPr>
            <w:tcW w:w="1134" w:type="dxa"/>
          </w:tcPr>
          <w:p w14:paraId="787F73C3"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9 444.2 w</w:t>
            </w:r>
          </w:p>
        </w:tc>
        <w:tc>
          <w:tcPr>
            <w:tcW w:w="1134" w:type="dxa"/>
          </w:tcPr>
          <w:p w14:paraId="4C88FC4C"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9 906.4 w</w:t>
            </w:r>
          </w:p>
        </w:tc>
        <w:tc>
          <w:tcPr>
            <w:tcW w:w="1134" w:type="dxa"/>
          </w:tcPr>
          <w:p w14:paraId="3E43BE36"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10 717.6 w</w:t>
            </w:r>
          </w:p>
        </w:tc>
        <w:tc>
          <w:tcPr>
            <w:tcW w:w="1134" w:type="dxa"/>
          </w:tcPr>
          <w:p w14:paraId="47E4E5D9"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11 771.8 w</w:t>
            </w:r>
          </w:p>
        </w:tc>
        <w:tc>
          <w:tcPr>
            <w:tcW w:w="1134" w:type="dxa"/>
          </w:tcPr>
          <w:p w14:paraId="33529392"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12 929.3 w</w:t>
            </w:r>
          </w:p>
        </w:tc>
      </w:tr>
    </w:tbl>
    <w:p w14:paraId="7D4CB481" w14:textId="77777777" w:rsidR="0088112C" w:rsidRPr="004D53EC" w:rsidRDefault="0088112C" w:rsidP="0088112C">
      <w:pPr>
        <w:pStyle w:val="BodyText"/>
        <w:spacing w:before="2"/>
        <w:ind w:left="0" w:right="0"/>
        <w:jc w:val="left"/>
        <w:rPr>
          <w:sz w:val="5"/>
          <w:lang w:val="sq-AL"/>
        </w:r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04"/>
        <w:gridCol w:w="568"/>
        <w:gridCol w:w="1134"/>
        <w:gridCol w:w="1134"/>
        <w:gridCol w:w="1134"/>
        <w:gridCol w:w="1134"/>
        <w:gridCol w:w="1134"/>
        <w:gridCol w:w="1134"/>
      </w:tblGrid>
      <w:tr w:rsidR="0088112C" w:rsidRPr="004D53EC" w14:paraId="17DFEF1B" w14:textId="77777777" w:rsidTr="005760FF">
        <w:trPr>
          <w:trHeight w:val="222"/>
        </w:trPr>
        <w:tc>
          <w:tcPr>
            <w:tcW w:w="6804" w:type="dxa"/>
          </w:tcPr>
          <w:p w14:paraId="02B5A44E" w14:textId="77777777" w:rsidR="0088112C" w:rsidRPr="004D53EC" w:rsidRDefault="0088112C" w:rsidP="005760FF">
            <w:pPr>
              <w:pStyle w:val="TableParagraph"/>
              <w:spacing w:before="1"/>
              <w:ind w:left="107"/>
              <w:jc w:val="left"/>
              <w:rPr>
                <w:rFonts w:ascii="Arial MT"/>
                <w:sz w:val="16"/>
                <w:lang w:val="sq-AL"/>
              </w:rPr>
            </w:pPr>
            <w:proofErr w:type="spellStart"/>
            <w:r w:rsidRPr="004D53EC">
              <w:rPr>
                <w:sz w:val="16"/>
                <w:lang w:val="sq-AL" w:bidi="sq-AL"/>
              </w:rPr>
              <w:t>Huatë</w:t>
            </w:r>
            <w:proofErr w:type="spellEnd"/>
            <w:r w:rsidRPr="004D53EC">
              <w:rPr>
                <w:sz w:val="16"/>
                <w:lang w:val="sq-AL" w:bidi="sq-AL"/>
              </w:rPr>
              <w:t xml:space="preserve"> totale nga institucionet monetare financiare për banorët (e konsoliduar) (në milionë euro)</w:t>
            </w:r>
          </w:p>
        </w:tc>
        <w:tc>
          <w:tcPr>
            <w:tcW w:w="568" w:type="dxa"/>
          </w:tcPr>
          <w:p w14:paraId="0D6CFAD0" w14:textId="77777777" w:rsidR="0088112C" w:rsidRPr="004D53EC" w:rsidRDefault="0088112C" w:rsidP="005760FF">
            <w:pPr>
              <w:pStyle w:val="TableParagraph"/>
              <w:ind w:left="0"/>
              <w:jc w:val="left"/>
              <w:rPr>
                <w:sz w:val="14"/>
                <w:lang w:val="sq-AL"/>
              </w:rPr>
            </w:pPr>
          </w:p>
        </w:tc>
        <w:tc>
          <w:tcPr>
            <w:tcW w:w="1134" w:type="dxa"/>
          </w:tcPr>
          <w:p w14:paraId="28DEB311"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3 481.5 w</w:t>
            </w:r>
          </w:p>
        </w:tc>
        <w:tc>
          <w:tcPr>
            <w:tcW w:w="1134" w:type="dxa"/>
          </w:tcPr>
          <w:p w14:paraId="028851D2" w14:textId="77777777" w:rsidR="0088112C" w:rsidRPr="004D53EC" w:rsidRDefault="0088112C" w:rsidP="005760FF">
            <w:pPr>
              <w:pStyle w:val="TableParagraph"/>
              <w:spacing w:before="1"/>
              <w:ind w:right="2"/>
              <w:rPr>
                <w:rFonts w:ascii="Arial MT"/>
                <w:sz w:val="16"/>
                <w:lang w:val="sq-AL"/>
              </w:rPr>
            </w:pPr>
            <w:r w:rsidRPr="004D53EC">
              <w:rPr>
                <w:sz w:val="16"/>
                <w:lang w:val="sq-AL" w:bidi="sq-AL"/>
              </w:rPr>
              <w:t>8 690.6</w:t>
            </w:r>
          </w:p>
        </w:tc>
        <w:tc>
          <w:tcPr>
            <w:tcW w:w="1134" w:type="dxa"/>
          </w:tcPr>
          <w:p w14:paraId="42B79312" w14:textId="77777777" w:rsidR="0088112C" w:rsidRPr="004D53EC" w:rsidRDefault="0088112C" w:rsidP="005760FF">
            <w:pPr>
              <w:pStyle w:val="TableParagraph"/>
              <w:spacing w:before="1"/>
              <w:ind w:right="2"/>
              <w:rPr>
                <w:rFonts w:ascii="Arial MT"/>
                <w:sz w:val="16"/>
                <w:lang w:val="sq-AL"/>
              </w:rPr>
            </w:pPr>
            <w:r w:rsidRPr="004D53EC">
              <w:rPr>
                <w:sz w:val="16"/>
                <w:lang w:val="sq-AL" w:bidi="sq-AL"/>
              </w:rPr>
              <w:t>9 462.0</w:t>
            </w:r>
          </w:p>
        </w:tc>
        <w:tc>
          <w:tcPr>
            <w:tcW w:w="1134" w:type="dxa"/>
          </w:tcPr>
          <w:p w14:paraId="1791F2B5" w14:textId="77777777" w:rsidR="0088112C" w:rsidRPr="004D53EC" w:rsidRDefault="0088112C" w:rsidP="005760FF">
            <w:pPr>
              <w:pStyle w:val="TableParagraph"/>
              <w:spacing w:before="1"/>
              <w:ind w:right="2"/>
              <w:rPr>
                <w:rFonts w:ascii="Arial MT"/>
                <w:sz w:val="16"/>
                <w:lang w:val="sq-AL"/>
              </w:rPr>
            </w:pPr>
            <w:r w:rsidRPr="004D53EC">
              <w:rPr>
                <w:sz w:val="16"/>
                <w:lang w:val="sq-AL" w:bidi="sq-AL"/>
              </w:rPr>
              <w:t>10 095.6</w:t>
            </w:r>
          </w:p>
        </w:tc>
        <w:tc>
          <w:tcPr>
            <w:tcW w:w="1134" w:type="dxa"/>
          </w:tcPr>
          <w:p w14:paraId="5518DA13" w14:textId="77777777" w:rsidR="0088112C" w:rsidRPr="004D53EC" w:rsidRDefault="0088112C" w:rsidP="005760FF">
            <w:pPr>
              <w:pStyle w:val="TableParagraph"/>
              <w:spacing w:before="1"/>
              <w:ind w:right="2"/>
              <w:rPr>
                <w:rFonts w:ascii="Arial MT"/>
                <w:sz w:val="16"/>
                <w:lang w:val="sq-AL"/>
              </w:rPr>
            </w:pPr>
            <w:r w:rsidRPr="004D53EC">
              <w:rPr>
                <w:sz w:val="16"/>
                <w:lang w:val="sq-AL" w:bidi="sq-AL"/>
              </w:rPr>
              <w:t>10 696.1</w:t>
            </w:r>
          </w:p>
        </w:tc>
        <w:tc>
          <w:tcPr>
            <w:tcW w:w="1134" w:type="dxa"/>
          </w:tcPr>
          <w:p w14:paraId="35730051" w14:textId="77777777" w:rsidR="0088112C" w:rsidRPr="004D53EC" w:rsidRDefault="0088112C" w:rsidP="005760FF">
            <w:pPr>
              <w:pStyle w:val="TableParagraph"/>
              <w:spacing w:before="1"/>
              <w:ind w:right="2"/>
              <w:rPr>
                <w:rFonts w:ascii="Arial MT"/>
                <w:sz w:val="16"/>
                <w:lang w:val="sq-AL"/>
              </w:rPr>
            </w:pPr>
            <w:r w:rsidRPr="004D53EC">
              <w:rPr>
                <w:sz w:val="16"/>
                <w:lang w:val="sq-AL" w:bidi="sq-AL"/>
              </w:rPr>
              <w:t>12 220.4</w:t>
            </w:r>
          </w:p>
        </w:tc>
      </w:tr>
      <w:tr w:rsidR="0088112C" w:rsidRPr="004D53EC" w14:paraId="12F46577" w14:textId="77777777" w:rsidTr="005760FF">
        <w:trPr>
          <w:trHeight w:val="223"/>
        </w:trPr>
        <w:tc>
          <w:tcPr>
            <w:tcW w:w="6804" w:type="dxa"/>
          </w:tcPr>
          <w:p w14:paraId="04E4A3D2"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 Ndryshimi vjetor i detyrimeve në sektorin financiar (%)</w:t>
            </w:r>
          </w:p>
        </w:tc>
        <w:tc>
          <w:tcPr>
            <w:tcW w:w="568" w:type="dxa"/>
          </w:tcPr>
          <w:p w14:paraId="526D6DEE" w14:textId="77777777" w:rsidR="0088112C" w:rsidRPr="004D53EC" w:rsidRDefault="0088112C" w:rsidP="005760FF">
            <w:pPr>
              <w:pStyle w:val="TableParagraph"/>
              <w:ind w:left="0"/>
              <w:jc w:val="left"/>
              <w:rPr>
                <w:sz w:val="14"/>
                <w:lang w:val="sq-AL"/>
              </w:rPr>
            </w:pPr>
          </w:p>
        </w:tc>
        <w:tc>
          <w:tcPr>
            <w:tcW w:w="1134" w:type="dxa"/>
          </w:tcPr>
          <w:p w14:paraId="4B1F179B"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02D96E7A" w14:textId="77777777" w:rsidR="0088112C" w:rsidRPr="004D53EC" w:rsidRDefault="0088112C" w:rsidP="005760FF">
            <w:pPr>
              <w:pStyle w:val="TableParagraph"/>
              <w:spacing w:before="1"/>
              <w:rPr>
                <w:rFonts w:ascii="Arial MT"/>
                <w:sz w:val="16"/>
                <w:lang w:val="sq-AL"/>
              </w:rPr>
            </w:pPr>
            <w:r w:rsidRPr="004D53EC">
              <w:rPr>
                <w:spacing w:val="-5"/>
                <w:sz w:val="16"/>
                <w:lang w:val="sq-AL" w:bidi="sq-AL"/>
              </w:rPr>
              <w:t>5.7</w:t>
            </w:r>
          </w:p>
        </w:tc>
        <w:tc>
          <w:tcPr>
            <w:tcW w:w="1134" w:type="dxa"/>
          </w:tcPr>
          <w:p w14:paraId="6A6FF7A3" w14:textId="77777777" w:rsidR="0088112C" w:rsidRPr="004D53EC" w:rsidRDefault="0088112C" w:rsidP="005760FF">
            <w:pPr>
              <w:pStyle w:val="TableParagraph"/>
              <w:spacing w:before="1"/>
              <w:rPr>
                <w:rFonts w:ascii="Arial MT"/>
                <w:sz w:val="16"/>
                <w:lang w:val="sq-AL"/>
              </w:rPr>
            </w:pPr>
            <w:r w:rsidRPr="004D53EC">
              <w:rPr>
                <w:spacing w:val="-5"/>
                <w:sz w:val="16"/>
                <w:lang w:val="sq-AL" w:bidi="sq-AL"/>
              </w:rPr>
              <w:t>3.2</w:t>
            </w:r>
          </w:p>
        </w:tc>
        <w:tc>
          <w:tcPr>
            <w:tcW w:w="1134" w:type="dxa"/>
          </w:tcPr>
          <w:p w14:paraId="647C26B2" w14:textId="77777777" w:rsidR="0088112C" w:rsidRPr="004D53EC" w:rsidRDefault="0088112C" w:rsidP="005760FF">
            <w:pPr>
              <w:pStyle w:val="TableParagraph"/>
              <w:spacing w:before="1"/>
              <w:rPr>
                <w:rFonts w:ascii="Arial MT"/>
                <w:sz w:val="16"/>
                <w:lang w:val="sq-AL"/>
              </w:rPr>
            </w:pPr>
            <w:r w:rsidRPr="004D53EC">
              <w:rPr>
                <w:spacing w:val="-5"/>
                <w:sz w:val="16"/>
                <w:lang w:val="sq-AL" w:bidi="sq-AL"/>
              </w:rPr>
              <w:t>2.3</w:t>
            </w:r>
          </w:p>
        </w:tc>
        <w:tc>
          <w:tcPr>
            <w:tcW w:w="1134" w:type="dxa"/>
          </w:tcPr>
          <w:p w14:paraId="09E55C86" w14:textId="77777777" w:rsidR="0088112C" w:rsidRPr="004D53EC" w:rsidRDefault="0088112C" w:rsidP="005760FF">
            <w:pPr>
              <w:pStyle w:val="TableParagraph"/>
              <w:spacing w:before="1"/>
              <w:rPr>
                <w:rFonts w:ascii="Arial MT"/>
                <w:sz w:val="16"/>
                <w:lang w:val="sq-AL"/>
              </w:rPr>
            </w:pPr>
            <w:r w:rsidRPr="004D53EC">
              <w:rPr>
                <w:spacing w:val="-5"/>
                <w:sz w:val="16"/>
                <w:lang w:val="sq-AL" w:bidi="sq-AL"/>
              </w:rPr>
              <w:t>7.5</w:t>
            </w:r>
          </w:p>
        </w:tc>
        <w:tc>
          <w:tcPr>
            <w:tcW w:w="1134" w:type="dxa"/>
          </w:tcPr>
          <w:p w14:paraId="3F1B3CB3" w14:textId="77777777" w:rsidR="0088112C" w:rsidRPr="004D53EC" w:rsidRDefault="0088112C" w:rsidP="005760FF">
            <w:pPr>
              <w:pStyle w:val="TableParagraph"/>
              <w:spacing w:before="1"/>
              <w:rPr>
                <w:rFonts w:ascii="Arial MT"/>
                <w:sz w:val="16"/>
                <w:lang w:val="sq-AL"/>
              </w:rPr>
            </w:pPr>
            <w:r w:rsidRPr="004D53EC">
              <w:rPr>
                <w:spacing w:val="-4"/>
                <w:sz w:val="16"/>
                <w:lang w:val="sq-AL" w:bidi="sq-AL"/>
              </w:rPr>
              <w:t>11.6</w:t>
            </w:r>
          </w:p>
        </w:tc>
      </w:tr>
      <w:tr w:rsidR="0088112C" w:rsidRPr="004D53EC" w14:paraId="15EB49F2" w14:textId="77777777" w:rsidTr="005760FF">
        <w:trPr>
          <w:trHeight w:val="222"/>
        </w:trPr>
        <w:tc>
          <w:tcPr>
            <w:tcW w:w="6804" w:type="dxa"/>
          </w:tcPr>
          <w:p w14:paraId="44E52FD1"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 Fluksi i kredisë private, i konsoliduar, në raport me PBB-në (%)</w:t>
            </w:r>
          </w:p>
        </w:tc>
        <w:tc>
          <w:tcPr>
            <w:tcW w:w="568" w:type="dxa"/>
          </w:tcPr>
          <w:p w14:paraId="27683780" w14:textId="77777777" w:rsidR="0088112C" w:rsidRPr="004D53EC" w:rsidRDefault="0088112C" w:rsidP="005760FF">
            <w:pPr>
              <w:pStyle w:val="TableParagraph"/>
              <w:ind w:left="0"/>
              <w:jc w:val="left"/>
              <w:rPr>
                <w:sz w:val="14"/>
                <w:lang w:val="sq-AL"/>
              </w:rPr>
            </w:pPr>
          </w:p>
        </w:tc>
        <w:tc>
          <w:tcPr>
            <w:tcW w:w="1134" w:type="dxa"/>
          </w:tcPr>
          <w:p w14:paraId="6425E36B"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1C92695F"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37E131C3"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553ECDEB"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656EA688"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60F79A67"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r>
      <w:tr w:rsidR="0088112C" w:rsidRPr="004D53EC" w14:paraId="2F291184" w14:textId="77777777" w:rsidTr="005760FF">
        <w:trPr>
          <w:trHeight w:val="222"/>
        </w:trPr>
        <w:tc>
          <w:tcPr>
            <w:tcW w:w="6804" w:type="dxa"/>
          </w:tcPr>
          <w:p w14:paraId="7E808B4C"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 Borxhi privat, i konsoliduar, në raport me PBB-në (%)</w:t>
            </w:r>
          </w:p>
        </w:tc>
        <w:tc>
          <w:tcPr>
            <w:tcW w:w="568" w:type="dxa"/>
          </w:tcPr>
          <w:p w14:paraId="246CE044" w14:textId="77777777" w:rsidR="0088112C" w:rsidRPr="004D53EC" w:rsidRDefault="0088112C" w:rsidP="005760FF">
            <w:pPr>
              <w:pStyle w:val="TableParagraph"/>
              <w:ind w:left="0"/>
              <w:jc w:val="left"/>
              <w:rPr>
                <w:sz w:val="14"/>
                <w:lang w:val="sq-AL"/>
              </w:rPr>
            </w:pPr>
          </w:p>
        </w:tc>
        <w:tc>
          <w:tcPr>
            <w:tcW w:w="1134" w:type="dxa"/>
          </w:tcPr>
          <w:p w14:paraId="7FE45BB4"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769F01C5" w14:textId="77777777" w:rsidR="0088112C" w:rsidRPr="004D53EC" w:rsidRDefault="0088112C" w:rsidP="005760FF">
            <w:pPr>
              <w:pStyle w:val="TableParagraph"/>
              <w:spacing w:line="184" w:lineRule="exact"/>
              <w:ind w:right="1"/>
              <w:rPr>
                <w:rFonts w:ascii="Arial MT"/>
                <w:sz w:val="16"/>
                <w:lang w:val="sq-AL"/>
              </w:rPr>
            </w:pPr>
            <w:r w:rsidRPr="004D53EC">
              <w:rPr>
                <w:spacing w:val="-5"/>
                <w:sz w:val="16"/>
                <w:lang w:val="sq-AL" w:bidi="sq-AL"/>
              </w:rPr>
              <w:t>59</w:t>
            </w:r>
          </w:p>
        </w:tc>
        <w:tc>
          <w:tcPr>
            <w:tcW w:w="1134" w:type="dxa"/>
          </w:tcPr>
          <w:p w14:paraId="4D13ECA9" w14:textId="77777777" w:rsidR="0088112C" w:rsidRPr="004D53EC" w:rsidRDefault="0088112C" w:rsidP="005760FF">
            <w:pPr>
              <w:pStyle w:val="TableParagraph"/>
              <w:spacing w:line="184" w:lineRule="exact"/>
              <w:ind w:right="1"/>
              <w:rPr>
                <w:rFonts w:ascii="Arial MT"/>
                <w:sz w:val="16"/>
                <w:lang w:val="sq-AL"/>
              </w:rPr>
            </w:pPr>
            <w:r w:rsidRPr="004D53EC">
              <w:rPr>
                <w:spacing w:val="-5"/>
                <w:sz w:val="16"/>
                <w:lang w:val="sq-AL" w:bidi="sq-AL"/>
              </w:rPr>
              <w:t>54</w:t>
            </w:r>
          </w:p>
        </w:tc>
        <w:tc>
          <w:tcPr>
            <w:tcW w:w="1134" w:type="dxa"/>
          </w:tcPr>
          <w:p w14:paraId="106AE03F" w14:textId="77777777" w:rsidR="0088112C" w:rsidRPr="004D53EC" w:rsidRDefault="0088112C" w:rsidP="005760FF">
            <w:pPr>
              <w:pStyle w:val="TableParagraph"/>
              <w:spacing w:line="184" w:lineRule="exact"/>
              <w:ind w:right="1"/>
              <w:rPr>
                <w:rFonts w:ascii="Arial MT"/>
                <w:sz w:val="16"/>
                <w:lang w:val="sq-AL"/>
              </w:rPr>
            </w:pPr>
            <w:r w:rsidRPr="004D53EC">
              <w:rPr>
                <w:spacing w:val="-5"/>
                <w:sz w:val="16"/>
                <w:lang w:val="sq-AL" w:bidi="sq-AL"/>
              </w:rPr>
              <w:t>54</w:t>
            </w:r>
          </w:p>
        </w:tc>
        <w:tc>
          <w:tcPr>
            <w:tcW w:w="1134" w:type="dxa"/>
          </w:tcPr>
          <w:p w14:paraId="6F2983FC" w14:textId="77777777" w:rsidR="0088112C" w:rsidRPr="004D53EC" w:rsidRDefault="0088112C" w:rsidP="005760FF">
            <w:pPr>
              <w:pStyle w:val="TableParagraph"/>
              <w:spacing w:line="184" w:lineRule="exact"/>
              <w:ind w:right="1"/>
              <w:rPr>
                <w:rFonts w:ascii="Arial MT"/>
                <w:sz w:val="16"/>
                <w:lang w:val="sq-AL"/>
              </w:rPr>
            </w:pPr>
            <w:r w:rsidRPr="004D53EC">
              <w:rPr>
                <w:spacing w:val="-5"/>
                <w:sz w:val="16"/>
                <w:lang w:val="sq-AL" w:bidi="sq-AL"/>
              </w:rPr>
              <w:t>58</w:t>
            </w:r>
          </w:p>
        </w:tc>
        <w:tc>
          <w:tcPr>
            <w:tcW w:w="1134" w:type="dxa"/>
          </w:tcPr>
          <w:p w14:paraId="26B9561B" w14:textId="77777777" w:rsidR="0088112C" w:rsidRPr="004D53EC" w:rsidRDefault="0088112C" w:rsidP="005760FF">
            <w:pPr>
              <w:pStyle w:val="TableParagraph"/>
              <w:spacing w:line="184" w:lineRule="exact"/>
              <w:rPr>
                <w:rFonts w:ascii="Arial MT"/>
                <w:sz w:val="16"/>
                <w:lang w:val="sq-AL"/>
              </w:rPr>
            </w:pPr>
            <w:r w:rsidRPr="004D53EC">
              <w:rPr>
                <w:sz w:val="16"/>
                <w:lang w:val="sq-AL" w:bidi="sq-AL"/>
              </w:rPr>
              <w:t>55 p</w:t>
            </w:r>
          </w:p>
        </w:tc>
      </w:tr>
      <w:tr w:rsidR="0088112C" w:rsidRPr="004D53EC" w14:paraId="7DDAD90C" w14:textId="77777777" w:rsidTr="005760FF">
        <w:trPr>
          <w:trHeight w:val="223"/>
        </w:trPr>
        <w:tc>
          <w:tcPr>
            <w:tcW w:w="6804" w:type="dxa"/>
          </w:tcPr>
          <w:p w14:paraId="5591C846"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Normat e interesit: norma ditore e parave, në vit (%)</w:t>
            </w:r>
          </w:p>
        </w:tc>
        <w:tc>
          <w:tcPr>
            <w:tcW w:w="568" w:type="dxa"/>
          </w:tcPr>
          <w:p w14:paraId="54BCFEAB" w14:textId="77777777" w:rsidR="0088112C" w:rsidRPr="004D53EC" w:rsidRDefault="0088112C" w:rsidP="005760FF">
            <w:pPr>
              <w:pStyle w:val="TableParagraph"/>
              <w:spacing w:before="1"/>
              <w:ind w:left="0" w:right="92"/>
              <w:jc w:val="right"/>
              <w:rPr>
                <w:rFonts w:ascii="Arial MT"/>
                <w:sz w:val="16"/>
                <w:lang w:val="sq-AL"/>
              </w:rPr>
            </w:pPr>
            <w:r w:rsidRPr="004D53EC">
              <w:rPr>
                <w:spacing w:val="-5"/>
                <w:sz w:val="16"/>
                <w:lang w:val="sq-AL" w:bidi="sq-AL"/>
              </w:rPr>
              <w:t>5)</w:t>
            </w:r>
          </w:p>
        </w:tc>
        <w:tc>
          <w:tcPr>
            <w:tcW w:w="1134" w:type="dxa"/>
          </w:tcPr>
          <w:p w14:paraId="7182CCC5" w14:textId="77777777" w:rsidR="0088112C" w:rsidRPr="004D53EC" w:rsidRDefault="0088112C" w:rsidP="005760FF">
            <w:pPr>
              <w:pStyle w:val="TableParagraph"/>
              <w:spacing w:before="1"/>
              <w:ind w:left="330"/>
              <w:jc w:val="left"/>
              <w:rPr>
                <w:rFonts w:ascii="Arial MT"/>
                <w:sz w:val="16"/>
                <w:lang w:val="sq-AL"/>
              </w:rPr>
            </w:pPr>
            <w:r w:rsidRPr="004D53EC">
              <w:rPr>
                <w:sz w:val="16"/>
                <w:lang w:val="sq-AL" w:bidi="sq-AL"/>
              </w:rPr>
              <w:t>5.37 w</w:t>
            </w:r>
          </w:p>
        </w:tc>
        <w:tc>
          <w:tcPr>
            <w:tcW w:w="1134" w:type="dxa"/>
          </w:tcPr>
          <w:p w14:paraId="41F69BED" w14:textId="77777777" w:rsidR="0088112C" w:rsidRPr="004D53EC" w:rsidRDefault="0088112C" w:rsidP="005760FF">
            <w:pPr>
              <w:pStyle w:val="TableParagraph"/>
              <w:spacing w:before="1"/>
              <w:ind w:left="330"/>
              <w:jc w:val="left"/>
              <w:rPr>
                <w:rFonts w:ascii="Arial MT"/>
                <w:sz w:val="16"/>
                <w:lang w:val="sq-AL"/>
              </w:rPr>
            </w:pPr>
            <w:r w:rsidRPr="004D53EC">
              <w:rPr>
                <w:sz w:val="16"/>
                <w:lang w:val="sq-AL" w:bidi="sq-AL"/>
              </w:rPr>
              <w:t>1.34 w</w:t>
            </w:r>
          </w:p>
        </w:tc>
        <w:tc>
          <w:tcPr>
            <w:tcW w:w="1134" w:type="dxa"/>
          </w:tcPr>
          <w:p w14:paraId="2CC89E67" w14:textId="77777777" w:rsidR="0088112C" w:rsidRPr="004D53EC" w:rsidRDefault="0088112C" w:rsidP="005760FF">
            <w:pPr>
              <w:pStyle w:val="TableParagraph"/>
              <w:spacing w:before="1"/>
              <w:ind w:left="330"/>
              <w:jc w:val="left"/>
              <w:rPr>
                <w:rFonts w:ascii="Arial MT"/>
                <w:sz w:val="16"/>
                <w:lang w:val="sq-AL"/>
              </w:rPr>
            </w:pPr>
            <w:r w:rsidRPr="004D53EC">
              <w:rPr>
                <w:sz w:val="16"/>
                <w:lang w:val="sq-AL" w:bidi="sq-AL"/>
              </w:rPr>
              <w:t>1.24 w</w:t>
            </w:r>
          </w:p>
        </w:tc>
        <w:tc>
          <w:tcPr>
            <w:tcW w:w="1134" w:type="dxa"/>
          </w:tcPr>
          <w:p w14:paraId="27719DF3" w14:textId="77777777" w:rsidR="0088112C" w:rsidRPr="004D53EC" w:rsidRDefault="0088112C" w:rsidP="005760FF">
            <w:pPr>
              <w:pStyle w:val="TableParagraph"/>
              <w:spacing w:before="1"/>
              <w:ind w:left="330"/>
              <w:jc w:val="left"/>
              <w:rPr>
                <w:rFonts w:ascii="Arial MT"/>
                <w:sz w:val="16"/>
                <w:lang w:val="sq-AL"/>
              </w:rPr>
            </w:pPr>
            <w:r w:rsidRPr="004D53EC">
              <w:rPr>
                <w:sz w:val="16"/>
                <w:lang w:val="sq-AL" w:bidi="sq-AL"/>
              </w:rPr>
              <w:t>1.10 w</w:t>
            </w:r>
          </w:p>
        </w:tc>
        <w:tc>
          <w:tcPr>
            <w:tcW w:w="1134" w:type="dxa"/>
          </w:tcPr>
          <w:p w14:paraId="4CC54686" w14:textId="77777777" w:rsidR="0088112C" w:rsidRPr="004D53EC" w:rsidRDefault="0088112C" w:rsidP="005760FF">
            <w:pPr>
              <w:pStyle w:val="TableParagraph"/>
              <w:spacing w:before="1"/>
              <w:ind w:left="330"/>
              <w:jc w:val="left"/>
              <w:rPr>
                <w:rFonts w:ascii="Arial MT"/>
                <w:sz w:val="16"/>
                <w:lang w:val="sq-AL"/>
              </w:rPr>
            </w:pPr>
            <w:r w:rsidRPr="004D53EC">
              <w:rPr>
                <w:sz w:val="16"/>
                <w:lang w:val="sq-AL" w:bidi="sq-AL"/>
              </w:rPr>
              <w:t>0.73 w</w:t>
            </w:r>
          </w:p>
        </w:tc>
        <w:tc>
          <w:tcPr>
            <w:tcW w:w="1134" w:type="dxa"/>
          </w:tcPr>
          <w:p w14:paraId="472F54F3" w14:textId="77777777" w:rsidR="0088112C" w:rsidRPr="004D53EC" w:rsidRDefault="0088112C" w:rsidP="005760FF">
            <w:pPr>
              <w:pStyle w:val="TableParagraph"/>
              <w:spacing w:before="1"/>
              <w:ind w:left="330"/>
              <w:jc w:val="left"/>
              <w:rPr>
                <w:rFonts w:ascii="Arial MT"/>
                <w:sz w:val="16"/>
                <w:lang w:val="sq-AL"/>
              </w:rPr>
            </w:pPr>
            <w:r w:rsidRPr="004D53EC">
              <w:rPr>
                <w:sz w:val="16"/>
                <w:lang w:val="sq-AL" w:bidi="sq-AL"/>
              </w:rPr>
              <w:t>0.65 w</w:t>
            </w:r>
          </w:p>
        </w:tc>
      </w:tr>
      <w:tr w:rsidR="0088112C" w:rsidRPr="004D53EC" w14:paraId="2605BBF3" w14:textId="77777777" w:rsidTr="005760FF">
        <w:trPr>
          <w:trHeight w:val="222"/>
        </w:trPr>
        <w:tc>
          <w:tcPr>
            <w:tcW w:w="6804" w:type="dxa"/>
          </w:tcPr>
          <w:p w14:paraId="4FC59B58"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Norma e interesit të huadhënies (një vit), në vit (%)</w:t>
            </w:r>
          </w:p>
        </w:tc>
        <w:tc>
          <w:tcPr>
            <w:tcW w:w="568" w:type="dxa"/>
          </w:tcPr>
          <w:p w14:paraId="6AE54DB7" w14:textId="77777777" w:rsidR="0088112C" w:rsidRPr="004D53EC" w:rsidRDefault="0088112C" w:rsidP="005760FF">
            <w:pPr>
              <w:pStyle w:val="TableParagraph"/>
              <w:spacing w:line="184" w:lineRule="exact"/>
              <w:ind w:left="0" w:right="92"/>
              <w:jc w:val="right"/>
              <w:rPr>
                <w:rFonts w:ascii="Arial MT"/>
                <w:sz w:val="16"/>
                <w:lang w:val="sq-AL"/>
              </w:rPr>
            </w:pPr>
            <w:r w:rsidRPr="004D53EC">
              <w:rPr>
                <w:spacing w:val="-5"/>
                <w:sz w:val="16"/>
                <w:lang w:val="sq-AL" w:bidi="sq-AL"/>
              </w:rPr>
              <w:t>6)</w:t>
            </w:r>
          </w:p>
        </w:tc>
        <w:tc>
          <w:tcPr>
            <w:tcW w:w="1134" w:type="dxa"/>
          </w:tcPr>
          <w:p w14:paraId="79E36202" w14:textId="77777777" w:rsidR="0088112C" w:rsidRPr="004D53EC" w:rsidRDefault="0088112C" w:rsidP="005760FF">
            <w:pPr>
              <w:pStyle w:val="TableParagraph"/>
              <w:spacing w:line="184" w:lineRule="exact"/>
              <w:ind w:left="286"/>
              <w:jc w:val="left"/>
              <w:rPr>
                <w:rFonts w:ascii="Arial MT"/>
                <w:sz w:val="16"/>
                <w:lang w:val="sq-AL"/>
              </w:rPr>
            </w:pPr>
            <w:r w:rsidRPr="004D53EC">
              <w:rPr>
                <w:sz w:val="16"/>
                <w:lang w:val="sq-AL" w:bidi="sq-AL"/>
              </w:rPr>
              <w:t>11.29 w</w:t>
            </w:r>
          </w:p>
        </w:tc>
        <w:tc>
          <w:tcPr>
            <w:tcW w:w="1134" w:type="dxa"/>
          </w:tcPr>
          <w:p w14:paraId="2333E2BC" w14:textId="77777777" w:rsidR="0088112C" w:rsidRPr="004D53EC" w:rsidRDefault="0088112C" w:rsidP="005760FF">
            <w:pPr>
              <w:pStyle w:val="TableParagraph"/>
              <w:spacing w:line="184" w:lineRule="exact"/>
              <w:ind w:left="330"/>
              <w:jc w:val="left"/>
              <w:rPr>
                <w:rFonts w:ascii="Arial MT"/>
                <w:sz w:val="16"/>
                <w:lang w:val="sq-AL"/>
              </w:rPr>
            </w:pPr>
            <w:r w:rsidRPr="004D53EC">
              <w:rPr>
                <w:sz w:val="16"/>
                <w:lang w:val="sq-AL" w:bidi="sq-AL"/>
              </w:rPr>
              <w:t>5.98 w</w:t>
            </w:r>
          </w:p>
        </w:tc>
        <w:tc>
          <w:tcPr>
            <w:tcW w:w="1134" w:type="dxa"/>
          </w:tcPr>
          <w:p w14:paraId="188E1174" w14:textId="77777777" w:rsidR="0088112C" w:rsidRPr="004D53EC" w:rsidRDefault="0088112C" w:rsidP="005760FF">
            <w:pPr>
              <w:pStyle w:val="TableParagraph"/>
              <w:spacing w:line="184" w:lineRule="exact"/>
              <w:ind w:left="330"/>
              <w:jc w:val="left"/>
              <w:rPr>
                <w:rFonts w:ascii="Arial MT"/>
                <w:sz w:val="16"/>
                <w:lang w:val="sq-AL"/>
              </w:rPr>
            </w:pPr>
            <w:r w:rsidRPr="004D53EC">
              <w:rPr>
                <w:sz w:val="16"/>
                <w:lang w:val="sq-AL" w:bidi="sq-AL"/>
              </w:rPr>
              <w:t>5.66 w</w:t>
            </w:r>
          </w:p>
        </w:tc>
        <w:tc>
          <w:tcPr>
            <w:tcW w:w="1134" w:type="dxa"/>
          </w:tcPr>
          <w:p w14:paraId="1D4049BD" w14:textId="77777777" w:rsidR="0088112C" w:rsidRPr="004D53EC" w:rsidRDefault="0088112C" w:rsidP="005760FF">
            <w:pPr>
              <w:pStyle w:val="TableParagraph"/>
              <w:spacing w:line="184" w:lineRule="exact"/>
              <w:ind w:left="330"/>
              <w:jc w:val="left"/>
              <w:rPr>
                <w:rFonts w:ascii="Arial MT"/>
                <w:sz w:val="16"/>
                <w:lang w:val="sq-AL"/>
              </w:rPr>
            </w:pPr>
            <w:r w:rsidRPr="004D53EC">
              <w:rPr>
                <w:sz w:val="16"/>
                <w:lang w:val="sq-AL" w:bidi="sq-AL"/>
              </w:rPr>
              <w:t>6.25 w</w:t>
            </w:r>
          </w:p>
        </w:tc>
        <w:tc>
          <w:tcPr>
            <w:tcW w:w="1134" w:type="dxa"/>
          </w:tcPr>
          <w:p w14:paraId="46598CC9" w14:textId="77777777" w:rsidR="0088112C" w:rsidRPr="004D53EC" w:rsidRDefault="0088112C" w:rsidP="005760FF">
            <w:pPr>
              <w:pStyle w:val="TableParagraph"/>
              <w:spacing w:line="184" w:lineRule="exact"/>
              <w:ind w:left="330"/>
              <w:jc w:val="left"/>
              <w:rPr>
                <w:rFonts w:ascii="Arial MT"/>
                <w:sz w:val="16"/>
                <w:lang w:val="sq-AL"/>
              </w:rPr>
            </w:pPr>
            <w:r w:rsidRPr="004D53EC">
              <w:rPr>
                <w:sz w:val="16"/>
                <w:lang w:val="sq-AL" w:bidi="sq-AL"/>
              </w:rPr>
              <w:t>6.05 w</w:t>
            </w:r>
          </w:p>
        </w:tc>
        <w:tc>
          <w:tcPr>
            <w:tcW w:w="1134" w:type="dxa"/>
          </w:tcPr>
          <w:p w14:paraId="747ACC8A" w14:textId="77777777" w:rsidR="0088112C" w:rsidRPr="004D53EC" w:rsidRDefault="0088112C" w:rsidP="005760FF">
            <w:pPr>
              <w:pStyle w:val="TableParagraph"/>
              <w:spacing w:line="184" w:lineRule="exact"/>
              <w:ind w:left="330"/>
              <w:jc w:val="left"/>
              <w:rPr>
                <w:rFonts w:ascii="Arial MT"/>
                <w:sz w:val="16"/>
                <w:lang w:val="sq-AL"/>
              </w:rPr>
            </w:pPr>
            <w:r w:rsidRPr="004D53EC">
              <w:rPr>
                <w:sz w:val="16"/>
                <w:lang w:val="sq-AL" w:bidi="sq-AL"/>
              </w:rPr>
              <w:t>5.91 w</w:t>
            </w:r>
          </w:p>
        </w:tc>
      </w:tr>
      <w:tr w:rsidR="0088112C" w:rsidRPr="004D53EC" w14:paraId="7ACABB2F" w14:textId="77777777" w:rsidTr="005760FF">
        <w:trPr>
          <w:trHeight w:val="222"/>
        </w:trPr>
        <w:tc>
          <w:tcPr>
            <w:tcW w:w="6804" w:type="dxa"/>
          </w:tcPr>
          <w:p w14:paraId="45082FD2"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Norma e interesit të depozitave (një vit), në vit (%)</w:t>
            </w:r>
          </w:p>
        </w:tc>
        <w:tc>
          <w:tcPr>
            <w:tcW w:w="568" w:type="dxa"/>
          </w:tcPr>
          <w:p w14:paraId="661F5D42" w14:textId="77777777" w:rsidR="0088112C" w:rsidRPr="004D53EC" w:rsidRDefault="0088112C" w:rsidP="005760FF">
            <w:pPr>
              <w:pStyle w:val="TableParagraph"/>
              <w:spacing w:line="184" w:lineRule="exact"/>
              <w:ind w:left="0" w:right="92"/>
              <w:jc w:val="right"/>
              <w:rPr>
                <w:rFonts w:ascii="Arial MT"/>
                <w:sz w:val="16"/>
                <w:lang w:val="sq-AL"/>
              </w:rPr>
            </w:pPr>
            <w:r w:rsidRPr="004D53EC">
              <w:rPr>
                <w:spacing w:val="-5"/>
                <w:sz w:val="16"/>
                <w:lang w:val="sq-AL" w:bidi="sq-AL"/>
              </w:rPr>
              <w:t>7)</w:t>
            </w:r>
          </w:p>
        </w:tc>
        <w:tc>
          <w:tcPr>
            <w:tcW w:w="1134" w:type="dxa"/>
          </w:tcPr>
          <w:p w14:paraId="5C49A23D" w14:textId="77777777" w:rsidR="0088112C" w:rsidRPr="004D53EC" w:rsidRDefault="0088112C" w:rsidP="005760FF">
            <w:pPr>
              <w:pStyle w:val="TableParagraph"/>
              <w:spacing w:line="184" w:lineRule="exact"/>
              <w:ind w:left="330"/>
              <w:jc w:val="left"/>
              <w:rPr>
                <w:rFonts w:ascii="Arial MT"/>
                <w:sz w:val="16"/>
                <w:lang w:val="sq-AL"/>
              </w:rPr>
            </w:pPr>
            <w:r w:rsidRPr="004D53EC">
              <w:rPr>
                <w:sz w:val="16"/>
                <w:lang w:val="sq-AL" w:bidi="sq-AL"/>
              </w:rPr>
              <w:t>6.40 w</w:t>
            </w:r>
          </w:p>
        </w:tc>
        <w:tc>
          <w:tcPr>
            <w:tcW w:w="1134" w:type="dxa"/>
          </w:tcPr>
          <w:p w14:paraId="0FE1E245" w14:textId="77777777" w:rsidR="0088112C" w:rsidRPr="004D53EC" w:rsidRDefault="0088112C" w:rsidP="005760FF">
            <w:pPr>
              <w:pStyle w:val="TableParagraph"/>
              <w:spacing w:line="184" w:lineRule="exact"/>
              <w:ind w:left="330"/>
              <w:jc w:val="left"/>
              <w:rPr>
                <w:rFonts w:ascii="Arial MT"/>
                <w:sz w:val="16"/>
                <w:lang w:val="sq-AL"/>
              </w:rPr>
            </w:pPr>
            <w:r w:rsidRPr="004D53EC">
              <w:rPr>
                <w:sz w:val="16"/>
                <w:lang w:val="sq-AL" w:bidi="sq-AL"/>
              </w:rPr>
              <w:t>0.75 w</w:t>
            </w:r>
          </w:p>
        </w:tc>
        <w:tc>
          <w:tcPr>
            <w:tcW w:w="1134" w:type="dxa"/>
          </w:tcPr>
          <w:p w14:paraId="67B217F4" w14:textId="77777777" w:rsidR="0088112C" w:rsidRPr="004D53EC" w:rsidRDefault="0088112C" w:rsidP="005760FF">
            <w:pPr>
              <w:pStyle w:val="TableParagraph"/>
              <w:spacing w:line="184" w:lineRule="exact"/>
              <w:ind w:left="330"/>
              <w:jc w:val="left"/>
              <w:rPr>
                <w:rFonts w:ascii="Arial MT"/>
                <w:sz w:val="16"/>
                <w:lang w:val="sq-AL"/>
              </w:rPr>
            </w:pPr>
            <w:r w:rsidRPr="004D53EC">
              <w:rPr>
                <w:sz w:val="16"/>
                <w:lang w:val="sq-AL" w:bidi="sq-AL"/>
              </w:rPr>
              <w:t>0.73 w</w:t>
            </w:r>
          </w:p>
        </w:tc>
        <w:tc>
          <w:tcPr>
            <w:tcW w:w="1134" w:type="dxa"/>
          </w:tcPr>
          <w:p w14:paraId="364DCFE5" w14:textId="77777777" w:rsidR="0088112C" w:rsidRPr="004D53EC" w:rsidRDefault="0088112C" w:rsidP="005760FF">
            <w:pPr>
              <w:pStyle w:val="TableParagraph"/>
              <w:spacing w:line="184" w:lineRule="exact"/>
              <w:ind w:left="330"/>
              <w:jc w:val="left"/>
              <w:rPr>
                <w:rFonts w:ascii="Arial MT"/>
                <w:sz w:val="16"/>
                <w:lang w:val="sq-AL"/>
              </w:rPr>
            </w:pPr>
            <w:r w:rsidRPr="004D53EC">
              <w:rPr>
                <w:sz w:val="16"/>
                <w:lang w:val="sq-AL" w:bidi="sq-AL"/>
              </w:rPr>
              <w:t>0.49 w</w:t>
            </w:r>
          </w:p>
        </w:tc>
        <w:tc>
          <w:tcPr>
            <w:tcW w:w="1134" w:type="dxa"/>
          </w:tcPr>
          <w:p w14:paraId="622D5F61" w14:textId="77777777" w:rsidR="0088112C" w:rsidRPr="004D53EC" w:rsidRDefault="0088112C" w:rsidP="005760FF">
            <w:pPr>
              <w:pStyle w:val="TableParagraph"/>
              <w:spacing w:line="184" w:lineRule="exact"/>
              <w:ind w:left="330"/>
              <w:jc w:val="left"/>
              <w:rPr>
                <w:rFonts w:ascii="Arial MT"/>
                <w:sz w:val="16"/>
                <w:lang w:val="sq-AL"/>
              </w:rPr>
            </w:pPr>
            <w:r w:rsidRPr="004D53EC">
              <w:rPr>
                <w:sz w:val="16"/>
                <w:lang w:val="sq-AL" w:bidi="sq-AL"/>
              </w:rPr>
              <w:t>0.40 w</w:t>
            </w:r>
          </w:p>
        </w:tc>
        <w:tc>
          <w:tcPr>
            <w:tcW w:w="1134" w:type="dxa"/>
          </w:tcPr>
          <w:p w14:paraId="01B0E841" w14:textId="77777777" w:rsidR="0088112C" w:rsidRPr="004D53EC" w:rsidRDefault="0088112C" w:rsidP="005760FF">
            <w:pPr>
              <w:pStyle w:val="TableParagraph"/>
              <w:spacing w:line="184" w:lineRule="exact"/>
              <w:ind w:left="330"/>
              <w:jc w:val="left"/>
              <w:rPr>
                <w:rFonts w:ascii="Arial MT"/>
                <w:sz w:val="16"/>
                <w:lang w:val="sq-AL"/>
              </w:rPr>
            </w:pPr>
            <w:r w:rsidRPr="004D53EC">
              <w:rPr>
                <w:sz w:val="16"/>
                <w:lang w:val="sq-AL" w:bidi="sq-AL"/>
              </w:rPr>
              <w:t>0.48 w</w:t>
            </w:r>
          </w:p>
        </w:tc>
      </w:tr>
      <w:tr w:rsidR="0088112C" w:rsidRPr="004D53EC" w14:paraId="0E6A306D" w14:textId="77777777" w:rsidTr="005760FF">
        <w:trPr>
          <w:trHeight w:val="223"/>
        </w:trPr>
        <w:tc>
          <w:tcPr>
            <w:tcW w:w="6804" w:type="dxa"/>
          </w:tcPr>
          <w:p w14:paraId="4E7BF568" w14:textId="77777777" w:rsidR="0088112C" w:rsidRPr="004D53EC" w:rsidRDefault="0088112C" w:rsidP="005760FF">
            <w:pPr>
              <w:pStyle w:val="TableParagraph"/>
              <w:spacing w:before="1"/>
              <w:ind w:left="107"/>
              <w:jc w:val="left"/>
              <w:rPr>
                <w:rFonts w:ascii="Arial MT" w:hAnsi="Arial MT"/>
                <w:sz w:val="16"/>
                <w:lang w:val="sq-AL"/>
              </w:rPr>
            </w:pPr>
            <w:r w:rsidRPr="004D53EC">
              <w:rPr>
                <w:sz w:val="16"/>
                <w:lang w:val="sq-AL" w:bidi="sq-AL"/>
              </w:rPr>
              <w:t>Kurset e këmbimit valutor të euros: periudhë mesatare 1 vjeçare (euro = … monedhë kombëtare)</w:t>
            </w:r>
          </w:p>
        </w:tc>
        <w:tc>
          <w:tcPr>
            <w:tcW w:w="568" w:type="dxa"/>
          </w:tcPr>
          <w:p w14:paraId="048286F4" w14:textId="77777777" w:rsidR="0088112C" w:rsidRPr="004D53EC" w:rsidRDefault="0088112C" w:rsidP="005760FF">
            <w:pPr>
              <w:pStyle w:val="TableParagraph"/>
              <w:ind w:left="0"/>
              <w:jc w:val="left"/>
              <w:rPr>
                <w:sz w:val="14"/>
                <w:lang w:val="sq-AL"/>
              </w:rPr>
            </w:pPr>
          </w:p>
        </w:tc>
        <w:tc>
          <w:tcPr>
            <w:tcW w:w="1134" w:type="dxa"/>
          </w:tcPr>
          <w:p w14:paraId="1E7FEEE6" w14:textId="77777777" w:rsidR="0088112C" w:rsidRPr="004D53EC" w:rsidRDefault="0088112C" w:rsidP="005760FF">
            <w:pPr>
              <w:pStyle w:val="TableParagraph"/>
              <w:spacing w:before="1"/>
              <w:ind w:right="3"/>
              <w:rPr>
                <w:rFonts w:ascii="Arial MT"/>
                <w:sz w:val="16"/>
                <w:lang w:val="sq-AL"/>
              </w:rPr>
            </w:pPr>
            <w:r w:rsidRPr="004D53EC">
              <w:rPr>
                <w:spacing w:val="-2"/>
                <w:sz w:val="16"/>
                <w:lang w:val="sq-AL" w:bidi="sq-AL"/>
              </w:rPr>
              <w:t>137.790</w:t>
            </w:r>
          </w:p>
        </w:tc>
        <w:tc>
          <w:tcPr>
            <w:tcW w:w="1134" w:type="dxa"/>
          </w:tcPr>
          <w:p w14:paraId="2CFCA022" w14:textId="77777777" w:rsidR="0088112C" w:rsidRPr="004D53EC" w:rsidRDefault="0088112C" w:rsidP="005760FF">
            <w:pPr>
              <w:pStyle w:val="TableParagraph"/>
              <w:spacing w:before="1"/>
              <w:ind w:right="3"/>
              <w:rPr>
                <w:rFonts w:ascii="Arial MT"/>
                <w:sz w:val="16"/>
                <w:lang w:val="sq-AL"/>
              </w:rPr>
            </w:pPr>
            <w:r w:rsidRPr="004D53EC">
              <w:rPr>
                <w:spacing w:val="-2"/>
                <w:sz w:val="16"/>
                <w:lang w:val="sq-AL" w:bidi="sq-AL"/>
              </w:rPr>
              <w:t>134.150</w:t>
            </w:r>
          </w:p>
        </w:tc>
        <w:tc>
          <w:tcPr>
            <w:tcW w:w="1134" w:type="dxa"/>
          </w:tcPr>
          <w:p w14:paraId="72980321" w14:textId="77777777" w:rsidR="0088112C" w:rsidRPr="004D53EC" w:rsidRDefault="0088112C" w:rsidP="005760FF">
            <w:pPr>
              <w:pStyle w:val="TableParagraph"/>
              <w:spacing w:before="1"/>
              <w:ind w:right="3"/>
              <w:rPr>
                <w:rFonts w:ascii="Arial MT"/>
                <w:sz w:val="16"/>
                <w:lang w:val="sq-AL"/>
              </w:rPr>
            </w:pPr>
            <w:r w:rsidRPr="004D53EC">
              <w:rPr>
                <w:spacing w:val="-2"/>
                <w:sz w:val="16"/>
                <w:lang w:val="sq-AL" w:bidi="sq-AL"/>
              </w:rPr>
              <w:t>127.590</w:t>
            </w:r>
          </w:p>
        </w:tc>
        <w:tc>
          <w:tcPr>
            <w:tcW w:w="1134" w:type="dxa"/>
          </w:tcPr>
          <w:p w14:paraId="4CBCED77" w14:textId="77777777" w:rsidR="0088112C" w:rsidRPr="004D53EC" w:rsidRDefault="0088112C" w:rsidP="005760FF">
            <w:pPr>
              <w:pStyle w:val="TableParagraph"/>
              <w:spacing w:before="1"/>
              <w:ind w:right="3"/>
              <w:rPr>
                <w:rFonts w:ascii="Arial MT"/>
                <w:sz w:val="16"/>
                <w:lang w:val="sq-AL"/>
              </w:rPr>
            </w:pPr>
            <w:r w:rsidRPr="004D53EC">
              <w:rPr>
                <w:spacing w:val="-2"/>
                <w:sz w:val="16"/>
                <w:lang w:val="sq-AL" w:bidi="sq-AL"/>
              </w:rPr>
              <w:t>123.010</w:t>
            </w:r>
          </w:p>
        </w:tc>
        <w:tc>
          <w:tcPr>
            <w:tcW w:w="1134" w:type="dxa"/>
          </w:tcPr>
          <w:p w14:paraId="06EEDE67" w14:textId="77777777" w:rsidR="0088112C" w:rsidRPr="004D53EC" w:rsidRDefault="0088112C" w:rsidP="005760FF">
            <w:pPr>
              <w:pStyle w:val="TableParagraph"/>
              <w:spacing w:before="1"/>
              <w:ind w:right="3"/>
              <w:rPr>
                <w:rFonts w:ascii="Arial MT"/>
                <w:sz w:val="16"/>
                <w:lang w:val="sq-AL"/>
              </w:rPr>
            </w:pPr>
            <w:r w:rsidRPr="004D53EC">
              <w:rPr>
                <w:spacing w:val="-2"/>
                <w:sz w:val="16"/>
                <w:lang w:val="sq-AL" w:bidi="sq-AL"/>
              </w:rPr>
              <w:t>123.770</w:t>
            </w:r>
          </w:p>
        </w:tc>
        <w:tc>
          <w:tcPr>
            <w:tcW w:w="1134" w:type="dxa"/>
          </w:tcPr>
          <w:p w14:paraId="14D6C5AD" w14:textId="77777777" w:rsidR="0088112C" w:rsidRPr="004D53EC" w:rsidRDefault="0088112C" w:rsidP="005760FF">
            <w:pPr>
              <w:pStyle w:val="TableParagraph"/>
              <w:spacing w:before="1"/>
              <w:ind w:right="3"/>
              <w:rPr>
                <w:rFonts w:ascii="Arial MT"/>
                <w:sz w:val="16"/>
                <w:lang w:val="sq-AL"/>
              </w:rPr>
            </w:pPr>
            <w:r w:rsidRPr="004D53EC">
              <w:rPr>
                <w:spacing w:val="-2"/>
                <w:sz w:val="16"/>
                <w:lang w:val="sq-AL" w:bidi="sq-AL"/>
              </w:rPr>
              <w:t>122.460</w:t>
            </w:r>
          </w:p>
        </w:tc>
      </w:tr>
      <w:tr w:rsidR="0088112C" w:rsidRPr="004D53EC" w14:paraId="38B24412" w14:textId="77777777" w:rsidTr="005760FF">
        <w:trPr>
          <w:trHeight w:val="222"/>
        </w:trPr>
        <w:tc>
          <w:tcPr>
            <w:tcW w:w="6804" w:type="dxa"/>
          </w:tcPr>
          <w:p w14:paraId="1AD09061"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 xml:space="preserve">Indeksi i kursit efektiv të këmbimit i </w:t>
            </w:r>
            <w:proofErr w:type="spellStart"/>
            <w:r w:rsidRPr="004D53EC">
              <w:rPr>
                <w:sz w:val="16"/>
                <w:lang w:val="sq-AL" w:bidi="sq-AL"/>
              </w:rPr>
              <w:t>ponderuar</w:t>
            </w:r>
            <w:proofErr w:type="spellEnd"/>
            <w:r w:rsidRPr="004D53EC">
              <w:rPr>
                <w:sz w:val="16"/>
                <w:lang w:val="sq-AL" w:bidi="sq-AL"/>
              </w:rPr>
              <w:t xml:space="preserve"> me tregtinë, 42 vende (2015 = 100)</w:t>
            </w:r>
          </w:p>
        </w:tc>
        <w:tc>
          <w:tcPr>
            <w:tcW w:w="568" w:type="dxa"/>
          </w:tcPr>
          <w:p w14:paraId="4E3F975A" w14:textId="77777777" w:rsidR="0088112C" w:rsidRPr="004D53EC" w:rsidRDefault="0088112C" w:rsidP="005760FF">
            <w:pPr>
              <w:pStyle w:val="TableParagraph"/>
              <w:ind w:left="0"/>
              <w:jc w:val="left"/>
              <w:rPr>
                <w:sz w:val="14"/>
                <w:lang w:val="sq-AL"/>
              </w:rPr>
            </w:pPr>
          </w:p>
        </w:tc>
        <w:tc>
          <w:tcPr>
            <w:tcW w:w="1134" w:type="dxa"/>
          </w:tcPr>
          <w:p w14:paraId="789E47C9"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6B34E007"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6683700A"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5B6E2771"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2BEC04E6"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1884C625"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r>
      <w:tr w:rsidR="0088112C" w:rsidRPr="004D53EC" w14:paraId="37DD371F" w14:textId="77777777" w:rsidTr="005760FF">
        <w:trPr>
          <w:trHeight w:val="396"/>
        </w:trPr>
        <w:tc>
          <w:tcPr>
            <w:tcW w:w="6804" w:type="dxa"/>
          </w:tcPr>
          <w:p w14:paraId="29EA3D15"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 xml:space="preserve">** Ndryshimi 3-vjeçar (T/T-3) në indeksin e kursit efektiv të këmbimit të </w:t>
            </w:r>
            <w:proofErr w:type="spellStart"/>
            <w:r w:rsidRPr="004D53EC">
              <w:rPr>
                <w:sz w:val="16"/>
                <w:lang w:val="sq-AL" w:bidi="sq-AL"/>
              </w:rPr>
              <w:t>ponderuar</w:t>
            </w:r>
            <w:proofErr w:type="spellEnd"/>
            <w:r w:rsidRPr="004D53EC">
              <w:rPr>
                <w:sz w:val="16"/>
                <w:lang w:val="sq-AL" w:bidi="sq-AL"/>
              </w:rPr>
              <w:t xml:space="preserve"> me tregtinë, 42 vende (2015 = 100)</w:t>
            </w:r>
          </w:p>
          <w:p w14:paraId="1A36209A" w14:textId="77777777" w:rsidR="0088112C" w:rsidRPr="004D53EC" w:rsidRDefault="0088112C" w:rsidP="005760FF">
            <w:pPr>
              <w:pStyle w:val="TableParagraph"/>
              <w:spacing w:before="15" w:line="178" w:lineRule="exact"/>
              <w:ind w:left="107"/>
              <w:jc w:val="left"/>
              <w:rPr>
                <w:rFonts w:ascii="Arial MT"/>
                <w:sz w:val="16"/>
                <w:lang w:val="sq-AL"/>
              </w:rPr>
            </w:pPr>
            <w:r w:rsidRPr="004D53EC">
              <w:rPr>
                <w:sz w:val="16"/>
                <w:lang w:val="sq-AL" w:bidi="sq-AL"/>
              </w:rPr>
              <w:t>(2015 = 100)</w:t>
            </w:r>
          </w:p>
        </w:tc>
        <w:tc>
          <w:tcPr>
            <w:tcW w:w="568" w:type="dxa"/>
          </w:tcPr>
          <w:p w14:paraId="298D82D9" w14:textId="77777777" w:rsidR="0088112C" w:rsidRPr="004D53EC" w:rsidRDefault="0088112C" w:rsidP="005760FF">
            <w:pPr>
              <w:pStyle w:val="TableParagraph"/>
              <w:ind w:left="0"/>
              <w:jc w:val="left"/>
              <w:rPr>
                <w:sz w:val="14"/>
                <w:lang w:val="sq-AL"/>
              </w:rPr>
            </w:pPr>
          </w:p>
        </w:tc>
        <w:tc>
          <w:tcPr>
            <w:tcW w:w="1134" w:type="dxa"/>
          </w:tcPr>
          <w:p w14:paraId="34E17C93"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4974E0A7"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23DB4AED"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2ED61AEC"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66D3ABBF"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61709A52"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r>
      <w:tr w:rsidR="0088112C" w:rsidRPr="004D53EC" w14:paraId="565E84CC" w14:textId="77777777" w:rsidTr="005760FF">
        <w:trPr>
          <w:trHeight w:val="223"/>
        </w:trPr>
        <w:tc>
          <w:tcPr>
            <w:tcW w:w="6804" w:type="dxa"/>
          </w:tcPr>
          <w:p w14:paraId="3C98795A"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Vlera e aktiveve rezervë (përfshirë arin) (në milionë euro)</w:t>
            </w:r>
          </w:p>
        </w:tc>
        <w:tc>
          <w:tcPr>
            <w:tcW w:w="568" w:type="dxa"/>
          </w:tcPr>
          <w:p w14:paraId="40744A69" w14:textId="77777777" w:rsidR="0088112C" w:rsidRPr="004D53EC" w:rsidRDefault="0088112C" w:rsidP="005760FF">
            <w:pPr>
              <w:pStyle w:val="TableParagraph"/>
              <w:ind w:left="0"/>
              <w:jc w:val="left"/>
              <w:rPr>
                <w:sz w:val="14"/>
                <w:lang w:val="sq-AL"/>
              </w:rPr>
            </w:pPr>
          </w:p>
        </w:tc>
        <w:tc>
          <w:tcPr>
            <w:tcW w:w="1134" w:type="dxa"/>
          </w:tcPr>
          <w:p w14:paraId="48577A62"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1 904.8 w</w:t>
            </w:r>
          </w:p>
        </w:tc>
        <w:tc>
          <w:tcPr>
            <w:tcW w:w="1134" w:type="dxa"/>
          </w:tcPr>
          <w:p w14:paraId="5EFECC14"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2 995.9 w</w:t>
            </w:r>
          </w:p>
        </w:tc>
        <w:tc>
          <w:tcPr>
            <w:tcW w:w="1134" w:type="dxa"/>
          </w:tcPr>
          <w:p w14:paraId="6FE80A3B"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3 399.0 w</w:t>
            </w:r>
          </w:p>
        </w:tc>
        <w:tc>
          <w:tcPr>
            <w:tcW w:w="1134" w:type="dxa"/>
          </w:tcPr>
          <w:p w14:paraId="33DD7A03"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3 359.6 w</w:t>
            </w:r>
          </w:p>
        </w:tc>
        <w:tc>
          <w:tcPr>
            <w:tcW w:w="1134" w:type="dxa"/>
          </w:tcPr>
          <w:p w14:paraId="529E933D"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3 942.4 w</w:t>
            </w:r>
          </w:p>
        </w:tc>
        <w:tc>
          <w:tcPr>
            <w:tcW w:w="1134" w:type="dxa"/>
          </w:tcPr>
          <w:p w14:paraId="2883764F"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4 972.2 w</w:t>
            </w:r>
          </w:p>
        </w:tc>
      </w:tr>
      <w:tr w:rsidR="0088112C" w:rsidRPr="004D53EC" w14:paraId="00829372" w14:textId="77777777" w:rsidTr="005760FF">
        <w:trPr>
          <w:trHeight w:val="222"/>
        </w:trPr>
        <w:tc>
          <w:tcPr>
            <w:tcW w:w="14176" w:type="dxa"/>
            <w:gridSpan w:val="8"/>
            <w:tcBorders>
              <w:left w:val="nil"/>
              <w:bottom w:val="nil"/>
              <w:right w:val="nil"/>
            </w:tcBorders>
          </w:tcPr>
          <w:p w14:paraId="0319669F" w14:textId="77777777" w:rsidR="0088112C" w:rsidRPr="004D53EC" w:rsidRDefault="0088112C" w:rsidP="005760FF">
            <w:pPr>
              <w:pStyle w:val="TableParagraph"/>
              <w:ind w:left="0"/>
              <w:jc w:val="left"/>
              <w:rPr>
                <w:sz w:val="14"/>
                <w:lang w:val="sq-AL"/>
              </w:rPr>
            </w:pPr>
          </w:p>
        </w:tc>
      </w:tr>
      <w:tr w:rsidR="0088112C" w:rsidRPr="004D53EC" w14:paraId="65246771" w14:textId="77777777" w:rsidTr="005760FF">
        <w:trPr>
          <w:trHeight w:val="222"/>
        </w:trPr>
        <w:tc>
          <w:tcPr>
            <w:tcW w:w="6804" w:type="dxa"/>
            <w:tcBorders>
              <w:top w:val="nil"/>
              <w:left w:val="nil"/>
            </w:tcBorders>
          </w:tcPr>
          <w:p w14:paraId="2C5F19F1" w14:textId="77777777" w:rsidR="0088112C" w:rsidRPr="004D53EC" w:rsidRDefault="0088112C" w:rsidP="005760FF">
            <w:pPr>
              <w:pStyle w:val="TableParagraph"/>
              <w:spacing w:before="1"/>
              <w:ind w:left="115"/>
              <w:jc w:val="left"/>
              <w:rPr>
                <w:rFonts w:ascii="Arial"/>
                <w:b/>
                <w:sz w:val="16"/>
                <w:lang w:val="sq-AL"/>
              </w:rPr>
            </w:pPr>
            <w:r w:rsidRPr="004D53EC">
              <w:rPr>
                <w:b/>
                <w:sz w:val="16"/>
                <w:lang w:val="sq-AL" w:bidi="sq-AL"/>
              </w:rPr>
              <w:t>Tregtia e jashtme e mallrave</w:t>
            </w:r>
          </w:p>
        </w:tc>
        <w:tc>
          <w:tcPr>
            <w:tcW w:w="568" w:type="dxa"/>
          </w:tcPr>
          <w:p w14:paraId="5772EC63" w14:textId="77777777" w:rsidR="0088112C" w:rsidRPr="004D53EC" w:rsidRDefault="0088112C" w:rsidP="005760FF">
            <w:pPr>
              <w:pStyle w:val="TableParagraph"/>
              <w:spacing w:before="1"/>
              <w:ind w:left="0" w:right="100"/>
              <w:jc w:val="right"/>
              <w:rPr>
                <w:rFonts w:ascii="Arial MT"/>
                <w:sz w:val="16"/>
                <w:lang w:val="sq-AL"/>
              </w:rPr>
            </w:pPr>
            <w:r w:rsidRPr="004D53EC">
              <w:rPr>
                <w:spacing w:val="-4"/>
                <w:sz w:val="16"/>
                <w:lang w:val="sq-AL" w:bidi="sq-AL"/>
              </w:rPr>
              <w:t>Shënime</w:t>
            </w:r>
          </w:p>
        </w:tc>
        <w:tc>
          <w:tcPr>
            <w:tcW w:w="1134" w:type="dxa"/>
          </w:tcPr>
          <w:p w14:paraId="6EE387B6"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2010</w:t>
            </w:r>
          </w:p>
        </w:tc>
        <w:tc>
          <w:tcPr>
            <w:tcW w:w="1134" w:type="dxa"/>
          </w:tcPr>
          <w:p w14:paraId="29DA4F4C"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2017</w:t>
            </w:r>
          </w:p>
        </w:tc>
        <w:tc>
          <w:tcPr>
            <w:tcW w:w="1134" w:type="dxa"/>
          </w:tcPr>
          <w:p w14:paraId="3720EBF4"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2018</w:t>
            </w:r>
          </w:p>
        </w:tc>
        <w:tc>
          <w:tcPr>
            <w:tcW w:w="1134" w:type="dxa"/>
          </w:tcPr>
          <w:p w14:paraId="0508C536"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2019</w:t>
            </w:r>
          </w:p>
        </w:tc>
        <w:tc>
          <w:tcPr>
            <w:tcW w:w="1134" w:type="dxa"/>
          </w:tcPr>
          <w:p w14:paraId="3C826CBA"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2020</w:t>
            </w:r>
          </w:p>
        </w:tc>
        <w:tc>
          <w:tcPr>
            <w:tcW w:w="1134" w:type="dxa"/>
          </w:tcPr>
          <w:p w14:paraId="7291F9AD"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2021</w:t>
            </w:r>
          </w:p>
        </w:tc>
      </w:tr>
      <w:tr w:rsidR="0088112C" w:rsidRPr="004D53EC" w14:paraId="7E97550C" w14:textId="77777777" w:rsidTr="005760FF">
        <w:trPr>
          <w:trHeight w:val="223"/>
        </w:trPr>
        <w:tc>
          <w:tcPr>
            <w:tcW w:w="6804" w:type="dxa"/>
          </w:tcPr>
          <w:p w14:paraId="40A15529"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Vlera e importeve: të gjitha mallrat, të gjithë partnerët (në milionë euro)</w:t>
            </w:r>
          </w:p>
        </w:tc>
        <w:tc>
          <w:tcPr>
            <w:tcW w:w="568" w:type="dxa"/>
          </w:tcPr>
          <w:p w14:paraId="084CCA15" w14:textId="77777777" w:rsidR="0088112C" w:rsidRPr="004D53EC" w:rsidRDefault="0088112C" w:rsidP="005760FF">
            <w:pPr>
              <w:pStyle w:val="TableParagraph"/>
              <w:ind w:left="0"/>
              <w:jc w:val="left"/>
              <w:rPr>
                <w:sz w:val="14"/>
                <w:lang w:val="sq-AL"/>
              </w:rPr>
            </w:pPr>
          </w:p>
        </w:tc>
        <w:tc>
          <w:tcPr>
            <w:tcW w:w="1134" w:type="dxa"/>
          </w:tcPr>
          <w:p w14:paraId="04F14659"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3 328</w:t>
            </w:r>
          </w:p>
        </w:tc>
        <w:tc>
          <w:tcPr>
            <w:tcW w:w="1134" w:type="dxa"/>
          </w:tcPr>
          <w:p w14:paraId="37247915"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4 648</w:t>
            </w:r>
          </w:p>
        </w:tc>
        <w:tc>
          <w:tcPr>
            <w:tcW w:w="1134" w:type="dxa"/>
          </w:tcPr>
          <w:p w14:paraId="0D45EFAD"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5 026</w:t>
            </w:r>
          </w:p>
        </w:tc>
        <w:tc>
          <w:tcPr>
            <w:tcW w:w="1134" w:type="dxa"/>
          </w:tcPr>
          <w:p w14:paraId="4F08798B" w14:textId="77777777" w:rsidR="0088112C" w:rsidRPr="004D53EC" w:rsidRDefault="0088112C" w:rsidP="005760FF">
            <w:pPr>
              <w:pStyle w:val="TableParagraph"/>
              <w:spacing w:before="1"/>
              <w:ind w:right="2"/>
              <w:rPr>
                <w:rFonts w:ascii="Arial MT"/>
                <w:sz w:val="16"/>
                <w:lang w:val="sq-AL"/>
              </w:rPr>
            </w:pPr>
            <w:r w:rsidRPr="004D53EC">
              <w:rPr>
                <w:sz w:val="16"/>
                <w:lang w:val="sq-AL" w:bidi="sq-AL"/>
              </w:rPr>
              <w:t>5 269</w:t>
            </w:r>
          </w:p>
        </w:tc>
        <w:tc>
          <w:tcPr>
            <w:tcW w:w="1134" w:type="dxa"/>
          </w:tcPr>
          <w:p w14:paraId="132B9E18"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4 860</w:t>
            </w:r>
          </w:p>
        </w:tc>
        <w:tc>
          <w:tcPr>
            <w:tcW w:w="1134" w:type="dxa"/>
          </w:tcPr>
          <w:p w14:paraId="0B5CB4F8"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6 545</w:t>
            </w:r>
          </w:p>
        </w:tc>
      </w:tr>
      <w:tr w:rsidR="0088112C" w:rsidRPr="004D53EC" w14:paraId="4F090E6B" w14:textId="77777777" w:rsidTr="005760FF">
        <w:trPr>
          <w:trHeight w:val="222"/>
        </w:trPr>
        <w:tc>
          <w:tcPr>
            <w:tcW w:w="6804" w:type="dxa"/>
          </w:tcPr>
          <w:p w14:paraId="0EA6AE17"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Vlera e eksporteve: të gjitha mallrat, të gjithë partnerët (në milionë euro)</w:t>
            </w:r>
          </w:p>
        </w:tc>
        <w:tc>
          <w:tcPr>
            <w:tcW w:w="568" w:type="dxa"/>
          </w:tcPr>
          <w:p w14:paraId="2B715E3B" w14:textId="77777777" w:rsidR="0088112C" w:rsidRPr="004D53EC" w:rsidRDefault="0088112C" w:rsidP="005760FF">
            <w:pPr>
              <w:pStyle w:val="TableParagraph"/>
              <w:ind w:left="0"/>
              <w:jc w:val="left"/>
              <w:rPr>
                <w:sz w:val="14"/>
                <w:lang w:val="sq-AL"/>
              </w:rPr>
            </w:pPr>
          </w:p>
        </w:tc>
        <w:tc>
          <w:tcPr>
            <w:tcW w:w="1134" w:type="dxa"/>
          </w:tcPr>
          <w:p w14:paraId="3738C7EA" w14:textId="77777777" w:rsidR="0088112C" w:rsidRPr="004D53EC" w:rsidRDefault="0088112C" w:rsidP="005760FF">
            <w:pPr>
              <w:pStyle w:val="TableParagraph"/>
              <w:spacing w:line="184" w:lineRule="exact"/>
              <w:ind w:right="3"/>
              <w:rPr>
                <w:rFonts w:ascii="Arial MT"/>
                <w:sz w:val="16"/>
                <w:lang w:val="sq-AL"/>
              </w:rPr>
            </w:pPr>
            <w:r w:rsidRPr="004D53EC">
              <w:rPr>
                <w:sz w:val="16"/>
                <w:lang w:val="sq-AL" w:bidi="sq-AL"/>
              </w:rPr>
              <w:t>1 169</w:t>
            </w:r>
          </w:p>
        </w:tc>
        <w:tc>
          <w:tcPr>
            <w:tcW w:w="1134" w:type="dxa"/>
          </w:tcPr>
          <w:p w14:paraId="185A249E" w14:textId="77777777" w:rsidR="0088112C" w:rsidRPr="004D53EC" w:rsidRDefault="0088112C" w:rsidP="005760FF">
            <w:pPr>
              <w:pStyle w:val="TableParagraph"/>
              <w:spacing w:line="184" w:lineRule="exact"/>
              <w:ind w:right="3"/>
              <w:rPr>
                <w:rFonts w:ascii="Arial MT"/>
                <w:sz w:val="16"/>
                <w:lang w:val="sq-AL"/>
              </w:rPr>
            </w:pPr>
            <w:r w:rsidRPr="004D53EC">
              <w:rPr>
                <w:sz w:val="16"/>
                <w:lang w:val="sq-AL" w:bidi="sq-AL"/>
              </w:rPr>
              <w:t>2 026</w:t>
            </w:r>
          </w:p>
        </w:tc>
        <w:tc>
          <w:tcPr>
            <w:tcW w:w="1134" w:type="dxa"/>
          </w:tcPr>
          <w:p w14:paraId="553B753F" w14:textId="77777777" w:rsidR="0088112C" w:rsidRPr="004D53EC" w:rsidRDefault="0088112C" w:rsidP="005760FF">
            <w:pPr>
              <w:pStyle w:val="TableParagraph"/>
              <w:spacing w:line="184" w:lineRule="exact"/>
              <w:ind w:right="3"/>
              <w:rPr>
                <w:rFonts w:ascii="Arial MT"/>
                <w:sz w:val="16"/>
                <w:lang w:val="sq-AL"/>
              </w:rPr>
            </w:pPr>
            <w:r w:rsidRPr="004D53EC">
              <w:rPr>
                <w:sz w:val="16"/>
                <w:lang w:val="sq-AL" w:bidi="sq-AL"/>
              </w:rPr>
              <w:t>2 431</w:t>
            </w:r>
          </w:p>
        </w:tc>
        <w:tc>
          <w:tcPr>
            <w:tcW w:w="1134" w:type="dxa"/>
          </w:tcPr>
          <w:p w14:paraId="650DE666" w14:textId="77777777" w:rsidR="0088112C" w:rsidRPr="004D53EC" w:rsidRDefault="0088112C" w:rsidP="005760FF">
            <w:pPr>
              <w:pStyle w:val="TableParagraph"/>
              <w:spacing w:line="184" w:lineRule="exact"/>
              <w:ind w:right="3"/>
              <w:rPr>
                <w:rFonts w:ascii="Arial MT"/>
                <w:sz w:val="16"/>
                <w:lang w:val="sq-AL"/>
              </w:rPr>
            </w:pPr>
            <w:r w:rsidRPr="004D53EC">
              <w:rPr>
                <w:sz w:val="16"/>
                <w:lang w:val="sq-AL" w:bidi="sq-AL"/>
              </w:rPr>
              <w:t>2 426</w:t>
            </w:r>
          </w:p>
        </w:tc>
        <w:tc>
          <w:tcPr>
            <w:tcW w:w="1134" w:type="dxa"/>
          </w:tcPr>
          <w:p w14:paraId="614CC233" w14:textId="77777777" w:rsidR="0088112C" w:rsidRPr="004D53EC" w:rsidRDefault="0088112C" w:rsidP="005760FF">
            <w:pPr>
              <w:pStyle w:val="TableParagraph"/>
              <w:spacing w:line="184" w:lineRule="exact"/>
              <w:ind w:right="3"/>
              <w:rPr>
                <w:rFonts w:ascii="Arial MT"/>
                <w:sz w:val="16"/>
                <w:lang w:val="sq-AL"/>
              </w:rPr>
            </w:pPr>
            <w:r w:rsidRPr="004D53EC">
              <w:rPr>
                <w:sz w:val="16"/>
                <w:lang w:val="sq-AL" w:bidi="sq-AL"/>
              </w:rPr>
              <w:t>2 190</w:t>
            </w:r>
          </w:p>
        </w:tc>
        <w:tc>
          <w:tcPr>
            <w:tcW w:w="1134" w:type="dxa"/>
          </w:tcPr>
          <w:p w14:paraId="58C314FD" w14:textId="77777777" w:rsidR="0088112C" w:rsidRPr="004D53EC" w:rsidRDefault="0088112C" w:rsidP="005760FF">
            <w:pPr>
              <w:pStyle w:val="TableParagraph"/>
              <w:spacing w:line="184" w:lineRule="exact"/>
              <w:ind w:right="3"/>
              <w:rPr>
                <w:rFonts w:ascii="Arial MT"/>
                <w:sz w:val="16"/>
                <w:lang w:val="sq-AL"/>
              </w:rPr>
            </w:pPr>
            <w:r w:rsidRPr="004D53EC">
              <w:rPr>
                <w:sz w:val="16"/>
                <w:lang w:val="sq-AL" w:bidi="sq-AL"/>
              </w:rPr>
              <w:t>3 012</w:t>
            </w:r>
          </w:p>
        </w:tc>
      </w:tr>
      <w:tr w:rsidR="0088112C" w:rsidRPr="004D53EC" w14:paraId="511E9E37" w14:textId="77777777" w:rsidTr="005760FF">
        <w:trPr>
          <w:trHeight w:val="222"/>
        </w:trPr>
        <w:tc>
          <w:tcPr>
            <w:tcW w:w="6804" w:type="dxa"/>
          </w:tcPr>
          <w:p w14:paraId="297AF6EA"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Bilanci tregtar: të gjitha mallrat, të gjithë partnerët (në milionë euro)</w:t>
            </w:r>
          </w:p>
        </w:tc>
        <w:tc>
          <w:tcPr>
            <w:tcW w:w="568" w:type="dxa"/>
          </w:tcPr>
          <w:p w14:paraId="6D5F32E4" w14:textId="77777777" w:rsidR="0088112C" w:rsidRPr="004D53EC" w:rsidRDefault="0088112C" w:rsidP="005760FF">
            <w:pPr>
              <w:pStyle w:val="TableParagraph"/>
              <w:ind w:left="0"/>
              <w:jc w:val="left"/>
              <w:rPr>
                <w:sz w:val="14"/>
                <w:lang w:val="sq-AL"/>
              </w:rPr>
            </w:pPr>
          </w:p>
        </w:tc>
        <w:tc>
          <w:tcPr>
            <w:tcW w:w="1134" w:type="dxa"/>
          </w:tcPr>
          <w:p w14:paraId="78304465" w14:textId="77777777" w:rsidR="0088112C" w:rsidRPr="004D53EC" w:rsidRDefault="0088112C" w:rsidP="005760FF">
            <w:pPr>
              <w:pStyle w:val="TableParagraph"/>
              <w:spacing w:before="1"/>
              <w:ind w:right="1"/>
              <w:rPr>
                <w:rFonts w:ascii="Arial MT"/>
                <w:sz w:val="16"/>
                <w:lang w:val="sq-AL"/>
              </w:rPr>
            </w:pPr>
            <w:r w:rsidRPr="004D53EC">
              <w:rPr>
                <w:sz w:val="16"/>
                <w:lang w:val="sq-AL" w:bidi="sq-AL"/>
              </w:rPr>
              <w:t>- 2 160</w:t>
            </w:r>
          </w:p>
        </w:tc>
        <w:tc>
          <w:tcPr>
            <w:tcW w:w="1134" w:type="dxa"/>
          </w:tcPr>
          <w:p w14:paraId="6EBCC25C" w14:textId="77777777" w:rsidR="0088112C" w:rsidRPr="004D53EC" w:rsidRDefault="0088112C" w:rsidP="005760FF">
            <w:pPr>
              <w:pStyle w:val="TableParagraph"/>
              <w:spacing w:before="1"/>
              <w:ind w:right="1"/>
              <w:rPr>
                <w:rFonts w:ascii="Arial MT"/>
                <w:sz w:val="16"/>
                <w:lang w:val="sq-AL"/>
              </w:rPr>
            </w:pPr>
            <w:r w:rsidRPr="004D53EC">
              <w:rPr>
                <w:sz w:val="16"/>
                <w:lang w:val="sq-AL" w:bidi="sq-AL"/>
              </w:rPr>
              <w:t>- 2 622</w:t>
            </w:r>
          </w:p>
        </w:tc>
        <w:tc>
          <w:tcPr>
            <w:tcW w:w="1134" w:type="dxa"/>
          </w:tcPr>
          <w:p w14:paraId="5A79445F" w14:textId="77777777" w:rsidR="0088112C" w:rsidRPr="004D53EC" w:rsidRDefault="0088112C" w:rsidP="005760FF">
            <w:pPr>
              <w:pStyle w:val="TableParagraph"/>
              <w:spacing w:before="1"/>
              <w:ind w:right="1"/>
              <w:rPr>
                <w:rFonts w:ascii="Arial MT"/>
                <w:sz w:val="16"/>
                <w:lang w:val="sq-AL"/>
              </w:rPr>
            </w:pPr>
            <w:r w:rsidRPr="004D53EC">
              <w:rPr>
                <w:sz w:val="16"/>
                <w:lang w:val="sq-AL" w:bidi="sq-AL"/>
              </w:rPr>
              <w:t>- 2 596</w:t>
            </w:r>
          </w:p>
        </w:tc>
        <w:tc>
          <w:tcPr>
            <w:tcW w:w="1134" w:type="dxa"/>
          </w:tcPr>
          <w:p w14:paraId="7940E193" w14:textId="77777777" w:rsidR="0088112C" w:rsidRPr="004D53EC" w:rsidRDefault="0088112C" w:rsidP="005760FF">
            <w:pPr>
              <w:pStyle w:val="TableParagraph"/>
              <w:spacing w:before="1"/>
              <w:ind w:right="1"/>
              <w:rPr>
                <w:rFonts w:ascii="Arial MT"/>
                <w:sz w:val="16"/>
                <w:lang w:val="sq-AL"/>
              </w:rPr>
            </w:pPr>
            <w:r w:rsidRPr="004D53EC">
              <w:rPr>
                <w:sz w:val="16"/>
                <w:lang w:val="sq-AL" w:bidi="sq-AL"/>
              </w:rPr>
              <w:t>- 2 843</w:t>
            </w:r>
          </w:p>
        </w:tc>
        <w:tc>
          <w:tcPr>
            <w:tcW w:w="1134" w:type="dxa"/>
          </w:tcPr>
          <w:p w14:paraId="491AC847" w14:textId="77777777" w:rsidR="0088112C" w:rsidRPr="004D53EC" w:rsidRDefault="0088112C" w:rsidP="005760FF">
            <w:pPr>
              <w:pStyle w:val="TableParagraph"/>
              <w:spacing w:before="1"/>
              <w:ind w:right="1"/>
              <w:rPr>
                <w:rFonts w:ascii="Arial MT"/>
                <w:sz w:val="16"/>
                <w:lang w:val="sq-AL"/>
              </w:rPr>
            </w:pPr>
            <w:r w:rsidRPr="004D53EC">
              <w:rPr>
                <w:sz w:val="16"/>
                <w:lang w:val="sq-AL" w:bidi="sq-AL"/>
              </w:rPr>
              <w:t>- 2 670</w:t>
            </w:r>
          </w:p>
        </w:tc>
        <w:tc>
          <w:tcPr>
            <w:tcW w:w="1134" w:type="dxa"/>
          </w:tcPr>
          <w:p w14:paraId="238219A5" w14:textId="77777777" w:rsidR="0088112C" w:rsidRPr="004D53EC" w:rsidRDefault="0088112C" w:rsidP="005760FF">
            <w:pPr>
              <w:pStyle w:val="TableParagraph"/>
              <w:spacing w:before="1"/>
              <w:ind w:right="1"/>
              <w:rPr>
                <w:rFonts w:ascii="Arial MT"/>
                <w:sz w:val="16"/>
                <w:lang w:val="sq-AL"/>
              </w:rPr>
            </w:pPr>
            <w:r w:rsidRPr="004D53EC">
              <w:rPr>
                <w:sz w:val="16"/>
                <w:lang w:val="sq-AL" w:bidi="sq-AL"/>
              </w:rPr>
              <w:t>- 3 533</w:t>
            </w:r>
          </w:p>
        </w:tc>
      </w:tr>
      <w:tr w:rsidR="0088112C" w:rsidRPr="004D53EC" w14:paraId="1CD5DF4D" w14:textId="77777777" w:rsidTr="005760FF">
        <w:trPr>
          <w:trHeight w:val="223"/>
        </w:trPr>
        <w:tc>
          <w:tcPr>
            <w:tcW w:w="6804" w:type="dxa"/>
          </w:tcPr>
          <w:p w14:paraId="1EA88491"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Kushtet e tregtisë (indeksi i çmimit të eksportit/ indeksi i çmimit të importit * 100) (numër)</w:t>
            </w:r>
          </w:p>
        </w:tc>
        <w:tc>
          <w:tcPr>
            <w:tcW w:w="568" w:type="dxa"/>
          </w:tcPr>
          <w:p w14:paraId="41F26752" w14:textId="77777777" w:rsidR="0088112C" w:rsidRPr="004D53EC" w:rsidRDefault="0088112C" w:rsidP="005760FF">
            <w:pPr>
              <w:pStyle w:val="TableParagraph"/>
              <w:ind w:left="0"/>
              <w:jc w:val="left"/>
              <w:rPr>
                <w:sz w:val="14"/>
                <w:lang w:val="sq-AL"/>
              </w:rPr>
            </w:pPr>
          </w:p>
        </w:tc>
        <w:tc>
          <w:tcPr>
            <w:tcW w:w="1134" w:type="dxa"/>
          </w:tcPr>
          <w:p w14:paraId="0B729AEB" w14:textId="77777777" w:rsidR="0088112C" w:rsidRPr="004D53EC" w:rsidRDefault="0088112C" w:rsidP="005760FF">
            <w:pPr>
              <w:pStyle w:val="TableParagraph"/>
              <w:spacing w:before="1"/>
              <w:ind w:left="245"/>
              <w:jc w:val="left"/>
              <w:rPr>
                <w:rFonts w:ascii="Arial MT"/>
                <w:sz w:val="16"/>
                <w:lang w:val="sq-AL"/>
              </w:rPr>
            </w:pPr>
            <w:r w:rsidRPr="004D53EC">
              <w:rPr>
                <w:sz w:val="16"/>
                <w:lang w:val="sq-AL" w:bidi="sq-AL"/>
              </w:rPr>
              <w:t xml:space="preserve">102.1 </w:t>
            </w:r>
            <w:proofErr w:type="spellStart"/>
            <w:r w:rsidRPr="004D53EC">
              <w:rPr>
                <w:sz w:val="16"/>
                <w:lang w:val="sq-AL" w:bidi="sq-AL"/>
              </w:rPr>
              <w:t>sw</w:t>
            </w:r>
            <w:proofErr w:type="spellEnd"/>
          </w:p>
        </w:tc>
        <w:tc>
          <w:tcPr>
            <w:tcW w:w="1134" w:type="dxa"/>
          </w:tcPr>
          <w:p w14:paraId="46ADF2F3" w14:textId="77777777" w:rsidR="0088112C" w:rsidRPr="004D53EC" w:rsidRDefault="0088112C" w:rsidP="005760FF">
            <w:pPr>
              <w:pStyle w:val="TableParagraph"/>
              <w:spacing w:before="1"/>
              <w:ind w:left="290"/>
              <w:jc w:val="left"/>
              <w:rPr>
                <w:rFonts w:ascii="Arial MT"/>
                <w:sz w:val="16"/>
                <w:lang w:val="sq-AL"/>
              </w:rPr>
            </w:pPr>
            <w:r w:rsidRPr="004D53EC">
              <w:rPr>
                <w:sz w:val="16"/>
                <w:lang w:val="sq-AL" w:bidi="sq-AL"/>
              </w:rPr>
              <w:t xml:space="preserve">99.8 </w:t>
            </w:r>
            <w:proofErr w:type="spellStart"/>
            <w:r w:rsidRPr="004D53EC">
              <w:rPr>
                <w:sz w:val="16"/>
                <w:lang w:val="sq-AL" w:bidi="sq-AL"/>
              </w:rPr>
              <w:t>sw</w:t>
            </w:r>
            <w:proofErr w:type="spellEnd"/>
          </w:p>
        </w:tc>
        <w:tc>
          <w:tcPr>
            <w:tcW w:w="1134" w:type="dxa"/>
          </w:tcPr>
          <w:p w14:paraId="1A4E3C5B" w14:textId="77777777" w:rsidR="0088112C" w:rsidRPr="004D53EC" w:rsidRDefault="0088112C" w:rsidP="005760FF">
            <w:pPr>
              <w:pStyle w:val="TableParagraph"/>
              <w:spacing w:before="1"/>
              <w:ind w:left="245"/>
              <w:jc w:val="left"/>
              <w:rPr>
                <w:rFonts w:ascii="Arial MT"/>
                <w:sz w:val="16"/>
                <w:lang w:val="sq-AL"/>
              </w:rPr>
            </w:pPr>
            <w:r w:rsidRPr="004D53EC">
              <w:rPr>
                <w:sz w:val="16"/>
                <w:lang w:val="sq-AL" w:bidi="sq-AL"/>
              </w:rPr>
              <w:t xml:space="preserve">103.6 </w:t>
            </w:r>
            <w:proofErr w:type="spellStart"/>
            <w:r w:rsidRPr="004D53EC">
              <w:rPr>
                <w:sz w:val="16"/>
                <w:lang w:val="sq-AL" w:bidi="sq-AL"/>
              </w:rPr>
              <w:t>sw</w:t>
            </w:r>
            <w:proofErr w:type="spellEnd"/>
          </w:p>
        </w:tc>
        <w:tc>
          <w:tcPr>
            <w:tcW w:w="1134" w:type="dxa"/>
          </w:tcPr>
          <w:p w14:paraId="466E2E00" w14:textId="77777777" w:rsidR="0088112C" w:rsidRPr="004D53EC" w:rsidRDefault="0088112C" w:rsidP="005760FF">
            <w:pPr>
              <w:pStyle w:val="TableParagraph"/>
              <w:spacing w:before="1"/>
              <w:ind w:left="290"/>
              <w:jc w:val="left"/>
              <w:rPr>
                <w:rFonts w:ascii="Arial MT"/>
                <w:sz w:val="16"/>
                <w:lang w:val="sq-AL"/>
              </w:rPr>
            </w:pPr>
            <w:r w:rsidRPr="004D53EC">
              <w:rPr>
                <w:sz w:val="16"/>
                <w:lang w:val="sq-AL" w:bidi="sq-AL"/>
              </w:rPr>
              <w:t xml:space="preserve">99.2 </w:t>
            </w:r>
            <w:proofErr w:type="spellStart"/>
            <w:r w:rsidRPr="004D53EC">
              <w:rPr>
                <w:sz w:val="16"/>
                <w:lang w:val="sq-AL" w:bidi="sq-AL"/>
              </w:rPr>
              <w:t>sw</w:t>
            </w:r>
            <w:proofErr w:type="spellEnd"/>
          </w:p>
        </w:tc>
        <w:tc>
          <w:tcPr>
            <w:tcW w:w="1134" w:type="dxa"/>
          </w:tcPr>
          <w:p w14:paraId="0BE77FA8" w14:textId="77777777" w:rsidR="0088112C" w:rsidRPr="004D53EC" w:rsidRDefault="0088112C" w:rsidP="005760FF">
            <w:pPr>
              <w:pStyle w:val="TableParagraph"/>
              <w:spacing w:before="1"/>
              <w:ind w:left="245"/>
              <w:jc w:val="left"/>
              <w:rPr>
                <w:rFonts w:ascii="Arial MT"/>
                <w:sz w:val="16"/>
                <w:lang w:val="sq-AL"/>
              </w:rPr>
            </w:pPr>
            <w:r w:rsidRPr="004D53EC">
              <w:rPr>
                <w:sz w:val="16"/>
                <w:lang w:val="sq-AL" w:bidi="sq-AL"/>
              </w:rPr>
              <w:t xml:space="preserve">104.1 </w:t>
            </w:r>
            <w:proofErr w:type="spellStart"/>
            <w:r w:rsidRPr="004D53EC">
              <w:rPr>
                <w:sz w:val="16"/>
                <w:lang w:val="sq-AL" w:bidi="sq-AL"/>
              </w:rPr>
              <w:t>sw</w:t>
            </w:r>
            <w:proofErr w:type="spellEnd"/>
          </w:p>
        </w:tc>
        <w:tc>
          <w:tcPr>
            <w:tcW w:w="1134" w:type="dxa"/>
          </w:tcPr>
          <w:p w14:paraId="4B1918B6" w14:textId="77777777" w:rsidR="0088112C" w:rsidRPr="004D53EC" w:rsidRDefault="0088112C" w:rsidP="005760FF">
            <w:pPr>
              <w:pStyle w:val="TableParagraph"/>
              <w:spacing w:before="1"/>
              <w:ind w:left="245"/>
              <w:jc w:val="left"/>
              <w:rPr>
                <w:rFonts w:ascii="Arial MT"/>
                <w:sz w:val="16"/>
                <w:lang w:val="sq-AL"/>
              </w:rPr>
            </w:pPr>
            <w:r w:rsidRPr="004D53EC">
              <w:rPr>
                <w:sz w:val="16"/>
                <w:lang w:val="sq-AL" w:bidi="sq-AL"/>
              </w:rPr>
              <w:t xml:space="preserve">104.5 </w:t>
            </w:r>
            <w:proofErr w:type="spellStart"/>
            <w:r w:rsidRPr="004D53EC">
              <w:rPr>
                <w:sz w:val="16"/>
                <w:lang w:val="sq-AL" w:bidi="sq-AL"/>
              </w:rPr>
              <w:t>sw</w:t>
            </w:r>
            <w:proofErr w:type="spellEnd"/>
          </w:p>
        </w:tc>
      </w:tr>
      <w:tr w:rsidR="0088112C" w:rsidRPr="004D53EC" w14:paraId="51FA0BB5" w14:textId="77777777" w:rsidTr="005760FF">
        <w:trPr>
          <w:trHeight w:val="222"/>
        </w:trPr>
        <w:tc>
          <w:tcPr>
            <w:tcW w:w="6804" w:type="dxa"/>
          </w:tcPr>
          <w:p w14:paraId="53E45700"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Pjesa e eksporteve drejt 27 vendeve të BE-së, në vlerën e eksporteve gjithsej (%)</w:t>
            </w:r>
          </w:p>
        </w:tc>
        <w:tc>
          <w:tcPr>
            <w:tcW w:w="568" w:type="dxa"/>
          </w:tcPr>
          <w:p w14:paraId="79EA8685" w14:textId="77777777" w:rsidR="0088112C" w:rsidRPr="004D53EC" w:rsidRDefault="0088112C" w:rsidP="005760FF">
            <w:pPr>
              <w:pStyle w:val="TableParagraph"/>
              <w:ind w:left="0"/>
              <w:jc w:val="left"/>
              <w:rPr>
                <w:sz w:val="14"/>
                <w:lang w:val="sq-AL"/>
              </w:rPr>
            </w:pPr>
          </w:p>
        </w:tc>
        <w:tc>
          <w:tcPr>
            <w:tcW w:w="1134" w:type="dxa"/>
          </w:tcPr>
          <w:p w14:paraId="35378F42" w14:textId="77777777" w:rsidR="0088112C" w:rsidRPr="004D53EC" w:rsidRDefault="0088112C" w:rsidP="005760FF">
            <w:pPr>
              <w:pStyle w:val="TableParagraph"/>
              <w:spacing w:line="184" w:lineRule="exact"/>
              <w:ind w:left="348"/>
              <w:jc w:val="left"/>
              <w:rPr>
                <w:rFonts w:ascii="Arial MT"/>
                <w:sz w:val="16"/>
                <w:lang w:val="sq-AL"/>
              </w:rPr>
            </w:pPr>
            <w:r w:rsidRPr="004D53EC">
              <w:rPr>
                <w:sz w:val="16"/>
                <w:lang w:val="sq-AL" w:bidi="sq-AL"/>
              </w:rPr>
              <w:t>70.2 s</w:t>
            </w:r>
          </w:p>
        </w:tc>
        <w:tc>
          <w:tcPr>
            <w:tcW w:w="1134" w:type="dxa"/>
          </w:tcPr>
          <w:p w14:paraId="2F7FA308" w14:textId="77777777" w:rsidR="0088112C" w:rsidRPr="004D53EC" w:rsidRDefault="0088112C" w:rsidP="005760FF">
            <w:pPr>
              <w:pStyle w:val="TableParagraph"/>
              <w:spacing w:line="184" w:lineRule="exact"/>
              <w:ind w:left="348"/>
              <w:jc w:val="left"/>
              <w:rPr>
                <w:rFonts w:ascii="Arial MT"/>
                <w:sz w:val="16"/>
                <w:lang w:val="sq-AL"/>
              </w:rPr>
            </w:pPr>
            <w:r w:rsidRPr="004D53EC">
              <w:rPr>
                <w:sz w:val="16"/>
                <w:lang w:val="sq-AL" w:bidi="sq-AL"/>
              </w:rPr>
              <w:t>77.0 s</w:t>
            </w:r>
          </w:p>
        </w:tc>
        <w:tc>
          <w:tcPr>
            <w:tcW w:w="1134" w:type="dxa"/>
          </w:tcPr>
          <w:p w14:paraId="4E9E2B65" w14:textId="77777777" w:rsidR="0088112C" w:rsidRPr="004D53EC" w:rsidRDefault="0088112C" w:rsidP="005760FF">
            <w:pPr>
              <w:pStyle w:val="TableParagraph"/>
              <w:spacing w:line="184" w:lineRule="exact"/>
              <w:ind w:left="348"/>
              <w:jc w:val="left"/>
              <w:rPr>
                <w:rFonts w:ascii="Arial MT"/>
                <w:sz w:val="16"/>
                <w:lang w:val="sq-AL"/>
              </w:rPr>
            </w:pPr>
            <w:r w:rsidRPr="004D53EC">
              <w:rPr>
                <w:sz w:val="16"/>
                <w:lang w:val="sq-AL" w:bidi="sq-AL"/>
              </w:rPr>
              <w:t>75.9 s</w:t>
            </w:r>
          </w:p>
        </w:tc>
        <w:tc>
          <w:tcPr>
            <w:tcW w:w="1134" w:type="dxa"/>
          </w:tcPr>
          <w:p w14:paraId="24F39217" w14:textId="77777777" w:rsidR="0088112C" w:rsidRPr="004D53EC" w:rsidRDefault="0088112C" w:rsidP="005760FF">
            <w:pPr>
              <w:pStyle w:val="TableParagraph"/>
              <w:spacing w:line="184" w:lineRule="exact"/>
              <w:ind w:left="348"/>
              <w:jc w:val="left"/>
              <w:rPr>
                <w:rFonts w:ascii="Arial MT"/>
                <w:sz w:val="16"/>
                <w:lang w:val="sq-AL"/>
              </w:rPr>
            </w:pPr>
            <w:r w:rsidRPr="004D53EC">
              <w:rPr>
                <w:sz w:val="16"/>
                <w:lang w:val="sq-AL" w:bidi="sq-AL"/>
              </w:rPr>
              <w:t>76.4 s</w:t>
            </w:r>
          </w:p>
        </w:tc>
        <w:tc>
          <w:tcPr>
            <w:tcW w:w="1134" w:type="dxa"/>
          </w:tcPr>
          <w:p w14:paraId="2F385260" w14:textId="77777777" w:rsidR="0088112C" w:rsidRPr="004D53EC" w:rsidRDefault="0088112C" w:rsidP="005760FF">
            <w:pPr>
              <w:pStyle w:val="TableParagraph"/>
              <w:spacing w:line="184" w:lineRule="exact"/>
              <w:ind w:left="348"/>
              <w:jc w:val="left"/>
              <w:rPr>
                <w:rFonts w:ascii="Arial MT"/>
                <w:sz w:val="16"/>
                <w:lang w:val="sq-AL"/>
              </w:rPr>
            </w:pPr>
            <w:r w:rsidRPr="004D53EC">
              <w:rPr>
                <w:sz w:val="16"/>
                <w:lang w:val="sq-AL" w:bidi="sq-AL"/>
              </w:rPr>
              <w:t>74.7 s</w:t>
            </w:r>
          </w:p>
        </w:tc>
        <w:tc>
          <w:tcPr>
            <w:tcW w:w="1134" w:type="dxa"/>
          </w:tcPr>
          <w:p w14:paraId="1EBCF46F" w14:textId="77777777" w:rsidR="0088112C" w:rsidRPr="004D53EC" w:rsidRDefault="0088112C" w:rsidP="005760FF">
            <w:pPr>
              <w:pStyle w:val="TableParagraph"/>
              <w:spacing w:line="184" w:lineRule="exact"/>
              <w:ind w:left="348"/>
              <w:jc w:val="left"/>
              <w:rPr>
                <w:rFonts w:ascii="Arial MT"/>
                <w:sz w:val="16"/>
                <w:lang w:val="sq-AL"/>
              </w:rPr>
            </w:pPr>
            <w:r w:rsidRPr="004D53EC">
              <w:rPr>
                <w:sz w:val="16"/>
                <w:lang w:val="sq-AL" w:bidi="sq-AL"/>
              </w:rPr>
              <w:t>72.2 s</w:t>
            </w:r>
          </w:p>
        </w:tc>
      </w:tr>
      <w:tr w:rsidR="0088112C" w:rsidRPr="004D53EC" w14:paraId="3C485D98" w14:textId="77777777" w:rsidTr="005760FF">
        <w:trPr>
          <w:trHeight w:val="222"/>
        </w:trPr>
        <w:tc>
          <w:tcPr>
            <w:tcW w:w="6804" w:type="dxa"/>
          </w:tcPr>
          <w:p w14:paraId="00A0003D"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Pjesa e importeve nga 27 vendet të BE-së, në vlerën e importeve gjithsej (%)</w:t>
            </w:r>
          </w:p>
        </w:tc>
        <w:tc>
          <w:tcPr>
            <w:tcW w:w="568" w:type="dxa"/>
          </w:tcPr>
          <w:p w14:paraId="1535E3B4" w14:textId="77777777" w:rsidR="0088112C" w:rsidRPr="004D53EC" w:rsidRDefault="0088112C" w:rsidP="005760FF">
            <w:pPr>
              <w:pStyle w:val="TableParagraph"/>
              <w:ind w:left="0"/>
              <w:jc w:val="left"/>
              <w:rPr>
                <w:sz w:val="14"/>
                <w:lang w:val="sq-AL"/>
              </w:rPr>
            </w:pPr>
          </w:p>
        </w:tc>
        <w:tc>
          <w:tcPr>
            <w:tcW w:w="1134" w:type="dxa"/>
          </w:tcPr>
          <w:p w14:paraId="4F6D2511" w14:textId="77777777" w:rsidR="0088112C" w:rsidRPr="004D53EC" w:rsidRDefault="0088112C" w:rsidP="005760FF">
            <w:pPr>
              <w:pStyle w:val="TableParagraph"/>
              <w:spacing w:before="1"/>
              <w:ind w:left="348"/>
              <w:jc w:val="left"/>
              <w:rPr>
                <w:rFonts w:ascii="Arial MT"/>
                <w:sz w:val="16"/>
                <w:lang w:val="sq-AL"/>
              </w:rPr>
            </w:pPr>
            <w:r w:rsidRPr="004D53EC">
              <w:rPr>
                <w:sz w:val="16"/>
                <w:lang w:val="sq-AL" w:bidi="sq-AL"/>
              </w:rPr>
              <w:t>65.5 s</w:t>
            </w:r>
          </w:p>
        </w:tc>
        <w:tc>
          <w:tcPr>
            <w:tcW w:w="1134" w:type="dxa"/>
          </w:tcPr>
          <w:p w14:paraId="2933D6C1" w14:textId="77777777" w:rsidR="0088112C" w:rsidRPr="004D53EC" w:rsidRDefault="0088112C" w:rsidP="005760FF">
            <w:pPr>
              <w:pStyle w:val="TableParagraph"/>
              <w:spacing w:before="1"/>
              <w:ind w:left="348"/>
              <w:jc w:val="left"/>
              <w:rPr>
                <w:rFonts w:ascii="Arial MT"/>
                <w:sz w:val="16"/>
                <w:lang w:val="sq-AL"/>
              </w:rPr>
            </w:pPr>
            <w:r w:rsidRPr="004D53EC">
              <w:rPr>
                <w:sz w:val="16"/>
                <w:lang w:val="sq-AL" w:bidi="sq-AL"/>
              </w:rPr>
              <w:t>60.8 s</w:t>
            </w:r>
          </w:p>
        </w:tc>
        <w:tc>
          <w:tcPr>
            <w:tcW w:w="1134" w:type="dxa"/>
          </w:tcPr>
          <w:p w14:paraId="44C2768A" w14:textId="77777777" w:rsidR="0088112C" w:rsidRPr="004D53EC" w:rsidRDefault="0088112C" w:rsidP="005760FF">
            <w:pPr>
              <w:pStyle w:val="TableParagraph"/>
              <w:spacing w:before="1"/>
              <w:ind w:left="348"/>
              <w:jc w:val="left"/>
              <w:rPr>
                <w:rFonts w:ascii="Arial MT"/>
                <w:sz w:val="16"/>
                <w:lang w:val="sq-AL"/>
              </w:rPr>
            </w:pPr>
            <w:r w:rsidRPr="004D53EC">
              <w:rPr>
                <w:sz w:val="16"/>
                <w:lang w:val="sq-AL" w:bidi="sq-AL"/>
              </w:rPr>
              <w:t>60.0 s</w:t>
            </w:r>
          </w:p>
        </w:tc>
        <w:tc>
          <w:tcPr>
            <w:tcW w:w="1134" w:type="dxa"/>
          </w:tcPr>
          <w:p w14:paraId="734A7076" w14:textId="77777777" w:rsidR="0088112C" w:rsidRPr="004D53EC" w:rsidRDefault="0088112C" w:rsidP="005760FF">
            <w:pPr>
              <w:pStyle w:val="TableParagraph"/>
              <w:spacing w:before="1"/>
              <w:ind w:left="348"/>
              <w:jc w:val="left"/>
              <w:rPr>
                <w:rFonts w:ascii="Arial MT"/>
                <w:sz w:val="16"/>
                <w:lang w:val="sq-AL"/>
              </w:rPr>
            </w:pPr>
            <w:r w:rsidRPr="004D53EC">
              <w:rPr>
                <w:sz w:val="16"/>
                <w:lang w:val="sq-AL" w:bidi="sq-AL"/>
              </w:rPr>
              <w:t>57.7 s</w:t>
            </w:r>
          </w:p>
        </w:tc>
        <w:tc>
          <w:tcPr>
            <w:tcW w:w="1134" w:type="dxa"/>
          </w:tcPr>
          <w:p w14:paraId="09C94107" w14:textId="77777777" w:rsidR="0088112C" w:rsidRPr="004D53EC" w:rsidRDefault="0088112C" w:rsidP="005760FF">
            <w:pPr>
              <w:pStyle w:val="TableParagraph"/>
              <w:spacing w:before="1"/>
              <w:ind w:left="348"/>
              <w:jc w:val="left"/>
              <w:rPr>
                <w:rFonts w:ascii="Arial MT"/>
                <w:sz w:val="16"/>
                <w:lang w:val="sq-AL"/>
              </w:rPr>
            </w:pPr>
            <w:r w:rsidRPr="004D53EC">
              <w:rPr>
                <w:sz w:val="16"/>
                <w:lang w:val="sq-AL" w:bidi="sq-AL"/>
              </w:rPr>
              <w:t>57.9 s</w:t>
            </w:r>
          </w:p>
        </w:tc>
        <w:tc>
          <w:tcPr>
            <w:tcW w:w="1134" w:type="dxa"/>
          </w:tcPr>
          <w:p w14:paraId="08D05B39" w14:textId="77777777" w:rsidR="0088112C" w:rsidRPr="004D53EC" w:rsidRDefault="0088112C" w:rsidP="005760FF">
            <w:pPr>
              <w:pStyle w:val="TableParagraph"/>
              <w:spacing w:before="1"/>
              <w:ind w:left="348"/>
              <w:jc w:val="left"/>
              <w:rPr>
                <w:rFonts w:ascii="Arial MT"/>
                <w:sz w:val="16"/>
                <w:lang w:val="sq-AL"/>
              </w:rPr>
            </w:pPr>
            <w:r w:rsidRPr="004D53EC">
              <w:rPr>
                <w:sz w:val="16"/>
                <w:lang w:val="sq-AL" w:bidi="sq-AL"/>
              </w:rPr>
              <w:t>54.4 s</w:t>
            </w:r>
          </w:p>
        </w:tc>
      </w:tr>
      <w:tr w:rsidR="0088112C" w:rsidRPr="004D53EC" w14:paraId="62E26FD4" w14:textId="77777777" w:rsidTr="005760FF">
        <w:trPr>
          <w:trHeight w:val="223"/>
        </w:trPr>
        <w:tc>
          <w:tcPr>
            <w:tcW w:w="14176" w:type="dxa"/>
            <w:gridSpan w:val="8"/>
            <w:tcBorders>
              <w:left w:val="nil"/>
              <w:bottom w:val="nil"/>
              <w:right w:val="nil"/>
            </w:tcBorders>
          </w:tcPr>
          <w:p w14:paraId="3F3B596D" w14:textId="77777777" w:rsidR="0088112C" w:rsidRPr="004D53EC" w:rsidRDefault="0088112C" w:rsidP="005760FF">
            <w:pPr>
              <w:pStyle w:val="TableParagraph"/>
              <w:ind w:left="0"/>
              <w:jc w:val="left"/>
              <w:rPr>
                <w:sz w:val="14"/>
                <w:lang w:val="sq-AL"/>
              </w:rPr>
            </w:pPr>
          </w:p>
        </w:tc>
      </w:tr>
      <w:tr w:rsidR="0088112C" w:rsidRPr="004D53EC" w14:paraId="419BAC68" w14:textId="77777777" w:rsidTr="005760FF">
        <w:trPr>
          <w:trHeight w:val="222"/>
        </w:trPr>
        <w:tc>
          <w:tcPr>
            <w:tcW w:w="6804" w:type="dxa"/>
            <w:tcBorders>
              <w:top w:val="nil"/>
              <w:left w:val="nil"/>
            </w:tcBorders>
          </w:tcPr>
          <w:p w14:paraId="23E911ED" w14:textId="77777777" w:rsidR="0088112C" w:rsidRPr="004D53EC" w:rsidRDefault="0088112C" w:rsidP="005760FF">
            <w:pPr>
              <w:pStyle w:val="TableParagraph"/>
              <w:spacing w:line="184" w:lineRule="exact"/>
              <w:ind w:left="115"/>
              <w:jc w:val="left"/>
              <w:rPr>
                <w:rFonts w:ascii="Arial"/>
                <w:b/>
                <w:sz w:val="16"/>
                <w:lang w:val="sq-AL"/>
              </w:rPr>
            </w:pPr>
            <w:r w:rsidRPr="004D53EC">
              <w:rPr>
                <w:b/>
                <w:spacing w:val="-2"/>
                <w:sz w:val="16"/>
                <w:lang w:val="sq-AL" w:bidi="sq-AL"/>
              </w:rPr>
              <w:t>Demografia</w:t>
            </w:r>
          </w:p>
        </w:tc>
        <w:tc>
          <w:tcPr>
            <w:tcW w:w="568" w:type="dxa"/>
          </w:tcPr>
          <w:p w14:paraId="3F6178E1" w14:textId="77777777" w:rsidR="0088112C" w:rsidRPr="004D53EC" w:rsidRDefault="0088112C" w:rsidP="005760FF">
            <w:pPr>
              <w:pStyle w:val="TableParagraph"/>
              <w:spacing w:line="184" w:lineRule="exact"/>
              <w:ind w:left="0" w:right="100"/>
              <w:jc w:val="right"/>
              <w:rPr>
                <w:rFonts w:ascii="Arial MT"/>
                <w:sz w:val="16"/>
                <w:lang w:val="sq-AL"/>
              </w:rPr>
            </w:pPr>
            <w:r w:rsidRPr="004D53EC">
              <w:rPr>
                <w:spacing w:val="-4"/>
                <w:sz w:val="16"/>
                <w:lang w:val="sq-AL" w:bidi="sq-AL"/>
              </w:rPr>
              <w:t>Shënime</w:t>
            </w:r>
          </w:p>
        </w:tc>
        <w:tc>
          <w:tcPr>
            <w:tcW w:w="1134" w:type="dxa"/>
          </w:tcPr>
          <w:p w14:paraId="19672A08" w14:textId="77777777" w:rsidR="0088112C" w:rsidRPr="004D53EC" w:rsidRDefault="0088112C" w:rsidP="005760FF">
            <w:pPr>
              <w:pStyle w:val="TableParagraph"/>
              <w:spacing w:line="184" w:lineRule="exact"/>
              <w:ind w:right="1"/>
              <w:rPr>
                <w:rFonts w:ascii="Arial MT"/>
                <w:sz w:val="16"/>
                <w:lang w:val="sq-AL"/>
              </w:rPr>
            </w:pPr>
            <w:r w:rsidRPr="004D53EC">
              <w:rPr>
                <w:spacing w:val="-4"/>
                <w:sz w:val="16"/>
                <w:lang w:val="sq-AL" w:bidi="sq-AL"/>
              </w:rPr>
              <w:t>2010</w:t>
            </w:r>
          </w:p>
        </w:tc>
        <w:tc>
          <w:tcPr>
            <w:tcW w:w="1134" w:type="dxa"/>
          </w:tcPr>
          <w:p w14:paraId="25C423AA" w14:textId="77777777" w:rsidR="0088112C" w:rsidRPr="004D53EC" w:rsidRDefault="0088112C" w:rsidP="005760FF">
            <w:pPr>
              <w:pStyle w:val="TableParagraph"/>
              <w:spacing w:line="184" w:lineRule="exact"/>
              <w:ind w:right="1"/>
              <w:rPr>
                <w:rFonts w:ascii="Arial MT"/>
                <w:sz w:val="16"/>
                <w:lang w:val="sq-AL"/>
              </w:rPr>
            </w:pPr>
            <w:r w:rsidRPr="004D53EC">
              <w:rPr>
                <w:spacing w:val="-4"/>
                <w:sz w:val="16"/>
                <w:lang w:val="sq-AL" w:bidi="sq-AL"/>
              </w:rPr>
              <w:t>2017</w:t>
            </w:r>
          </w:p>
        </w:tc>
        <w:tc>
          <w:tcPr>
            <w:tcW w:w="1134" w:type="dxa"/>
          </w:tcPr>
          <w:p w14:paraId="7098F16B" w14:textId="77777777" w:rsidR="0088112C" w:rsidRPr="004D53EC" w:rsidRDefault="0088112C" w:rsidP="005760FF">
            <w:pPr>
              <w:pStyle w:val="TableParagraph"/>
              <w:spacing w:line="184" w:lineRule="exact"/>
              <w:ind w:right="1"/>
              <w:rPr>
                <w:rFonts w:ascii="Arial MT"/>
                <w:sz w:val="16"/>
                <w:lang w:val="sq-AL"/>
              </w:rPr>
            </w:pPr>
            <w:r w:rsidRPr="004D53EC">
              <w:rPr>
                <w:spacing w:val="-4"/>
                <w:sz w:val="16"/>
                <w:lang w:val="sq-AL" w:bidi="sq-AL"/>
              </w:rPr>
              <w:t>2018</w:t>
            </w:r>
          </w:p>
        </w:tc>
        <w:tc>
          <w:tcPr>
            <w:tcW w:w="1134" w:type="dxa"/>
          </w:tcPr>
          <w:p w14:paraId="36728CB5" w14:textId="77777777" w:rsidR="0088112C" w:rsidRPr="004D53EC" w:rsidRDefault="0088112C" w:rsidP="005760FF">
            <w:pPr>
              <w:pStyle w:val="TableParagraph"/>
              <w:spacing w:line="184" w:lineRule="exact"/>
              <w:ind w:right="1"/>
              <w:rPr>
                <w:rFonts w:ascii="Arial MT"/>
                <w:sz w:val="16"/>
                <w:lang w:val="sq-AL"/>
              </w:rPr>
            </w:pPr>
            <w:r w:rsidRPr="004D53EC">
              <w:rPr>
                <w:spacing w:val="-4"/>
                <w:sz w:val="16"/>
                <w:lang w:val="sq-AL" w:bidi="sq-AL"/>
              </w:rPr>
              <w:t>2019</w:t>
            </w:r>
          </w:p>
        </w:tc>
        <w:tc>
          <w:tcPr>
            <w:tcW w:w="1134" w:type="dxa"/>
          </w:tcPr>
          <w:p w14:paraId="638CD8E3" w14:textId="77777777" w:rsidR="0088112C" w:rsidRPr="004D53EC" w:rsidRDefault="0088112C" w:rsidP="005760FF">
            <w:pPr>
              <w:pStyle w:val="TableParagraph"/>
              <w:spacing w:line="184" w:lineRule="exact"/>
              <w:ind w:right="1"/>
              <w:rPr>
                <w:rFonts w:ascii="Arial MT"/>
                <w:sz w:val="16"/>
                <w:lang w:val="sq-AL"/>
              </w:rPr>
            </w:pPr>
            <w:r w:rsidRPr="004D53EC">
              <w:rPr>
                <w:spacing w:val="-4"/>
                <w:sz w:val="16"/>
                <w:lang w:val="sq-AL" w:bidi="sq-AL"/>
              </w:rPr>
              <w:t>2020</w:t>
            </w:r>
          </w:p>
        </w:tc>
        <w:tc>
          <w:tcPr>
            <w:tcW w:w="1134" w:type="dxa"/>
          </w:tcPr>
          <w:p w14:paraId="2D697434" w14:textId="77777777" w:rsidR="0088112C" w:rsidRPr="004D53EC" w:rsidRDefault="0088112C" w:rsidP="005760FF">
            <w:pPr>
              <w:pStyle w:val="TableParagraph"/>
              <w:spacing w:line="184" w:lineRule="exact"/>
              <w:ind w:right="1"/>
              <w:rPr>
                <w:rFonts w:ascii="Arial MT"/>
                <w:sz w:val="16"/>
                <w:lang w:val="sq-AL"/>
              </w:rPr>
            </w:pPr>
            <w:r w:rsidRPr="004D53EC">
              <w:rPr>
                <w:spacing w:val="-4"/>
                <w:sz w:val="16"/>
                <w:lang w:val="sq-AL" w:bidi="sq-AL"/>
              </w:rPr>
              <w:t>2021</w:t>
            </w:r>
          </w:p>
        </w:tc>
      </w:tr>
      <w:tr w:rsidR="0088112C" w:rsidRPr="004D53EC" w14:paraId="15723487" w14:textId="77777777" w:rsidTr="005760FF">
        <w:trPr>
          <w:trHeight w:val="396"/>
        </w:trPr>
        <w:tc>
          <w:tcPr>
            <w:tcW w:w="6804" w:type="dxa"/>
          </w:tcPr>
          <w:p w14:paraId="0C31F07E"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Shkalla e papërpunuar e ndryshimit natyror të popullsisë (shkalla e rritjes natyrore): numri i lindjeve minus vdekjet (për mijë banorë)</w:t>
            </w:r>
          </w:p>
          <w:p w14:paraId="72E3DC06" w14:textId="77777777" w:rsidR="0088112C" w:rsidRPr="004D53EC" w:rsidRDefault="0088112C" w:rsidP="005760FF">
            <w:pPr>
              <w:pStyle w:val="TableParagraph"/>
              <w:spacing w:before="14" w:line="178" w:lineRule="exact"/>
              <w:ind w:left="107"/>
              <w:jc w:val="left"/>
              <w:rPr>
                <w:rFonts w:ascii="Arial MT"/>
                <w:sz w:val="16"/>
                <w:lang w:val="sq-AL"/>
              </w:rPr>
            </w:pPr>
          </w:p>
        </w:tc>
        <w:tc>
          <w:tcPr>
            <w:tcW w:w="568" w:type="dxa"/>
          </w:tcPr>
          <w:p w14:paraId="2A7CD29C" w14:textId="77777777" w:rsidR="0088112C" w:rsidRPr="004D53EC" w:rsidRDefault="0088112C" w:rsidP="005760FF">
            <w:pPr>
              <w:pStyle w:val="TableParagraph"/>
              <w:ind w:left="0"/>
              <w:jc w:val="left"/>
              <w:rPr>
                <w:sz w:val="14"/>
                <w:lang w:val="sq-AL"/>
              </w:rPr>
            </w:pPr>
          </w:p>
        </w:tc>
        <w:tc>
          <w:tcPr>
            <w:tcW w:w="1134" w:type="dxa"/>
          </w:tcPr>
          <w:p w14:paraId="11A86B0A" w14:textId="77777777" w:rsidR="0088112C" w:rsidRPr="004D53EC" w:rsidRDefault="0088112C" w:rsidP="005760FF">
            <w:pPr>
              <w:pStyle w:val="TableParagraph"/>
              <w:spacing w:before="1"/>
              <w:rPr>
                <w:rFonts w:ascii="Arial MT"/>
                <w:sz w:val="16"/>
                <w:lang w:val="sq-AL"/>
              </w:rPr>
            </w:pPr>
            <w:r w:rsidRPr="004D53EC">
              <w:rPr>
                <w:spacing w:val="-5"/>
                <w:sz w:val="16"/>
                <w:lang w:val="sq-AL" w:bidi="sq-AL"/>
              </w:rPr>
              <w:t>4.8</w:t>
            </w:r>
          </w:p>
        </w:tc>
        <w:tc>
          <w:tcPr>
            <w:tcW w:w="1134" w:type="dxa"/>
          </w:tcPr>
          <w:p w14:paraId="051F133D" w14:textId="77777777" w:rsidR="0088112C" w:rsidRPr="004D53EC" w:rsidRDefault="0088112C" w:rsidP="005760FF">
            <w:pPr>
              <w:pStyle w:val="TableParagraph"/>
              <w:spacing w:before="1"/>
              <w:rPr>
                <w:rFonts w:ascii="Arial MT"/>
                <w:sz w:val="16"/>
                <w:lang w:val="sq-AL"/>
              </w:rPr>
            </w:pPr>
            <w:r w:rsidRPr="004D53EC">
              <w:rPr>
                <w:spacing w:val="-5"/>
                <w:sz w:val="16"/>
                <w:lang w:val="sq-AL" w:bidi="sq-AL"/>
              </w:rPr>
              <w:t>3.0</w:t>
            </w:r>
          </w:p>
        </w:tc>
        <w:tc>
          <w:tcPr>
            <w:tcW w:w="1134" w:type="dxa"/>
          </w:tcPr>
          <w:p w14:paraId="1431ABE8" w14:textId="77777777" w:rsidR="0088112C" w:rsidRPr="004D53EC" w:rsidRDefault="0088112C" w:rsidP="005760FF">
            <w:pPr>
              <w:pStyle w:val="TableParagraph"/>
              <w:spacing w:before="1"/>
              <w:rPr>
                <w:rFonts w:ascii="Arial MT"/>
                <w:sz w:val="16"/>
                <w:lang w:val="sq-AL"/>
              </w:rPr>
            </w:pPr>
            <w:r w:rsidRPr="004D53EC">
              <w:rPr>
                <w:spacing w:val="-5"/>
                <w:sz w:val="16"/>
                <w:lang w:val="sq-AL" w:bidi="sq-AL"/>
              </w:rPr>
              <w:t>2.5</w:t>
            </w:r>
          </w:p>
        </w:tc>
        <w:tc>
          <w:tcPr>
            <w:tcW w:w="1134" w:type="dxa"/>
          </w:tcPr>
          <w:p w14:paraId="509CA538" w14:textId="77777777" w:rsidR="0088112C" w:rsidRPr="004D53EC" w:rsidRDefault="0088112C" w:rsidP="005760FF">
            <w:pPr>
              <w:pStyle w:val="TableParagraph"/>
              <w:spacing w:before="1"/>
              <w:rPr>
                <w:rFonts w:ascii="Arial MT"/>
                <w:sz w:val="16"/>
                <w:lang w:val="sq-AL"/>
              </w:rPr>
            </w:pPr>
            <w:r w:rsidRPr="004D53EC">
              <w:rPr>
                <w:spacing w:val="-5"/>
                <w:sz w:val="16"/>
                <w:lang w:val="sq-AL" w:bidi="sq-AL"/>
              </w:rPr>
              <w:t>2.3</w:t>
            </w:r>
          </w:p>
        </w:tc>
        <w:tc>
          <w:tcPr>
            <w:tcW w:w="1134" w:type="dxa"/>
          </w:tcPr>
          <w:p w14:paraId="247B2931" w14:textId="77777777" w:rsidR="0088112C" w:rsidRPr="004D53EC" w:rsidRDefault="0088112C" w:rsidP="005760FF">
            <w:pPr>
              <w:pStyle w:val="TableParagraph"/>
              <w:spacing w:before="1"/>
              <w:rPr>
                <w:rFonts w:ascii="Arial MT"/>
                <w:sz w:val="16"/>
                <w:lang w:val="sq-AL"/>
              </w:rPr>
            </w:pPr>
            <w:r w:rsidRPr="004D53EC">
              <w:rPr>
                <w:spacing w:val="-5"/>
                <w:sz w:val="16"/>
                <w:lang w:val="sq-AL" w:bidi="sq-AL"/>
              </w:rPr>
              <w:t>0.2</w:t>
            </w:r>
          </w:p>
        </w:tc>
        <w:tc>
          <w:tcPr>
            <w:tcW w:w="1134" w:type="dxa"/>
          </w:tcPr>
          <w:p w14:paraId="23E7FA18"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- 1.2</w:t>
            </w:r>
          </w:p>
        </w:tc>
      </w:tr>
      <w:tr w:rsidR="0088112C" w:rsidRPr="004D53EC" w14:paraId="40E7A022" w14:textId="77777777" w:rsidTr="005760FF">
        <w:trPr>
          <w:trHeight w:val="223"/>
        </w:trPr>
        <w:tc>
          <w:tcPr>
            <w:tcW w:w="6804" w:type="dxa"/>
          </w:tcPr>
          <w:p w14:paraId="5955CF4C"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Shkalla e vdekshmërisë foshnjore dhe vdekjet e fëmijëve nën një vjeç (për një mijë lindje të gjalla)</w:t>
            </w:r>
          </w:p>
        </w:tc>
        <w:tc>
          <w:tcPr>
            <w:tcW w:w="568" w:type="dxa"/>
          </w:tcPr>
          <w:p w14:paraId="4BFE6F8D" w14:textId="77777777" w:rsidR="0088112C" w:rsidRPr="004D53EC" w:rsidRDefault="0088112C" w:rsidP="005760FF">
            <w:pPr>
              <w:pStyle w:val="TableParagraph"/>
              <w:ind w:left="0"/>
              <w:jc w:val="left"/>
              <w:rPr>
                <w:sz w:val="14"/>
                <w:lang w:val="sq-AL"/>
              </w:rPr>
            </w:pPr>
          </w:p>
        </w:tc>
        <w:tc>
          <w:tcPr>
            <w:tcW w:w="1134" w:type="dxa"/>
          </w:tcPr>
          <w:p w14:paraId="7B0A3EFF" w14:textId="77777777" w:rsidR="0088112C" w:rsidRPr="004D53EC" w:rsidRDefault="0088112C" w:rsidP="005760FF">
            <w:pPr>
              <w:pStyle w:val="TableParagraph"/>
              <w:spacing w:before="1"/>
              <w:rPr>
                <w:rFonts w:ascii="Arial MT"/>
                <w:sz w:val="16"/>
                <w:lang w:val="sq-AL"/>
              </w:rPr>
            </w:pPr>
            <w:r w:rsidRPr="004D53EC">
              <w:rPr>
                <w:spacing w:val="-5"/>
                <w:sz w:val="16"/>
                <w:lang w:val="sq-AL" w:bidi="sq-AL"/>
              </w:rPr>
              <w:t>9.6</w:t>
            </w:r>
          </w:p>
        </w:tc>
        <w:tc>
          <w:tcPr>
            <w:tcW w:w="1134" w:type="dxa"/>
          </w:tcPr>
          <w:p w14:paraId="531FC77A" w14:textId="77777777" w:rsidR="0088112C" w:rsidRPr="004D53EC" w:rsidRDefault="0088112C" w:rsidP="005760FF">
            <w:pPr>
              <w:pStyle w:val="TableParagraph"/>
              <w:spacing w:before="1"/>
              <w:rPr>
                <w:rFonts w:ascii="Arial MT"/>
                <w:sz w:val="16"/>
                <w:lang w:val="sq-AL"/>
              </w:rPr>
            </w:pPr>
            <w:r w:rsidRPr="004D53EC">
              <w:rPr>
                <w:spacing w:val="-5"/>
                <w:sz w:val="16"/>
                <w:lang w:val="sq-AL" w:bidi="sq-AL"/>
              </w:rPr>
              <w:t>8.0</w:t>
            </w:r>
          </w:p>
        </w:tc>
        <w:tc>
          <w:tcPr>
            <w:tcW w:w="1134" w:type="dxa"/>
          </w:tcPr>
          <w:p w14:paraId="0534837E" w14:textId="77777777" w:rsidR="0088112C" w:rsidRPr="004D53EC" w:rsidRDefault="0088112C" w:rsidP="005760FF">
            <w:pPr>
              <w:pStyle w:val="TableParagraph"/>
              <w:spacing w:before="1"/>
              <w:rPr>
                <w:rFonts w:ascii="Arial MT"/>
                <w:sz w:val="16"/>
                <w:lang w:val="sq-AL"/>
              </w:rPr>
            </w:pPr>
            <w:r w:rsidRPr="004D53EC">
              <w:rPr>
                <w:spacing w:val="-5"/>
                <w:sz w:val="16"/>
                <w:lang w:val="sq-AL" w:bidi="sq-AL"/>
              </w:rPr>
              <w:t>8.9</w:t>
            </w:r>
          </w:p>
        </w:tc>
        <w:tc>
          <w:tcPr>
            <w:tcW w:w="1134" w:type="dxa"/>
          </w:tcPr>
          <w:p w14:paraId="4AA52907" w14:textId="77777777" w:rsidR="0088112C" w:rsidRPr="004D53EC" w:rsidRDefault="0088112C" w:rsidP="005760FF">
            <w:pPr>
              <w:pStyle w:val="TableParagraph"/>
              <w:spacing w:before="1"/>
              <w:rPr>
                <w:rFonts w:ascii="Arial MT"/>
                <w:sz w:val="16"/>
                <w:lang w:val="sq-AL"/>
              </w:rPr>
            </w:pPr>
            <w:r w:rsidRPr="004D53EC">
              <w:rPr>
                <w:spacing w:val="-4"/>
                <w:sz w:val="16"/>
                <w:lang w:val="sq-AL" w:bidi="sq-AL"/>
              </w:rPr>
              <w:t>10.3</w:t>
            </w:r>
          </w:p>
        </w:tc>
        <w:tc>
          <w:tcPr>
            <w:tcW w:w="1134" w:type="dxa"/>
          </w:tcPr>
          <w:p w14:paraId="3D23CA7C" w14:textId="77777777" w:rsidR="0088112C" w:rsidRPr="004D53EC" w:rsidRDefault="0088112C" w:rsidP="005760FF">
            <w:pPr>
              <w:pStyle w:val="TableParagraph"/>
              <w:spacing w:before="1"/>
              <w:rPr>
                <w:rFonts w:ascii="Arial MT"/>
                <w:sz w:val="16"/>
                <w:lang w:val="sq-AL"/>
              </w:rPr>
            </w:pPr>
            <w:r w:rsidRPr="004D53EC">
              <w:rPr>
                <w:spacing w:val="-4"/>
                <w:sz w:val="16"/>
                <w:lang w:val="sq-AL" w:bidi="sq-AL"/>
              </w:rPr>
              <w:t>10.0</w:t>
            </w:r>
          </w:p>
        </w:tc>
        <w:tc>
          <w:tcPr>
            <w:tcW w:w="1134" w:type="dxa"/>
          </w:tcPr>
          <w:p w14:paraId="211BC1D4" w14:textId="77777777" w:rsidR="0088112C" w:rsidRPr="004D53EC" w:rsidRDefault="0088112C" w:rsidP="005760FF">
            <w:pPr>
              <w:pStyle w:val="TableParagraph"/>
              <w:spacing w:before="1"/>
              <w:rPr>
                <w:rFonts w:ascii="Arial MT"/>
                <w:sz w:val="16"/>
                <w:lang w:val="sq-AL"/>
              </w:rPr>
            </w:pPr>
            <w:r w:rsidRPr="004D53EC">
              <w:rPr>
                <w:spacing w:val="-5"/>
                <w:sz w:val="16"/>
                <w:lang w:val="sq-AL" w:bidi="sq-AL"/>
              </w:rPr>
              <w:t>8.4</w:t>
            </w:r>
          </w:p>
        </w:tc>
      </w:tr>
      <w:tr w:rsidR="0088112C" w:rsidRPr="004D53EC" w14:paraId="7437EBE3" w14:textId="77777777" w:rsidTr="005760FF">
        <w:trPr>
          <w:trHeight w:val="222"/>
        </w:trPr>
        <w:tc>
          <w:tcPr>
            <w:tcW w:w="6804" w:type="dxa"/>
          </w:tcPr>
          <w:p w14:paraId="10F70216"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Jetëgjatësia e pritshme në lindje: mashkull (vite)</w:t>
            </w:r>
          </w:p>
        </w:tc>
        <w:tc>
          <w:tcPr>
            <w:tcW w:w="568" w:type="dxa"/>
          </w:tcPr>
          <w:p w14:paraId="6F17AF46" w14:textId="77777777" w:rsidR="0088112C" w:rsidRPr="004D53EC" w:rsidRDefault="0088112C" w:rsidP="005760FF">
            <w:pPr>
              <w:pStyle w:val="TableParagraph"/>
              <w:ind w:left="0"/>
              <w:jc w:val="left"/>
              <w:rPr>
                <w:sz w:val="14"/>
                <w:lang w:val="sq-AL"/>
              </w:rPr>
            </w:pPr>
          </w:p>
        </w:tc>
        <w:tc>
          <w:tcPr>
            <w:tcW w:w="1134" w:type="dxa"/>
          </w:tcPr>
          <w:p w14:paraId="7AAC13DA"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3682831D"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77.1</w:t>
            </w:r>
          </w:p>
        </w:tc>
        <w:tc>
          <w:tcPr>
            <w:tcW w:w="1134" w:type="dxa"/>
          </w:tcPr>
          <w:p w14:paraId="47ECBF2F"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77.4</w:t>
            </w:r>
          </w:p>
        </w:tc>
        <w:tc>
          <w:tcPr>
            <w:tcW w:w="1134" w:type="dxa"/>
          </w:tcPr>
          <w:p w14:paraId="606F4B22"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77.6</w:t>
            </w:r>
          </w:p>
        </w:tc>
        <w:tc>
          <w:tcPr>
            <w:tcW w:w="1134" w:type="dxa"/>
          </w:tcPr>
          <w:p w14:paraId="28A2481F"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75.2</w:t>
            </w:r>
          </w:p>
        </w:tc>
        <w:tc>
          <w:tcPr>
            <w:tcW w:w="1134" w:type="dxa"/>
          </w:tcPr>
          <w:p w14:paraId="74B58EE5"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73.6</w:t>
            </w:r>
          </w:p>
        </w:tc>
      </w:tr>
      <w:tr w:rsidR="0088112C" w:rsidRPr="004D53EC" w14:paraId="6A769F9B" w14:textId="77777777" w:rsidTr="005760FF">
        <w:trPr>
          <w:trHeight w:val="222"/>
        </w:trPr>
        <w:tc>
          <w:tcPr>
            <w:tcW w:w="6804" w:type="dxa"/>
          </w:tcPr>
          <w:p w14:paraId="206157AE"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Jetëgjatësia e pritshme në lindje: femër (vite)</w:t>
            </w:r>
          </w:p>
        </w:tc>
        <w:tc>
          <w:tcPr>
            <w:tcW w:w="568" w:type="dxa"/>
          </w:tcPr>
          <w:p w14:paraId="516D7D8F" w14:textId="77777777" w:rsidR="0088112C" w:rsidRPr="004D53EC" w:rsidRDefault="0088112C" w:rsidP="005760FF">
            <w:pPr>
              <w:pStyle w:val="TableParagraph"/>
              <w:ind w:left="0"/>
              <w:jc w:val="left"/>
              <w:rPr>
                <w:sz w:val="14"/>
                <w:lang w:val="sq-AL"/>
              </w:rPr>
            </w:pPr>
          </w:p>
        </w:tc>
        <w:tc>
          <w:tcPr>
            <w:tcW w:w="1134" w:type="dxa"/>
          </w:tcPr>
          <w:p w14:paraId="7076BE7F"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16770F64" w14:textId="77777777" w:rsidR="0088112C" w:rsidRPr="004D53EC" w:rsidRDefault="0088112C" w:rsidP="005760FF">
            <w:pPr>
              <w:pStyle w:val="TableParagraph"/>
              <w:spacing w:before="1"/>
              <w:rPr>
                <w:rFonts w:ascii="Arial MT"/>
                <w:sz w:val="16"/>
                <w:lang w:val="sq-AL"/>
              </w:rPr>
            </w:pPr>
            <w:r w:rsidRPr="004D53EC">
              <w:rPr>
                <w:spacing w:val="-4"/>
                <w:sz w:val="16"/>
                <w:lang w:val="sq-AL" w:bidi="sq-AL"/>
              </w:rPr>
              <w:t>80.1</w:t>
            </w:r>
          </w:p>
        </w:tc>
        <w:tc>
          <w:tcPr>
            <w:tcW w:w="1134" w:type="dxa"/>
          </w:tcPr>
          <w:p w14:paraId="70962F8A" w14:textId="77777777" w:rsidR="0088112C" w:rsidRPr="004D53EC" w:rsidRDefault="0088112C" w:rsidP="005760FF">
            <w:pPr>
              <w:pStyle w:val="TableParagraph"/>
              <w:spacing w:before="1"/>
              <w:rPr>
                <w:rFonts w:ascii="Arial MT"/>
                <w:sz w:val="16"/>
                <w:lang w:val="sq-AL"/>
              </w:rPr>
            </w:pPr>
            <w:r w:rsidRPr="004D53EC">
              <w:rPr>
                <w:spacing w:val="-4"/>
                <w:sz w:val="16"/>
                <w:lang w:val="sq-AL" w:bidi="sq-AL"/>
              </w:rPr>
              <w:t>80.5</w:t>
            </w:r>
          </w:p>
        </w:tc>
        <w:tc>
          <w:tcPr>
            <w:tcW w:w="1134" w:type="dxa"/>
          </w:tcPr>
          <w:p w14:paraId="4CAAB486" w14:textId="77777777" w:rsidR="0088112C" w:rsidRPr="004D53EC" w:rsidRDefault="0088112C" w:rsidP="005760FF">
            <w:pPr>
              <w:pStyle w:val="TableParagraph"/>
              <w:spacing w:before="1"/>
              <w:rPr>
                <w:rFonts w:ascii="Arial MT"/>
                <w:sz w:val="16"/>
                <w:lang w:val="sq-AL"/>
              </w:rPr>
            </w:pPr>
            <w:r w:rsidRPr="004D53EC">
              <w:rPr>
                <w:spacing w:val="-4"/>
                <w:sz w:val="16"/>
                <w:lang w:val="sq-AL" w:bidi="sq-AL"/>
              </w:rPr>
              <w:t>80.7</w:t>
            </w:r>
          </w:p>
        </w:tc>
        <w:tc>
          <w:tcPr>
            <w:tcW w:w="1134" w:type="dxa"/>
          </w:tcPr>
          <w:p w14:paraId="4BDC4807" w14:textId="77777777" w:rsidR="0088112C" w:rsidRPr="004D53EC" w:rsidRDefault="0088112C" w:rsidP="005760FF">
            <w:pPr>
              <w:pStyle w:val="TableParagraph"/>
              <w:spacing w:before="1"/>
              <w:rPr>
                <w:rFonts w:ascii="Arial MT"/>
                <w:sz w:val="16"/>
                <w:lang w:val="sq-AL"/>
              </w:rPr>
            </w:pPr>
            <w:r w:rsidRPr="004D53EC">
              <w:rPr>
                <w:spacing w:val="-4"/>
                <w:sz w:val="16"/>
                <w:lang w:val="sq-AL" w:bidi="sq-AL"/>
              </w:rPr>
              <w:t>79.6</w:t>
            </w:r>
          </w:p>
        </w:tc>
        <w:tc>
          <w:tcPr>
            <w:tcW w:w="1134" w:type="dxa"/>
          </w:tcPr>
          <w:p w14:paraId="5CC41C18" w14:textId="77777777" w:rsidR="0088112C" w:rsidRPr="004D53EC" w:rsidRDefault="0088112C" w:rsidP="005760FF">
            <w:pPr>
              <w:pStyle w:val="TableParagraph"/>
              <w:spacing w:before="1"/>
              <w:rPr>
                <w:rFonts w:ascii="Arial MT"/>
                <w:sz w:val="16"/>
                <w:lang w:val="sq-AL"/>
              </w:rPr>
            </w:pPr>
            <w:r w:rsidRPr="004D53EC">
              <w:rPr>
                <w:spacing w:val="-4"/>
                <w:sz w:val="16"/>
                <w:lang w:val="sq-AL" w:bidi="sq-AL"/>
              </w:rPr>
              <w:t>77.7</w:t>
            </w:r>
          </w:p>
        </w:tc>
      </w:tr>
      <w:tr w:rsidR="0088112C" w:rsidRPr="004D53EC" w14:paraId="1F91689F" w14:textId="77777777" w:rsidTr="005760FF">
        <w:trPr>
          <w:trHeight w:val="223"/>
        </w:trPr>
        <w:tc>
          <w:tcPr>
            <w:tcW w:w="14176" w:type="dxa"/>
            <w:gridSpan w:val="8"/>
            <w:tcBorders>
              <w:left w:val="nil"/>
              <w:bottom w:val="nil"/>
              <w:right w:val="nil"/>
            </w:tcBorders>
          </w:tcPr>
          <w:p w14:paraId="63D5E3CF" w14:textId="77777777" w:rsidR="0088112C" w:rsidRPr="004D53EC" w:rsidRDefault="0088112C" w:rsidP="005760FF">
            <w:pPr>
              <w:pStyle w:val="TableParagraph"/>
              <w:ind w:left="0"/>
              <w:jc w:val="left"/>
              <w:rPr>
                <w:sz w:val="14"/>
                <w:lang w:val="sq-AL"/>
              </w:rPr>
            </w:pPr>
          </w:p>
        </w:tc>
      </w:tr>
      <w:tr w:rsidR="0088112C" w:rsidRPr="004D53EC" w14:paraId="58A97A83" w14:textId="77777777" w:rsidTr="005760FF">
        <w:trPr>
          <w:trHeight w:val="222"/>
        </w:trPr>
        <w:tc>
          <w:tcPr>
            <w:tcW w:w="6804" w:type="dxa"/>
            <w:tcBorders>
              <w:top w:val="nil"/>
              <w:left w:val="nil"/>
            </w:tcBorders>
          </w:tcPr>
          <w:p w14:paraId="28676F3C" w14:textId="77777777" w:rsidR="0088112C" w:rsidRPr="004D53EC" w:rsidRDefault="0088112C" w:rsidP="005760FF">
            <w:pPr>
              <w:pStyle w:val="TableParagraph"/>
              <w:spacing w:line="184" w:lineRule="exact"/>
              <w:ind w:left="115"/>
              <w:jc w:val="left"/>
              <w:rPr>
                <w:rFonts w:ascii="Arial"/>
                <w:b/>
                <w:sz w:val="16"/>
                <w:lang w:val="sq-AL"/>
              </w:rPr>
            </w:pPr>
            <w:r w:rsidRPr="004D53EC">
              <w:rPr>
                <w:b/>
                <w:sz w:val="16"/>
                <w:lang w:val="sq-AL" w:bidi="sq-AL"/>
              </w:rPr>
              <w:t>Tregu i punës</w:t>
            </w:r>
          </w:p>
        </w:tc>
        <w:tc>
          <w:tcPr>
            <w:tcW w:w="568" w:type="dxa"/>
          </w:tcPr>
          <w:p w14:paraId="2323119D" w14:textId="77777777" w:rsidR="0088112C" w:rsidRPr="004D53EC" w:rsidRDefault="0088112C" w:rsidP="005760FF">
            <w:pPr>
              <w:pStyle w:val="TableParagraph"/>
              <w:spacing w:line="184" w:lineRule="exact"/>
              <w:ind w:left="0" w:right="100"/>
              <w:jc w:val="right"/>
              <w:rPr>
                <w:rFonts w:ascii="Arial MT"/>
                <w:sz w:val="16"/>
                <w:lang w:val="sq-AL"/>
              </w:rPr>
            </w:pPr>
            <w:r w:rsidRPr="004D53EC">
              <w:rPr>
                <w:spacing w:val="-4"/>
                <w:sz w:val="16"/>
                <w:lang w:val="sq-AL" w:bidi="sq-AL"/>
              </w:rPr>
              <w:t>Shënime</w:t>
            </w:r>
          </w:p>
        </w:tc>
        <w:tc>
          <w:tcPr>
            <w:tcW w:w="1134" w:type="dxa"/>
          </w:tcPr>
          <w:p w14:paraId="13676C16" w14:textId="77777777" w:rsidR="0088112C" w:rsidRPr="004D53EC" w:rsidRDefault="0088112C" w:rsidP="005760FF">
            <w:pPr>
              <w:pStyle w:val="TableParagraph"/>
              <w:spacing w:line="184" w:lineRule="exact"/>
              <w:ind w:right="1"/>
              <w:rPr>
                <w:rFonts w:ascii="Arial MT"/>
                <w:sz w:val="16"/>
                <w:lang w:val="sq-AL"/>
              </w:rPr>
            </w:pPr>
            <w:r w:rsidRPr="004D53EC">
              <w:rPr>
                <w:spacing w:val="-4"/>
                <w:sz w:val="16"/>
                <w:lang w:val="sq-AL" w:bidi="sq-AL"/>
              </w:rPr>
              <w:t>2010</w:t>
            </w:r>
          </w:p>
        </w:tc>
        <w:tc>
          <w:tcPr>
            <w:tcW w:w="1134" w:type="dxa"/>
          </w:tcPr>
          <w:p w14:paraId="01AA3660" w14:textId="77777777" w:rsidR="0088112C" w:rsidRPr="004D53EC" w:rsidRDefault="0088112C" w:rsidP="005760FF">
            <w:pPr>
              <w:pStyle w:val="TableParagraph"/>
              <w:spacing w:line="184" w:lineRule="exact"/>
              <w:ind w:right="1"/>
              <w:rPr>
                <w:rFonts w:ascii="Arial MT"/>
                <w:sz w:val="16"/>
                <w:lang w:val="sq-AL"/>
              </w:rPr>
            </w:pPr>
            <w:r w:rsidRPr="004D53EC">
              <w:rPr>
                <w:spacing w:val="-4"/>
                <w:sz w:val="16"/>
                <w:lang w:val="sq-AL" w:bidi="sq-AL"/>
              </w:rPr>
              <w:t>2017</w:t>
            </w:r>
          </w:p>
        </w:tc>
        <w:tc>
          <w:tcPr>
            <w:tcW w:w="1134" w:type="dxa"/>
          </w:tcPr>
          <w:p w14:paraId="79F4C50E" w14:textId="77777777" w:rsidR="0088112C" w:rsidRPr="004D53EC" w:rsidRDefault="0088112C" w:rsidP="005760FF">
            <w:pPr>
              <w:pStyle w:val="TableParagraph"/>
              <w:spacing w:line="184" w:lineRule="exact"/>
              <w:ind w:right="1"/>
              <w:rPr>
                <w:rFonts w:ascii="Arial MT"/>
                <w:sz w:val="16"/>
                <w:lang w:val="sq-AL"/>
              </w:rPr>
            </w:pPr>
            <w:r w:rsidRPr="004D53EC">
              <w:rPr>
                <w:spacing w:val="-4"/>
                <w:sz w:val="16"/>
                <w:lang w:val="sq-AL" w:bidi="sq-AL"/>
              </w:rPr>
              <w:t>2018</w:t>
            </w:r>
          </w:p>
        </w:tc>
        <w:tc>
          <w:tcPr>
            <w:tcW w:w="1134" w:type="dxa"/>
          </w:tcPr>
          <w:p w14:paraId="3E38B587" w14:textId="77777777" w:rsidR="0088112C" w:rsidRPr="004D53EC" w:rsidRDefault="0088112C" w:rsidP="005760FF">
            <w:pPr>
              <w:pStyle w:val="TableParagraph"/>
              <w:spacing w:line="184" w:lineRule="exact"/>
              <w:ind w:right="1"/>
              <w:rPr>
                <w:rFonts w:ascii="Arial MT"/>
                <w:sz w:val="16"/>
                <w:lang w:val="sq-AL"/>
              </w:rPr>
            </w:pPr>
            <w:r w:rsidRPr="004D53EC">
              <w:rPr>
                <w:spacing w:val="-4"/>
                <w:sz w:val="16"/>
                <w:lang w:val="sq-AL" w:bidi="sq-AL"/>
              </w:rPr>
              <w:t>2019</w:t>
            </w:r>
          </w:p>
        </w:tc>
        <w:tc>
          <w:tcPr>
            <w:tcW w:w="1134" w:type="dxa"/>
          </w:tcPr>
          <w:p w14:paraId="2098E2C6" w14:textId="77777777" w:rsidR="0088112C" w:rsidRPr="004D53EC" w:rsidRDefault="0088112C" w:rsidP="005760FF">
            <w:pPr>
              <w:pStyle w:val="TableParagraph"/>
              <w:spacing w:line="184" w:lineRule="exact"/>
              <w:ind w:right="1"/>
              <w:rPr>
                <w:rFonts w:ascii="Arial MT"/>
                <w:sz w:val="16"/>
                <w:lang w:val="sq-AL"/>
              </w:rPr>
            </w:pPr>
            <w:r w:rsidRPr="004D53EC">
              <w:rPr>
                <w:spacing w:val="-4"/>
                <w:sz w:val="16"/>
                <w:lang w:val="sq-AL" w:bidi="sq-AL"/>
              </w:rPr>
              <w:t>2020</w:t>
            </w:r>
          </w:p>
        </w:tc>
        <w:tc>
          <w:tcPr>
            <w:tcW w:w="1134" w:type="dxa"/>
          </w:tcPr>
          <w:p w14:paraId="24407A88" w14:textId="77777777" w:rsidR="0088112C" w:rsidRPr="004D53EC" w:rsidRDefault="0088112C" w:rsidP="005760FF">
            <w:pPr>
              <w:pStyle w:val="TableParagraph"/>
              <w:spacing w:line="184" w:lineRule="exact"/>
              <w:ind w:right="1"/>
              <w:rPr>
                <w:rFonts w:ascii="Arial MT"/>
                <w:sz w:val="16"/>
                <w:lang w:val="sq-AL"/>
              </w:rPr>
            </w:pPr>
            <w:r w:rsidRPr="004D53EC">
              <w:rPr>
                <w:spacing w:val="-4"/>
                <w:sz w:val="16"/>
                <w:lang w:val="sq-AL" w:bidi="sq-AL"/>
              </w:rPr>
              <w:t>2021</w:t>
            </w:r>
          </w:p>
        </w:tc>
      </w:tr>
      <w:tr w:rsidR="0088112C" w:rsidRPr="004D53EC" w14:paraId="1B349F70" w14:textId="77777777" w:rsidTr="005760FF">
        <w:trPr>
          <w:trHeight w:val="397"/>
        </w:trPr>
        <w:tc>
          <w:tcPr>
            <w:tcW w:w="6804" w:type="dxa"/>
          </w:tcPr>
          <w:p w14:paraId="78CDDBE3" w14:textId="77777777" w:rsidR="0088112C" w:rsidRPr="004D53EC" w:rsidRDefault="0088112C" w:rsidP="005760FF">
            <w:pPr>
              <w:pStyle w:val="TableParagraph"/>
              <w:spacing w:before="1"/>
              <w:ind w:left="107"/>
              <w:jc w:val="left"/>
              <w:rPr>
                <w:rFonts w:ascii="Arial MT" w:hAnsi="Arial MT"/>
                <w:sz w:val="16"/>
                <w:lang w:val="sq-AL"/>
              </w:rPr>
            </w:pPr>
            <w:r w:rsidRPr="004D53EC">
              <w:rPr>
                <w:sz w:val="16"/>
                <w:lang w:val="sq-AL" w:bidi="sq-AL"/>
              </w:rPr>
              <w:t>Shkalla e aktivitetit ekonomik për personat e moshës 20–64 vjeç: si përqindje e popullsisë në moshën 20–64 vjeç që është ekonomikisht aktive (%)</w:t>
            </w:r>
          </w:p>
          <w:p w14:paraId="0C798DAD" w14:textId="77777777" w:rsidR="0088112C" w:rsidRPr="004D53EC" w:rsidRDefault="0088112C" w:rsidP="005760FF">
            <w:pPr>
              <w:pStyle w:val="TableParagraph"/>
              <w:spacing w:before="14" w:line="179" w:lineRule="exact"/>
              <w:ind w:left="107"/>
              <w:jc w:val="left"/>
              <w:rPr>
                <w:rFonts w:ascii="Arial MT"/>
                <w:sz w:val="16"/>
                <w:lang w:val="sq-AL"/>
              </w:rPr>
            </w:pPr>
          </w:p>
        </w:tc>
        <w:tc>
          <w:tcPr>
            <w:tcW w:w="568" w:type="dxa"/>
          </w:tcPr>
          <w:p w14:paraId="2E3CE337" w14:textId="77777777" w:rsidR="0088112C" w:rsidRPr="004D53EC" w:rsidRDefault="0088112C" w:rsidP="005760FF">
            <w:pPr>
              <w:pStyle w:val="TableParagraph"/>
              <w:ind w:left="0"/>
              <w:jc w:val="left"/>
              <w:rPr>
                <w:sz w:val="14"/>
                <w:lang w:val="sq-AL"/>
              </w:rPr>
            </w:pPr>
          </w:p>
        </w:tc>
        <w:tc>
          <w:tcPr>
            <w:tcW w:w="1134" w:type="dxa"/>
          </w:tcPr>
          <w:p w14:paraId="70E585C0"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69.7 </w:t>
            </w:r>
            <w:proofErr w:type="spellStart"/>
            <w:r w:rsidRPr="004D53EC">
              <w:rPr>
                <w:sz w:val="16"/>
                <w:lang w:val="sq-AL" w:bidi="sq-AL"/>
              </w:rPr>
              <w:t>ew</w:t>
            </w:r>
            <w:proofErr w:type="spellEnd"/>
          </w:p>
        </w:tc>
        <w:tc>
          <w:tcPr>
            <w:tcW w:w="1134" w:type="dxa"/>
          </w:tcPr>
          <w:p w14:paraId="30490F9C" w14:textId="77777777" w:rsidR="0088112C" w:rsidRPr="004D53EC" w:rsidRDefault="0088112C" w:rsidP="005760FF">
            <w:pPr>
              <w:pStyle w:val="TableParagraph"/>
              <w:spacing w:before="1"/>
              <w:ind w:left="330"/>
              <w:jc w:val="left"/>
              <w:rPr>
                <w:rFonts w:ascii="Arial MT"/>
                <w:sz w:val="16"/>
                <w:lang w:val="sq-AL"/>
              </w:rPr>
            </w:pPr>
            <w:r w:rsidRPr="004D53EC">
              <w:rPr>
                <w:sz w:val="16"/>
                <w:lang w:val="sq-AL" w:bidi="sq-AL"/>
              </w:rPr>
              <w:t>73.9 w</w:t>
            </w:r>
          </w:p>
        </w:tc>
        <w:tc>
          <w:tcPr>
            <w:tcW w:w="1134" w:type="dxa"/>
          </w:tcPr>
          <w:p w14:paraId="7DE8AD0F"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74.8 </w:t>
            </w:r>
            <w:proofErr w:type="spellStart"/>
            <w:r w:rsidRPr="004D53EC">
              <w:rPr>
                <w:sz w:val="16"/>
                <w:lang w:val="sq-AL" w:bidi="sq-AL"/>
              </w:rPr>
              <w:t>ew</w:t>
            </w:r>
            <w:proofErr w:type="spellEnd"/>
          </w:p>
        </w:tc>
        <w:tc>
          <w:tcPr>
            <w:tcW w:w="1134" w:type="dxa"/>
          </w:tcPr>
          <w:p w14:paraId="62440D09"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75.9 </w:t>
            </w:r>
            <w:proofErr w:type="spellStart"/>
            <w:r w:rsidRPr="004D53EC">
              <w:rPr>
                <w:sz w:val="16"/>
                <w:lang w:val="sq-AL" w:bidi="sq-AL"/>
              </w:rPr>
              <w:t>ew</w:t>
            </w:r>
            <w:proofErr w:type="spellEnd"/>
          </w:p>
        </w:tc>
        <w:tc>
          <w:tcPr>
            <w:tcW w:w="1134" w:type="dxa"/>
          </w:tcPr>
          <w:p w14:paraId="67B50462"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75.3 </w:t>
            </w:r>
            <w:proofErr w:type="spellStart"/>
            <w:r w:rsidRPr="004D53EC">
              <w:rPr>
                <w:sz w:val="16"/>
                <w:lang w:val="sq-AL" w:bidi="sq-AL"/>
              </w:rPr>
              <w:t>ew</w:t>
            </w:r>
            <w:proofErr w:type="spellEnd"/>
          </w:p>
        </w:tc>
        <w:tc>
          <w:tcPr>
            <w:tcW w:w="1134" w:type="dxa"/>
          </w:tcPr>
          <w:p w14:paraId="267615F2"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75.1 </w:t>
            </w:r>
            <w:proofErr w:type="spellStart"/>
            <w:r w:rsidRPr="004D53EC">
              <w:rPr>
                <w:sz w:val="16"/>
                <w:lang w:val="sq-AL" w:bidi="sq-AL"/>
              </w:rPr>
              <w:t>ew</w:t>
            </w:r>
            <w:proofErr w:type="spellEnd"/>
          </w:p>
        </w:tc>
      </w:tr>
      <w:tr w:rsidR="0088112C" w:rsidRPr="004D53EC" w14:paraId="167DA96A" w14:textId="77777777" w:rsidTr="005760FF">
        <w:trPr>
          <w:trHeight w:val="396"/>
        </w:trPr>
        <w:tc>
          <w:tcPr>
            <w:tcW w:w="6804" w:type="dxa"/>
          </w:tcPr>
          <w:p w14:paraId="4CD539D8" w14:textId="77777777" w:rsidR="0088112C" w:rsidRPr="004D53EC" w:rsidRDefault="0088112C" w:rsidP="005760FF">
            <w:pPr>
              <w:pStyle w:val="TableParagraph"/>
              <w:spacing w:line="184" w:lineRule="exact"/>
              <w:ind w:left="107"/>
              <w:jc w:val="left"/>
              <w:rPr>
                <w:rFonts w:ascii="Arial MT" w:hAnsi="Arial MT"/>
                <w:sz w:val="16"/>
                <w:lang w:val="sq-AL"/>
              </w:rPr>
            </w:pPr>
            <w:r w:rsidRPr="004D53EC">
              <w:rPr>
                <w:sz w:val="16"/>
                <w:lang w:val="sq-AL" w:bidi="sq-AL"/>
              </w:rPr>
              <w:lastRenderedPageBreak/>
              <w:t>* Shkalla e punësimit për personat e moshës 20–64 vjeç: si përqindje e popullsisë në moshën 20–64 vjeç që</w:t>
            </w:r>
          </w:p>
          <w:p w14:paraId="2B18E91D" w14:textId="77777777" w:rsidR="0088112C" w:rsidRPr="004D53EC" w:rsidRDefault="0088112C" w:rsidP="005760FF">
            <w:pPr>
              <w:pStyle w:val="TableParagraph"/>
              <w:spacing w:before="14" w:line="179" w:lineRule="exact"/>
              <w:ind w:left="107"/>
              <w:jc w:val="left"/>
              <w:rPr>
                <w:rFonts w:ascii="Arial MT"/>
                <w:sz w:val="16"/>
                <w:lang w:val="sq-AL"/>
              </w:rPr>
            </w:pPr>
            <w:r w:rsidRPr="004D53EC">
              <w:rPr>
                <w:sz w:val="16"/>
                <w:lang w:val="sq-AL" w:bidi="sq-AL"/>
              </w:rPr>
              <w:t xml:space="preserve"> janë të punësuar (%)</w:t>
            </w:r>
          </w:p>
        </w:tc>
        <w:tc>
          <w:tcPr>
            <w:tcW w:w="568" w:type="dxa"/>
          </w:tcPr>
          <w:p w14:paraId="75B3C89C" w14:textId="77777777" w:rsidR="0088112C" w:rsidRPr="004D53EC" w:rsidRDefault="0088112C" w:rsidP="005760FF">
            <w:pPr>
              <w:pStyle w:val="TableParagraph"/>
              <w:ind w:left="0"/>
              <w:jc w:val="left"/>
              <w:rPr>
                <w:sz w:val="14"/>
                <w:lang w:val="sq-AL"/>
              </w:rPr>
            </w:pPr>
          </w:p>
        </w:tc>
        <w:tc>
          <w:tcPr>
            <w:tcW w:w="1134" w:type="dxa"/>
          </w:tcPr>
          <w:p w14:paraId="0D240907" w14:textId="77777777" w:rsidR="0088112C" w:rsidRPr="004D53EC" w:rsidRDefault="0088112C" w:rsidP="005760FF">
            <w:pPr>
              <w:pStyle w:val="TableParagraph"/>
              <w:spacing w:line="184" w:lineRule="exact"/>
              <w:ind w:left="286"/>
              <w:jc w:val="left"/>
              <w:rPr>
                <w:rFonts w:ascii="Arial MT"/>
                <w:sz w:val="16"/>
                <w:lang w:val="sq-AL"/>
              </w:rPr>
            </w:pPr>
            <w:r w:rsidRPr="004D53EC">
              <w:rPr>
                <w:sz w:val="16"/>
                <w:lang w:val="sq-AL" w:bidi="sq-AL"/>
              </w:rPr>
              <w:t xml:space="preserve">60.3 </w:t>
            </w:r>
            <w:proofErr w:type="spellStart"/>
            <w:r w:rsidRPr="004D53EC">
              <w:rPr>
                <w:sz w:val="16"/>
                <w:lang w:val="sq-AL" w:bidi="sq-AL"/>
              </w:rPr>
              <w:t>ew</w:t>
            </w:r>
            <w:proofErr w:type="spellEnd"/>
          </w:p>
        </w:tc>
        <w:tc>
          <w:tcPr>
            <w:tcW w:w="1134" w:type="dxa"/>
          </w:tcPr>
          <w:p w14:paraId="3A7B0ADD" w14:textId="77777777" w:rsidR="0088112C" w:rsidRPr="004D53EC" w:rsidRDefault="0088112C" w:rsidP="005760FF">
            <w:pPr>
              <w:pStyle w:val="TableParagraph"/>
              <w:spacing w:line="184" w:lineRule="exact"/>
              <w:ind w:left="330"/>
              <w:jc w:val="left"/>
              <w:rPr>
                <w:rFonts w:ascii="Arial MT"/>
                <w:sz w:val="16"/>
                <w:lang w:val="sq-AL"/>
              </w:rPr>
            </w:pPr>
            <w:r w:rsidRPr="004D53EC">
              <w:rPr>
                <w:sz w:val="16"/>
                <w:lang w:val="sq-AL" w:bidi="sq-AL"/>
              </w:rPr>
              <w:t>63.9 w</w:t>
            </w:r>
          </w:p>
        </w:tc>
        <w:tc>
          <w:tcPr>
            <w:tcW w:w="1134" w:type="dxa"/>
          </w:tcPr>
          <w:p w14:paraId="1D5C9867" w14:textId="77777777" w:rsidR="0088112C" w:rsidRPr="004D53EC" w:rsidRDefault="0088112C" w:rsidP="005760FF">
            <w:pPr>
              <w:pStyle w:val="TableParagraph"/>
              <w:spacing w:line="184" w:lineRule="exact"/>
              <w:ind w:left="286"/>
              <w:jc w:val="left"/>
              <w:rPr>
                <w:rFonts w:ascii="Arial MT"/>
                <w:sz w:val="16"/>
                <w:lang w:val="sq-AL"/>
              </w:rPr>
            </w:pPr>
            <w:r w:rsidRPr="004D53EC">
              <w:rPr>
                <w:sz w:val="16"/>
                <w:lang w:val="sq-AL" w:bidi="sq-AL"/>
              </w:rPr>
              <w:t xml:space="preserve">65.6 </w:t>
            </w:r>
            <w:proofErr w:type="spellStart"/>
            <w:r w:rsidRPr="004D53EC">
              <w:rPr>
                <w:sz w:val="16"/>
                <w:lang w:val="sq-AL" w:bidi="sq-AL"/>
              </w:rPr>
              <w:t>ew</w:t>
            </w:r>
            <w:proofErr w:type="spellEnd"/>
          </w:p>
        </w:tc>
        <w:tc>
          <w:tcPr>
            <w:tcW w:w="1134" w:type="dxa"/>
          </w:tcPr>
          <w:p w14:paraId="044F7246" w14:textId="77777777" w:rsidR="0088112C" w:rsidRPr="004D53EC" w:rsidRDefault="0088112C" w:rsidP="005760FF">
            <w:pPr>
              <w:pStyle w:val="TableParagraph"/>
              <w:spacing w:line="184" w:lineRule="exact"/>
              <w:ind w:left="286"/>
              <w:jc w:val="left"/>
              <w:rPr>
                <w:rFonts w:ascii="Arial MT"/>
                <w:sz w:val="16"/>
                <w:lang w:val="sq-AL"/>
              </w:rPr>
            </w:pPr>
            <w:r w:rsidRPr="004D53EC">
              <w:rPr>
                <w:sz w:val="16"/>
                <w:lang w:val="sq-AL" w:bidi="sq-AL"/>
              </w:rPr>
              <w:t xml:space="preserve">67.1 </w:t>
            </w:r>
            <w:proofErr w:type="spellStart"/>
            <w:r w:rsidRPr="004D53EC">
              <w:rPr>
                <w:sz w:val="16"/>
                <w:lang w:val="sq-AL" w:bidi="sq-AL"/>
              </w:rPr>
              <w:t>ew</w:t>
            </w:r>
            <w:proofErr w:type="spellEnd"/>
          </w:p>
        </w:tc>
        <w:tc>
          <w:tcPr>
            <w:tcW w:w="1134" w:type="dxa"/>
          </w:tcPr>
          <w:p w14:paraId="76DFAC83" w14:textId="77777777" w:rsidR="0088112C" w:rsidRPr="004D53EC" w:rsidRDefault="0088112C" w:rsidP="005760FF">
            <w:pPr>
              <w:pStyle w:val="TableParagraph"/>
              <w:spacing w:line="184" w:lineRule="exact"/>
              <w:ind w:left="286"/>
              <w:jc w:val="left"/>
              <w:rPr>
                <w:rFonts w:ascii="Arial MT"/>
                <w:sz w:val="16"/>
                <w:lang w:val="sq-AL"/>
              </w:rPr>
            </w:pPr>
            <w:r w:rsidRPr="004D53EC">
              <w:rPr>
                <w:sz w:val="16"/>
                <w:lang w:val="sq-AL" w:bidi="sq-AL"/>
              </w:rPr>
              <w:t xml:space="preserve">66.3 </w:t>
            </w:r>
            <w:proofErr w:type="spellStart"/>
            <w:r w:rsidRPr="004D53EC">
              <w:rPr>
                <w:sz w:val="16"/>
                <w:lang w:val="sq-AL" w:bidi="sq-AL"/>
              </w:rPr>
              <w:t>ew</w:t>
            </w:r>
            <w:proofErr w:type="spellEnd"/>
          </w:p>
        </w:tc>
        <w:tc>
          <w:tcPr>
            <w:tcW w:w="1134" w:type="dxa"/>
          </w:tcPr>
          <w:p w14:paraId="7DEA098F" w14:textId="77777777" w:rsidR="0088112C" w:rsidRPr="004D53EC" w:rsidRDefault="0088112C" w:rsidP="005760FF">
            <w:pPr>
              <w:pStyle w:val="TableParagraph"/>
              <w:spacing w:line="184" w:lineRule="exact"/>
              <w:ind w:left="286"/>
              <w:jc w:val="left"/>
              <w:rPr>
                <w:rFonts w:ascii="Arial MT"/>
                <w:sz w:val="16"/>
                <w:lang w:val="sq-AL"/>
              </w:rPr>
            </w:pPr>
            <w:r w:rsidRPr="004D53EC">
              <w:rPr>
                <w:sz w:val="16"/>
                <w:lang w:val="sq-AL" w:bidi="sq-AL"/>
              </w:rPr>
              <w:t xml:space="preserve">66.3 </w:t>
            </w:r>
            <w:proofErr w:type="spellStart"/>
            <w:r w:rsidRPr="004D53EC">
              <w:rPr>
                <w:sz w:val="16"/>
                <w:lang w:val="sq-AL" w:bidi="sq-AL"/>
              </w:rPr>
              <w:t>ew</w:t>
            </w:r>
            <w:proofErr w:type="spellEnd"/>
          </w:p>
        </w:tc>
      </w:tr>
      <w:tr w:rsidR="0088112C" w:rsidRPr="004D53EC" w14:paraId="6D8CE695" w14:textId="77777777" w:rsidTr="005760FF">
        <w:trPr>
          <w:trHeight w:val="222"/>
        </w:trPr>
        <w:tc>
          <w:tcPr>
            <w:tcW w:w="6804" w:type="dxa"/>
          </w:tcPr>
          <w:p w14:paraId="6DD901BA" w14:textId="77777777" w:rsidR="0088112C" w:rsidRPr="004D53EC" w:rsidRDefault="0088112C" w:rsidP="005760FF">
            <w:pPr>
              <w:pStyle w:val="TableParagraph"/>
              <w:spacing w:line="184" w:lineRule="exact"/>
              <w:ind w:left="107"/>
              <w:jc w:val="left"/>
              <w:rPr>
                <w:rFonts w:ascii="Arial MT" w:hAnsi="Arial MT"/>
                <w:sz w:val="16"/>
                <w:lang w:val="sq-AL"/>
              </w:rPr>
            </w:pPr>
            <w:r w:rsidRPr="004D53EC">
              <w:rPr>
                <w:sz w:val="16"/>
                <w:lang w:val="sq-AL" w:bidi="sq-AL"/>
              </w:rPr>
              <w:t>Shkalla e punësimit të burrave, për personat e moshës 20–64 vjeç (%)</w:t>
            </w:r>
          </w:p>
        </w:tc>
        <w:tc>
          <w:tcPr>
            <w:tcW w:w="568" w:type="dxa"/>
          </w:tcPr>
          <w:p w14:paraId="39241B95" w14:textId="77777777" w:rsidR="0088112C" w:rsidRPr="004D53EC" w:rsidRDefault="0088112C" w:rsidP="005760FF">
            <w:pPr>
              <w:pStyle w:val="TableParagraph"/>
              <w:ind w:left="0"/>
              <w:jc w:val="left"/>
              <w:rPr>
                <w:sz w:val="14"/>
                <w:lang w:val="sq-AL"/>
              </w:rPr>
            </w:pPr>
          </w:p>
        </w:tc>
        <w:tc>
          <w:tcPr>
            <w:tcW w:w="1134" w:type="dxa"/>
          </w:tcPr>
          <w:p w14:paraId="3942E2E5" w14:textId="77777777" w:rsidR="0088112C" w:rsidRPr="004D53EC" w:rsidRDefault="0088112C" w:rsidP="005760FF">
            <w:pPr>
              <w:pStyle w:val="TableParagraph"/>
              <w:spacing w:line="184" w:lineRule="exact"/>
              <w:ind w:left="286"/>
              <w:jc w:val="left"/>
              <w:rPr>
                <w:rFonts w:ascii="Arial MT"/>
                <w:sz w:val="16"/>
                <w:lang w:val="sq-AL"/>
              </w:rPr>
            </w:pPr>
            <w:r w:rsidRPr="004D53EC">
              <w:rPr>
                <w:sz w:val="16"/>
                <w:lang w:val="sq-AL" w:bidi="sq-AL"/>
              </w:rPr>
              <w:t xml:space="preserve">71.5 </w:t>
            </w:r>
            <w:proofErr w:type="spellStart"/>
            <w:r w:rsidRPr="004D53EC">
              <w:rPr>
                <w:sz w:val="16"/>
                <w:lang w:val="sq-AL" w:bidi="sq-AL"/>
              </w:rPr>
              <w:t>ew</w:t>
            </w:r>
            <w:proofErr w:type="spellEnd"/>
          </w:p>
        </w:tc>
        <w:tc>
          <w:tcPr>
            <w:tcW w:w="1134" w:type="dxa"/>
          </w:tcPr>
          <w:p w14:paraId="560734C5" w14:textId="77777777" w:rsidR="0088112C" w:rsidRPr="004D53EC" w:rsidRDefault="0088112C" w:rsidP="005760FF">
            <w:pPr>
              <w:pStyle w:val="TableParagraph"/>
              <w:spacing w:line="184" w:lineRule="exact"/>
              <w:ind w:left="330"/>
              <w:jc w:val="left"/>
              <w:rPr>
                <w:rFonts w:ascii="Arial MT"/>
                <w:sz w:val="16"/>
                <w:lang w:val="sq-AL"/>
              </w:rPr>
            </w:pPr>
            <w:r w:rsidRPr="004D53EC">
              <w:rPr>
                <w:sz w:val="16"/>
                <w:lang w:val="sq-AL" w:bidi="sq-AL"/>
              </w:rPr>
              <w:t>72.1 w</w:t>
            </w:r>
          </w:p>
        </w:tc>
        <w:tc>
          <w:tcPr>
            <w:tcW w:w="1134" w:type="dxa"/>
          </w:tcPr>
          <w:p w14:paraId="6D8051A4" w14:textId="77777777" w:rsidR="0088112C" w:rsidRPr="004D53EC" w:rsidRDefault="0088112C" w:rsidP="005760FF">
            <w:pPr>
              <w:pStyle w:val="TableParagraph"/>
              <w:spacing w:line="184" w:lineRule="exact"/>
              <w:ind w:left="286"/>
              <w:jc w:val="left"/>
              <w:rPr>
                <w:rFonts w:ascii="Arial MT"/>
                <w:sz w:val="16"/>
                <w:lang w:val="sq-AL"/>
              </w:rPr>
            </w:pPr>
            <w:r w:rsidRPr="004D53EC">
              <w:rPr>
                <w:sz w:val="16"/>
                <w:lang w:val="sq-AL" w:bidi="sq-AL"/>
              </w:rPr>
              <w:t xml:space="preserve">73.9 </w:t>
            </w:r>
            <w:proofErr w:type="spellStart"/>
            <w:r w:rsidRPr="004D53EC">
              <w:rPr>
                <w:sz w:val="16"/>
                <w:lang w:val="sq-AL" w:bidi="sq-AL"/>
              </w:rPr>
              <w:t>ew</w:t>
            </w:r>
            <w:proofErr w:type="spellEnd"/>
          </w:p>
        </w:tc>
        <w:tc>
          <w:tcPr>
            <w:tcW w:w="1134" w:type="dxa"/>
          </w:tcPr>
          <w:p w14:paraId="6EC8E5E1" w14:textId="77777777" w:rsidR="0088112C" w:rsidRPr="004D53EC" w:rsidRDefault="0088112C" w:rsidP="005760FF">
            <w:pPr>
              <w:pStyle w:val="TableParagraph"/>
              <w:spacing w:line="184" w:lineRule="exact"/>
              <w:ind w:left="286"/>
              <w:jc w:val="left"/>
              <w:rPr>
                <w:rFonts w:ascii="Arial MT"/>
                <w:sz w:val="16"/>
                <w:lang w:val="sq-AL"/>
              </w:rPr>
            </w:pPr>
            <w:r w:rsidRPr="004D53EC">
              <w:rPr>
                <w:sz w:val="16"/>
                <w:lang w:val="sq-AL" w:bidi="sq-AL"/>
              </w:rPr>
              <w:t xml:space="preserve">74.7 </w:t>
            </w:r>
            <w:proofErr w:type="spellStart"/>
            <w:r w:rsidRPr="004D53EC">
              <w:rPr>
                <w:sz w:val="16"/>
                <w:lang w:val="sq-AL" w:bidi="sq-AL"/>
              </w:rPr>
              <w:t>ew</w:t>
            </w:r>
            <w:proofErr w:type="spellEnd"/>
          </w:p>
        </w:tc>
        <w:tc>
          <w:tcPr>
            <w:tcW w:w="1134" w:type="dxa"/>
          </w:tcPr>
          <w:p w14:paraId="2C27D8C2" w14:textId="77777777" w:rsidR="0088112C" w:rsidRPr="004D53EC" w:rsidRDefault="0088112C" w:rsidP="005760FF">
            <w:pPr>
              <w:pStyle w:val="TableParagraph"/>
              <w:spacing w:line="184" w:lineRule="exact"/>
              <w:ind w:left="286"/>
              <w:jc w:val="left"/>
              <w:rPr>
                <w:rFonts w:ascii="Arial MT"/>
                <w:sz w:val="16"/>
                <w:lang w:val="sq-AL"/>
              </w:rPr>
            </w:pPr>
            <w:r w:rsidRPr="004D53EC">
              <w:rPr>
                <w:sz w:val="16"/>
                <w:lang w:val="sq-AL" w:bidi="sq-AL"/>
              </w:rPr>
              <w:t xml:space="preserve">74.0 </w:t>
            </w:r>
            <w:proofErr w:type="spellStart"/>
            <w:r w:rsidRPr="004D53EC">
              <w:rPr>
                <w:sz w:val="16"/>
                <w:lang w:val="sq-AL" w:bidi="sq-AL"/>
              </w:rPr>
              <w:t>ew</w:t>
            </w:r>
            <w:proofErr w:type="spellEnd"/>
          </w:p>
        </w:tc>
        <w:tc>
          <w:tcPr>
            <w:tcW w:w="1134" w:type="dxa"/>
          </w:tcPr>
          <w:p w14:paraId="0FB3533C" w14:textId="77777777" w:rsidR="0088112C" w:rsidRPr="004D53EC" w:rsidRDefault="0088112C" w:rsidP="005760FF">
            <w:pPr>
              <w:pStyle w:val="TableParagraph"/>
              <w:spacing w:line="184" w:lineRule="exact"/>
              <w:ind w:left="286"/>
              <w:jc w:val="left"/>
              <w:rPr>
                <w:rFonts w:ascii="Arial MT"/>
                <w:sz w:val="16"/>
                <w:lang w:val="sq-AL"/>
              </w:rPr>
            </w:pPr>
            <w:r w:rsidRPr="004D53EC">
              <w:rPr>
                <w:sz w:val="16"/>
                <w:lang w:val="sq-AL" w:bidi="sq-AL"/>
              </w:rPr>
              <w:t xml:space="preserve">74.6 </w:t>
            </w:r>
            <w:proofErr w:type="spellStart"/>
            <w:r w:rsidRPr="004D53EC">
              <w:rPr>
                <w:sz w:val="16"/>
                <w:lang w:val="sq-AL" w:bidi="sq-AL"/>
              </w:rPr>
              <w:t>ew</w:t>
            </w:r>
            <w:proofErr w:type="spellEnd"/>
          </w:p>
        </w:tc>
      </w:tr>
      <w:tr w:rsidR="0088112C" w:rsidRPr="004D53EC" w14:paraId="6260E8FB" w14:textId="77777777" w:rsidTr="005760FF">
        <w:trPr>
          <w:trHeight w:val="223"/>
        </w:trPr>
        <w:tc>
          <w:tcPr>
            <w:tcW w:w="6804" w:type="dxa"/>
          </w:tcPr>
          <w:p w14:paraId="5176CE66" w14:textId="77777777" w:rsidR="0088112C" w:rsidRPr="004D53EC" w:rsidRDefault="0088112C" w:rsidP="005760FF">
            <w:pPr>
              <w:pStyle w:val="TableParagraph"/>
              <w:spacing w:before="1"/>
              <w:ind w:left="107"/>
              <w:jc w:val="left"/>
              <w:rPr>
                <w:rFonts w:ascii="Arial MT" w:hAnsi="Arial MT"/>
                <w:sz w:val="16"/>
                <w:lang w:val="sq-AL"/>
              </w:rPr>
            </w:pPr>
            <w:r w:rsidRPr="004D53EC">
              <w:rPr>
                <w:sz w:val="16"/>
                <w:lang w:val="sq-AL" w:bidi="sq-AL"/>
              </w:rPr>
              <w:t>Shkalla e punësimit të grave, për personat e moshës 20–64 vjeç (%)</w:t>
            </w:r>
          </w:p>
        </w:tc>
        <w:tc>
          <w:tcPr>
            <w:tcW w:w="568" w:type="dxa"/>
          </w:tcPr>
          <w:p w14:paraId="55D90B06" w14:textId="77777777" w:rsidR="0088112C" w:rsidRPr="004D53EC" w:rsidRDefault="0088112C" w:rsidP="005760FF">
            <w:pPr>
              <w:pStyle w:val="TableParagraph"/>
              <w:ind w:left="0"/>
              <w:jc w:val="left"/>
              <w:rPr>
                <w:sz w:val="14"/>
                <w:lang w:val="sq-AL"/>
              </w:rPr>
            </w:pPr>
          </w:p>
        </w:tc>
        <w:tc>
          <w:tcPr>
            <w:tcW w:w="1134" w:type="dxa"/>
          </w:tcPr>
          <w:p w14:paraId="0288DB92"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49.8 </w:t>
            </w:r>
            <w:proofErr w:type="spellStart"/>
            <w:r w:rsidRPr="004D53EC">
              <w:rPr>
                <w:sz w:val="16"/>
                <w:lang w:val="sq-AL" w:bidi="sq-AL"/>
              </w:rPr>
              <w:t>ew</w:t>
            </w:r>
            <w:proofErr w:type="spellEnd"/>
          </w:p>
        </w:tc>
        <w:tc>
          <w:tcPr>
            <w:tcW w:w="1134" w:type="dxa"/>
          </w:tcPr>
          <w:p w14:paraId="575C2337" w14:textId="77777777" w:rsidR="0088112C" w:rsidRPr="004D53EC" w:rsidRDefault="0088112C" w:rsidP="005760FF">
            <w:pPr>
              <w:pStyle w:val="TableParagraph"/>
              <w:spacing w:before="1"/>
              <w:ind w:left="330"/>
              <w:jc w:val="left"/>
              <w:rPr>
                <w:rFonts w:ascii="Arial MT"/>
                <w:sz w:val="16"/>
                <w:lang w:val="sq-AL"/>
              </w:rPr>
            </w:pPr>
            <w:r w:rsidRPr="004D53EC">
              <w:rPr>
                <w:sz w:val="16"/>
                <w:lang w:val="sq-AL" w:bidi="sq-AL"/>
              </w:rPr>
              <w:t>55.6 w</w:t>
            </w:r>
          </w:p>
        </w:tc>
        <w:tc>
          <w:tcPr>
            <w:tcW w:w="1134" w:type="dxa"/>
          </w:tcPr>
          <w:p w14:paraId="04BFD126"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57.4 </w:t>
            </w:r>
            <w:proofErr w:type="spellStart"/>
            <w:r w:rsidRPr="004D53EC">
              <w:rPr>
                <w:sz w:val="16"/>
                <w:lang w:val="sq-AL" w:bidi="sq-AL"/>
              </w:rPr>
              <w:t>ew</w:t>
            </w:r>
            <w:proofErr w:type="spellEnd"/>
          </w:p>
        </w:tc>
        <w:tc>
          <w:tcPr>
            <w:tcW w:w="1134" w:type="dxa"/>
          </w:tcPr>
          <w:p w14:paraId="4DC752F4"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59.7 </w:t>
            </w:r>
            <w:proofErr w:type="spellStart"/>
            <w:r w:rsidRPr="004D53EC">
              <w:rPr>
                <w:sz w:val="16"/>
                <w:lang w:val="sq-AL" w:bidi="sq-AL"/>
              </w:rPr>
              <w:t>ew</w:t>
            </w:r>
            <w:proofErr w:type="spellEnd"/>
          </w:p>
        </w:tc>
        <w:tc>
          <w:tcPr>
            <w:tcW w:w="1134" w:type="dxa"/>
          </w:tcPr>
          <w:p w14:paraId="72C644A9"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58.8 </w:t>
            </w:r>
            <w:proofErr w:type="spellStart"/>
            <w:r w:rsidRPr="004D53EC">
              <w:rPr>
                <w:sz w:val="16"/>
                <w:lang w:val="sq-AL" w:bidi="sq-AL"/>
              </w:rPr>
              <w:t>ew</w:t>
            </w:r>
            <w:proofErr w:type="spellEnd"/>
          </w:p>
        </w:tc>
        <w:tc>
          <w:tcPr>
            <w:tcW w:w="1134" w:type="dxa"/>
          </w:tcPr>
          <w:p w14:paraId="3B45086C"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58.3 </w:t>
            </w:r>
            <w:proofErr w:type="spellStart"/>
            <w:r w:rsidRPr="004D53EC">
              <w:rPr>
                <w:sz w:val="16"/>
                <w:lang w:val="sq-AL" w:bidi="sq-AL"/>
              </w:rPr>
              <w:t>ew</w:t>
            </w:r>
            <w:proofErr w:type="spellEnd"/>
          </w:p>
        </w:tc>
      </w:tr>
      <w:tr w:rsidR="0088112C" w:rsidRPr="004D53EC" w14:paraId="6B917440" w14:textId="77777777" w:rsidTr="005760FF">
        <w:trPr>
          <w:trHeight w:val="396"/>
        </w:trPr>
        <w:tc>
          <w:tcPr>
            <w:tcW w:w="6804" w:type="dxa"/>
          </w:tcPr>
          <w:p w14:paraId="3AD6C58B" w14:textId="77777777" w:rsidR="0088112C" w:rsidRPr="004D53EC" w:rsidRDefault="0088112C" w:rsidP="005760FF">
            <w:pPr>
              <w:pStyle w:val="TableParagraph"/>
              <w:spacing w:line="184" w:lineRule="exact"/>
              <w:ind w:left="107"/>
              <w:jc w:val="left"/>
              <w:rPr>
                <w:rFonts w:ascii="Arial MT" w:hAnsi="Arial MT"/>
                <w:sz w:val="16"/>
                <w:lang w:val="sq-AL"/>
              </w:rPr>
            </w:pPr>
            <w:r w:rsidRPr="004D53EC">
              <w:rPr>
                <w:sz w:val="16"/>
                <w:lang w:val="sq-AL" w:bidi="sq-AL"/>
              </w:rPr>
              <w:t>Shkalla e punësimit për personat e moshës 55–64 vjeç: si përqindje e popullsisë në moshën 55–64 vjeç që</w:t>
            </w:r>
          </w:p>
          <w:p w14:paraId="5C652F99" w14:textId="77777777" w:rsidR="0088112C" w:rsidRPr="004D53EC" w:rsidRDefault="0088112C" w:rsidP="005760FF">
            <w:pPr>
              <w:pStyle w:val="TableParagraph"/>
              <w:spacing w:before="15" w:line="178" w:lineRule="exact"/>
              <w:ind w:left="107"/>
              <w:jc w:val="left"/>
              <w:rPr>
                <w:rFonts w:ascii="Arial MT"/>
                <w:sz w:val="16"/>
                <w:lang w:val="sq-AL"/>
              </w:rPr>
            </w:pPr>
            <w:r w:rsidRPr="004D53EC">
              <w:rPr>
                <w:sz w:val="16"/>
                <w:lang w:val="sq-AL" w:bidi="sq-AL"/>
              </w:rPr>
              <w:t xml:space="preserve"> janë të punësuar (%)</w:t>
            </w:r>
          </w:p>
        </w:tc>
        <w:tc>
          <w:tcPr>
            <w:tcW w:w="568" w:type="dxa"/>
          </w:tcPr>
          <w:p w14:paraId="30DFF313" w14:textId="77777777" w:rsidR="0088112C" w:rsidRPr="004D53EC" w:rsidRDefault="0088112C" w:rsidP="005760FF">
            <w:pPr>
              <w:pStyle w:val="TableParagraph"/>
              <w:ind w:left="0"/>
              <w:jc w:val="left"/>
              <w:rPr>
                <w:sz w:val="14"/>
                <w:lang w:val="sq-AL"/>
              </w:rPr>
            </w:pPr>
          </w:p>
        </w:tc>
        <w:tc>
          <w:tcPr>
            <w:tcW w:w="1134" w:type="dxa"/>
          </w:tcPr>
          <w:p w14:paraId="1A7CE85C" w14:textId="77777777" w:rsidR="0088112C" w:rsidRPr="004D53EC" w:rsidRDefault="0088112C" w:rsidP="005760FF">
            <w:pPr>
              <w:pStyle w:val="TableParagraph"/>
              <w:spacing w:line="184" w:lineRule="exact"/>
              <w:ind w:left="286"/>
              <w:jc w:val="left"/>
              <w:rPr>
                <w:rFonts w:ascii="Arial MT"/>
                <w:sz w:val="16"/>
                <w:lang w:val="sq-AL"/>
              </w:rPr>
            </w:pPr>
            <w:r w:rsidRPr="004D53EC">
              <w:rPr>
                <w:sz w:val="16"/>
                <w:lang w:val="sq-AL" w:bidi="sq-AL"/>
              </w:rPr>
              <w:t xml:space="preserve">48.3 </w:t>
            </w:r>
            <w:proofErr w:type="spellStart"/>
            <w:r w:rsidRPr="004D53EC">
              <w:rPr>
                <w:sz w:val="16"/>
                <w:lang w:val="sq-AL" w:bidi="sq-AL"/>
              </w:rPr>
              <w:t>ew</w:t>
            </w:r>
            <w:proofErr w:type="spellEnd"/>
          </w:p>
        </w:tc>
        <w:tc>
          <w:tcPr>
            <w:tcW w:w="1134" w:type="dxa"/>
          </w:tcPr>
          <w:p w14:paraId="44EADDB3" w14:textId="77777777" w:rsidR="0088112C" w:rsidRPr="004D53EC" w:rsidRDefault="0088112C" w:rsidP="005760FF">
            <w:pPr>
              <w:pStyle w:val="TableParagraph"/>
              <w:spacing w:line="184" w:lineRule="exact"/>
              <w:ind w:left="286"/>
              <w:jc w:val="left"/>
              <w:rPr>
                <w:rFonts w:ascii="Arial MT"/>
                <w:sz w:val="16"/>
                <w:lang w:val="sq-AL"/>
              </w:rPr>
            </w:pPr>
            <w:r w:rsidRPr="004D53EC">
              <w:rPr>
                <w:sz w:val="16"/>
                <w:lang w:val="sq-AL" w:bidi="sq-AL"/>
              </w:rPr>
              <w:t xml:space="preserve">55.5 </w:t>
            </w:r>
            <w:proofErr w:type="spellStart"/>
            <w:r w:rsidRPr="004D53EC">
              <w:rPr>
                <w:sz w:val="16"/>
                <w:lang w:val="sq-AL" w:bidi="sq-AL"/>
              </w:rPr>
              <w:t>ew</w:t>
            </w:r>
            <w:proofErr w:type="spellEnd"/>
          </w:p>
        </w:tc>
        <w:tc>
          <w:tcPr>
            <w:tcW w:w="1134" w:type="dxa"/>
          </w:tcPr>
          <w:p w14:paraId="0147F26C" w14:textId="77777777" w:rsidR="0088112C" w:rsidRPr="004D53EC" w:rsidRDefault="0088112C" w:rsidP="005760FF">
            <w:pPr>
              <w:pStyle w:val="TableParagraph"/>
              <w:spacing w:line="184" w:lineRule="exact"/>
              <w:ind w:left="286"/>
              <w:jc w:val="left"/>
              <w:rPr>
                <w:rFonts w:ascii="Arial MT"/>
                <w:sz w:val="16"/>
                <w:lang w:val="sq-AL"/>
              </w:rPr>
            </w:pPr>
            <w:r w:rsidRPr="004D53EC">
              <w:rPr>
                <w:sz w:val="16"/>
                <w:lang w:val="sq-AL" w:bidi="sq-AL"/>
              </w:rPr>
              <w:t xml:space="preserve">58.2 </w:t>
            </w:r>
            <w:proofErr w:type="spellStart"/>
            <w:r w:rsidRPr="004D53EC">
              <w:rPr>
                <w:sz w:val="16"/>
                <w:lang w:val="sq-AL" w:bidi="sq-AL"/>
              </w:rPr>
              <w:t>ew</w:t>
            </w:r>
            <w:proofErr w:type="spellEnd"/>
          </w:p>
        </w:tc>
        <w:tc>
          <w:tcPr>
            <w:tcW w:w="1134" w:type="dxa"/>
          </w:tcPr>
          <w:p w14:paraId="402BDD45" w14:textId="77777777" w:rsidR="0088112C" w:rsidRPr="004D53EC" w:rsidRDefault="0088112C" w:rsidP="005760FF">
            <w:pPr>
              <w:pStyle w:val="TableParagraph"/>
              <w:spacing w:line="184" w:lineRule="exact"/>
              <w:ind w:left="286"/>
              <w:jc w:val="left"/>
              <w:rPr>
                <w:rFonts w:ascii="Arial MT"/>
                <w:sz w:val="16"/>
                <w:lang w:val="sq-AL"/>
              </w:rPr>
            </w:pPr>
            <w:r w:rsidRPr="004D53EC">
              <w:rPr>
                <w:sz w:val="16"/>
                <w:lang w:val="sq-AL" w:bidi="sq-AL"/>
              </w:rPr>
              <w:t xml:space="preserve">60.4 </w:t>
            </w:r>
            <w:proofErr w:type="spellStart"/>
            <w:r w:rsidRPr="004D53EC">
              <w:rPr>
                <w:sz w:val="16"/>
                <w:lang w:val="sq-AL" w:bidi="sq-AL"/>
              </w:rPr>
              <w:t>ew</w:t>
            </w:r>
            <w:proofErr w:type="spellEnd"/>
          </w:p>
        </w:tc>
        <w:tc>
          <w:tcPr>
            <w:tcW w:w="1134" w:type="dxa"/>
          </w:tcPr>
          <w:p w14:paraId="6DD47735" w14:textId="77777777" w:rsidR="0088112C" w:rsidRPr="004D53EC" w:rsidRDefault="0088112C" w:rsidP="005760FF">
            <w:pPr>
              <w:pStyle w:val="TableParagraph"/>
              <w:spacing w:line="184" w:lineRule="exact"/>
              <w:ind w:left="286"/>
              <w:jc w:val="left"/>
              <w:rPr>
                <w:rFonts w:ascii="Arial MT"/>
                <w:sz w:val="16"/>
                <w:lang w:val="sq-AL"/>
              </w:rPr>
            </w:pPr>
            <w:r w:rsidRPr="004D53EC">
              <w:rPr>
                <w:sz w:val="16"/>
                <w:lang w:val="sq-AL" w:bidi="sq-AL"/>
              </w:rPr>
              <w:t xml:space="preserve">60.3 </w:t>
            </w:r>
            <w:proofErr w:type="spellStart"/>
            <w:r w:rsidRPr="004D53EC">
              <w:rPr>
                <w:sz w:val="16"/>
                <w:lang w:val="sq-AL" w:bidi="sq-AL"/>
              </w:rPr>
              <w:t>ew</w:t>
            </w:r>
            <w:proofErr w:type="spellEnd"/>
          </w:p>
        </w:tc>
        <w:tc>
          <w:tcPr>
            <w:tcW w:w="1134" w:type="dxa"/>
          </w:tcPr>
          <w:p w14:paraId="0AEE1B14" w14:textId="77777777" w:rsidR="0088112C" w:rsidRPr="004D53EC" w:rsidRDefault="0088112C" w:rsidP="005760FF">
            <w:pPr>
              <w:pStyle w:val="TableParagraph"/>
              <w:spacing w:line="184" w:lineRule="exact"/>
              <w:ind w:left="286"/>
              <w:jc w:val="left"/>
              <w:rPr>
                <w:rFonts w:ascii="Arial MT"/>
                <w:sz w:val="16"/>
                <w:lang w:val="sq-AL"/>
              </w:rPr>
            </w:pPr>
            <w:r w:rsidRPr="004D53EC">
              <w:rPr>
                <w:sz w:val="16"/>
                <w:lang w:val="sq-AL" w:bidi="sq-AL"/>
              </w:rPr>
              <w:t xml:space="preserve">60.0 </w:t>
            </w:r>
            <w:proofErr w:type="spellStart"/>
            <w:r w:rsidRPr="004D53EC">
              <w:rPr>
                <w:sz w:val="16"/>
                <w:lang w:val="sq-AL" w:bidi="sq-AL"/>
              </w:rPr>
              <w:t>ew</w:t>
            </w:r>
            <w:proofErr w:type="spellEnd"/>
          </w:p>
        </w:tc>
      </w:tr>
      <w:tr w:rsidR="0088112C" w:rsidRPr="004D53EC" w14:paraId="23588F8E" w14:textId="77777777" w:rsidTr="005760FF">
        <w:trPr>
          <w:trHeight w:val="222"/>
        </w:trPr>
        <w:tc>
          <w:tcPr>
            <w:tcW w:w="6804" w:type="dxa"/>
          </w:tcPr>
          <w:p w14:paraId="4625BEF9"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Punësimi sipas sektorëve kryesorë</w:t>
            </w:r>
          </w:p>
        </w:tc>
        <w:tc>
          <w:tcPr>
            <w:tcW w:w="7372" w:type="dxa"/>
            <w:gridSpan w:val="7"/>
          </w:tcPr>
          <w:p w14:paraId="311C3CE3" w14:textId="77777777" w:rsidR="0088112C" w:rsidRPr="004D53EC" w:rsidRDefault="0088112C" w:rsidP="005760FF">
            <w:pPr>
              <w:pStyle w:val="TableParagraph"/>
              <w:ind w:left="0"/>
              <w:jc w:val="left"/>
              <w:rPr>
                <w:sz w:val="14"/>
                <w:lang w:val="sq-AL"/>
              </w:rPr>
            </w:pPr>
          </w:p>
        </w:tc>
      </w:tr>
      <w:tr w:rsidR="0088112C" w:rsidRPr="004D53EC" w14:paraId="7DDDA709" w14:textId="77777777" w:rsidTr="005760FF">
        <w:trPr>
          <w:trHeight w:val="223"/>
        </w:trPr>
        <w:tc>
          <w:tcPr>
            <w:tcW w:w="6804" w:type="dxa"/>
          </w:tcPr>
          <w:p w14:paraId="1788122E"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Bujqësia, pyjet dhe peshkimi (%)</w:t>
            </w:r>
          </w:p>
        </w:tc>
        <w:tc>
          <w:tcPr>
            <w:tcW w:w="568" w:type="dxa"/>
          </w:tcPr>
          <w:p w14:paraId="5A2E2F26" w14:textId="77777777" w:rsidR="0088112C" w:rsidRPr="004D53EC" w:rsidRDefault="0088112C" w:rsidP="005760FF">
            <w:pPr>
              <w:pStyle w:val="TableParagraph"/>
              <w:ind w:left="0"/>
              <w:jc w:val="left"/>
              <w:rPr>
                <w:sz w:val="14"/>
                <w:lang w:val="sq-AL"/>
              </w:rPr>
            </w:pPr>
          </w:p>
        </w:tc>
        <w:tc>
          <w:tcPr>
            <w:tcW w:w="1134" w:type="dxa"/>
          </w:tcPr>
          <w:p w14:paraId="38D3A6BD"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2AB063A6"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38.2 </w:t>
            </w:r>
            <w:proofErr w:type="spellStart"/>
            <w:r w:rsidRPr="004D53EC">
              <w:rPr>
                <w:sz w:val="16"/>
                <w:lang w:val="sq-AL" w:bidi="sq-AL"/>
              </w:rPr>
              <w:t>ew</w:t>
            </w:r>
            <w:proofErr w:type="spellEnd"/>
          </w:p>
        </w:tc>
        <w:tc>
          <w:tcPr>
            <w:tcW w:w="1134" w:type="dxa"/>
          </w:tcPr>
          <w:p w14:paraId="4BEB999E"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37.4 </w:t>
            </w:r>
            <w:proofErr w:type="spellStart"/>
            <w:r w:rsidRPr="004D53EC">
              <w:rPr>
                <w:sz w:val="16"/>
                <w:lang w:val="sq-AL" w:bidi="sq-AL"/>
              </w:rPr>
              <w:t>ew</w:t>
            </w:r>
            <w:proofErr w:type="spellEnd"/>
          </w:p>
        </w:tc>
        <w:tc>
          <w:tcPr>
            <w:tcW w:w="1134" w:type="dxa"/>
          </w:tcPr>
          <w:p w14:paraId="287112B9"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36.4 </w:t>
            </w:r>
            <w:proofErr w:type="spellStart"/>
            <w:r w:rsidRPr="004D53EC">
              <w:rPr>
                <w:sz w:val="16"/>
                <w:lang w:val="sq-AL" w:bidi="sq-AL"/>
              </w:rPr>
              <w:t>ew</w:t>
            </w:r>
            <w:proofErr w:type="spellEnd"/>
          </w:p>
        </w:tc>
        <w:tc>
          <w:tcPr>
            <w:tcW w:w="1134" w:type="dxa"/>
          </w:tcPr>
          <w:p w14:paraId="14E81242"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36.1 </w:t>
            </w:r>
            <w:proofErr w:type="spellStart"/>
            <w:r w:rsidRPr="004D53EC">
              <w:rPr>
                <w:sz w:val="16"/>
                <w:lang w:val="sq-AL" w:bidi="sq-AL"/>
              </w:rPr>
              <w:t>ew</w:t>
            </w:r>
            <w:proofErr w:type="spellEnd"/>
          </w:p>
        </w:tc>
        <w:tc>
          <w:tcPr>
            <w:tcW w:w="1134" w:type="dxa"/>
          </w:tcPr>
          <w:p w14:paraId="261139A8"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33.8 </w:t>
            </w:r>
            <w:proofErr w:type="spellStart"/>
            <w:r w:rsidRPr="004D53EC">
              <w:rPr>
                <w:sz w:val="16"/>
                <w:lang w:val="sq-AL" w:bidi="sq-AL"/>
              </w:rPr>
              <w:t>ew</w:t>
            </w:r>
            <w:proofErr w:type="spellEnd"/>
          </w:p>
        </w:tc>
      </w:tr>
      <w:tr w:rsidR="0088112C" w:rsidRPr="004D53EC" w14:paraId="695AD649" w14:textId="77777777" w:rsidTr="005760FF">
        <w:trPr>
          <w:trHeight w:val="222"/>
        </w:trPr>
        <w:tc>
          <w:tcPr>
            <w:tcW w:w="6804" w:type="dxa"/>
          </w:tcPr>
          <w:p w14:paraId="3B5E0FA3"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Industria (%)</w:t>
            </w:r>
          </w:p>
        </w:tc>
        <w:tc>
          <w:tcPr>
            <w:tcW w:w="568" w:type="dxa"/>
          </w:tcPr>
          <w:p w14:paraId="228AB45D" w14:textId="77777777" w:rsidR="0088112C" w:rsidRPr="004D53EC" w:rsidRDefault="0088112C" w:rsidP="005760FF">
            <w:pPr>
              <w:pStyle w:val="TableParagraph"/>
              <w:ind w:left="0"/>
              <w:jc w:val="left"/>
              <w:rPr>
                <w:sz w:val="14"/>
                <w:lang w:val="sq-AL"/>
              </w:rPr>
            </w:pPr>
          </w:p>
        </w:tc>
        <w:tc>
          <w:tcPr>
            <w:tcW w:w="1134" w:type="dxa"/>
          </w:tcPr>
          <w:p w14:paraId="3E360696"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39A7882D" w14:textId="77777777" w:rsidR="0088112C" w:rsidRPr="004D53EC" w:rsidRDefault="0088112C" w:rsidP="005760FF">
            <w:pPr>
              <w:pStyle w:val="TableParagraph"/>
              <w:spacing w:line="184" w:lineRule="exact"/>
              <w:ind w:left="286"/>
              <w:jc w:val="left"/>
              <w:rPr>
                <w:rFonts w:ascii="Arial MT"/>
                <w:sz w:val="16"/>
                <w:lang w:val="sq-AL"/>
              </w:rPr>
            </w:pPr>
            <w:r w:rsidRPr="004D53EC">
              <w:rPr>
                <w:sz w:val="16"/>
                <w:lang w:val="sq-AL" w:bidi="sq-AL"/>
              </w:rPr>
              <w:t xml:space="preserve">12.5 </w:t>
            </w:r>
            <w:proofErr w:type="spellStart"/>
            <w:r w:rsidRPr="004D53EC">
              <w:rPr>
                <w:sz w:val="16"/>
                <w:lang w:val="sq-AL" w:bidi="sq-AL"/>
              </w:rPr>
              <w:t>ew</w:t>
            </w:r>
            <w:proofErr w:type="spellEnd"/>
          </w:p>
        </w:tc>
        <w:tc>
          <w:tcPr>
            <w:tcW w:w="1134" w:type="dxa"/>
          </w:tcPr>
          <w:p w14:paraId="6B1FFE76" w14:textId="77777777" w:rsidR="0088112C" w:rsidRPr="004D53EC" w:rsidRDefault="0088112C" w:rsidP="005760FF">
            <w:pPr>
              <w:pStyle w:val="TableParagraph"/>
              <w:spacing w:line="184" w:lineRule="exact"/>
              <w:ind w:left="286"/>
              <w:jc w:val="left"/>
              <w:rPr>
                <w:rFonts w:ascii="Arial MT"/>
                <w:sz w:val="16"/>
                <w:lang w:val="sq-AL"/>
              </w:rPr>
            </w:pPr>
            <w:r w:rsidRPr="004D53EC">
              <w:rPr>
                <w:sz w:val="16"/>
                <w:lang w:val="sq-AL" w:bidi="sq-AL"/>
              </w:rPr>
              <w:t xml:space="preserve">12.7 </w:t>
            </w:r>
            <w:proofErr w:type="spellStart"/>
            <w:r w:rsidRPr="004D53EC">
              <w:rPr>
                <w:sz w:val="16"/>
                <w:lang w:val="sq-AL" w:bidi="sq-AL"/>
              </w:rPr>
              <w:t>ew</w:t>
            </w:r>
            <w:proofErr w:type="spellEnd"/>
          </w:p>
        </w:tc>
        <w:tc>
          <w:tcPr>
            <w:tcW w:w="1134" w:type="dxa"/>
          </w:tcPr>
          <w:p w14:paraId="4571E615" w14:textId="77777777" w:rsidR="0088112C" w:rsidRPr="004D53EC" w:rsidRDefault="0088112C" w:rsidP="005760FF">
            <w:pPr>
              <w:pStyle w:val="TableParagraph"/>
              <w:spacing w:line="184" w:lineRule="exact"/>
              <w:ind w:left="286"/>
              <w:jc w:val="left"/>
              <w:rPr>
                <w:rFonts w:ascii="Arial MT"/>
                <w:sz w:val="16"/>
                <w:lang w:val="sq-AL"/>
              </w:rPr>
            </w:pPr>
            <w:r w:rsidRPr="004D53EC">
              <w:rPr>
                <w:sz w:val="16"/>
                <w:lang w:val="sq-AL" w:bidi="sq-AL"/>
              </w:rPr>
              <w:t xml:space="preserve">13.1 </w:t>
            </w:r>
            <w:proofErr w:type="spellStart"/>
            <w:r w:rsidRPr="004D53EC">
              <w:rPr>
                <w:sz w:val="16"/>
                <w:lang w:val="sq-AL" w:bidi="sq-AL"/>
              </w:rPr>
              <w:t>ew</w:t>
            </w:r>
            <w:proofErr w:type="spellEnd"/>
          </w:p>
        </w:tc>
        <w:tc>
          <w:tcPr>
            <w:tcW w:w="1134" w:type="dxa"/>
          </w:tcPr>
          <w:p w14:paraId="3D949F27" w14:textId="77777777" w:rsidR="0088112C" w:rsidRPr="004D53EC" w:rsidRDefault="0088112C" w:rsidP="005760FF">
            <w:pPr>
              <w:pStyle w:val="TableParagraph"/>
              <w:spacing w:line="184" w:lineRule="exact"/>
              <w:ind w:left="286"/>
              <w:jc w:val="left"/>
              <w:rPr>
                <w:rFonts w:ascii="Arial MT"/>
                <w:sz w:val="16"/>
                <w:lang w:val="sq-AL"/>
              </w:rPr>
            </w:pPr>
            <w:r w:rsidRPr="004D53EC">
              <w:rPr>
                <w:sz w:val="16"/>
                <w:lang w:val="sq-AL" w:bidi="sq-AL"/>
              </w:rPr>
              <w:t xml:space="preserve">13.4 </w:t>
            </w:r>
            <w:proofErr w:type="spellStart"/>
            <w:r w:rsidRPr="004D53EC">
              <w:rPr>
                <w:sz w:val="16"/>
                <w:lang w:val="sq-AL" w:bidi="sq-AL"/>
              </w:rPr>
              <w:t>ew</w:t>
            </w:r>
            <w:proofErr w:type="spellEnd"/>
          </w:p>
        </w:tc>
        <w:tc>
          <w:tcPr>
            <w:tcW w:w="1134" w:type="dxa"/>
          </w:tcPr>
          <w:p w14:paraId="09AA67C0" w14:textId="77777777" w:rsidR="0088112C" w:rsidRPr="004D53EC" w:rsidRDefault="0088112C" w:rsidP="005760FF">
            <w:pPr>
              <w:pStyle w:val="TableParagraph"/>
              <w:spacing w:line="184" w:lineRule="exact"/>
              <w:ind w:left="286"/>
              <w:jc w:val="left"/>
              <w:rPr>
                <w:rFonts w:ascii="Arial MT"/>
                <w:sz w:val="16"/>
                <w:lang w:val="sq-AL"/>
              </w:rPr>
            </w:pPr>
            <w:r w:rsidRPr="004D53EC">
              <w:rPr>
                <w:sz w:val="16"/>
                <w:lang w:val="sq-AL" w:bidi="sq-AL"/>
              </w:rPr>
              <w:t xml:space="preserve">13.8 </w:t>
            </w:r>
            <w:proofErr w:type="spellStart"/>
            <w:r w:rsidRPr="004D53EC">
              <w:rPr>
                <w:sz w:val="16"/>
                <w:lang w:val="sq-AL" w:bidi="sq-AL"/>
              </w:rPr>
              <w:t>ew</w:t>
            </w:r>
            <w:proofErr w:type="spellEnd"/>
          </w:p>
        </w:tc>
      </w:tr>
    </w:tbl>
    <w:p w14:paraId="72CDA0BF" w14:textId="77777777" w:rsidR="0088112C" w:rsidRPr="004D53EC" w:rsidRDefault="0088112C" w:rsidP="0088112C">
      <w:pPr>
        <w:pStyle w:val="BodyText"/>
        <w:spacing w:before="2"/>
        <w:ind w:left="0" w:right="0"/>
        <w:jc w:val="left"/>
        <w:rPr>
          <w:sz w:val="5"/>
          <w:lang w:val="sq-AL"/>
        </w:r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04"/>
        <w:gridCol w:w="568"/>
        <w:gridCol w:w="1134"/>
        <w:gridCol w:w="1134"/>
        <w:gridCol w:w="1134"/>
        <w:gridCol w:w="1134"/>
        <w:gridCol w:w="1134"/>
        <w:gridCol w:w="1134"/>
      </w:tblGrid>
      <w:tr w:rsidR="0088112C" w:rsidRPr="004D53EC" w14:paraId="32D81225" w14:textId="77777777" w:rsidTr="005760FF">
        <w:trPr>
          <w:trHeight w:val="222"/>
        </w:trPr>
        <w:tc>
          <w:tcPr>
            <w:tcW w:w="6804" w:type="dxa"/>
          </w:tcPr>
          <w:p w14:paraId="559CBB04" w14:textId="77777777" w:rsidR="0088112C" w:rsidRPr="004D53EC" w:rsidRDefault="0088112C" w:rsidP="005760FF">
            <w:pPr>
              <w:pStyle w:val="TableParagraph"/>
              <w:spacing w:before="1"/>
              <w:ind w:left="107"/>
              <w:jc w:val="left"/>
              <w:rPr>
                <w:rFonts w:ascii="Arial MT"/>
                <w:sz w:val="16"/>
                <w:lang w:val="sq-AL"/>
              </w:rPr>
            </w:pPr>
            <w:r w:rsidRPr="004D53EC">
              <w:rPr>
                <w:spacing w:val="-2"/>
                <w:sz w:val="16"/>
                <w:lang w:val="sq-AL" w:bidi="sq-AL"/>
              </w:rPr>
              <w:t>Ndërtimi (%)</w:t>
            </w:r>
          </w:p>
        </w:tc>
        <w:tc>
          <w:tcPr>
            <w:tcW w:w="568" w:type="dxa"/>
          </w:tcPr>
          <w:p w14:paraId="78BF7D90" w14:textId="77777777" w:rsidR="0088112C" w:rsidRPr="004D53EC" w:rsidRDefault="0088112C" w:rsidP="005760FF">
            <w:pPr>
              <w:pStyle w:val="TableParagraph"/>
              <w:ind w:left="0"/>
              <w:jc w:val="left"/>
              <w:rPr>
                <w:sz w:val="14"/>
                <w:lang w:val="sq-AL"/>
              </w:rPr>
            </w:pPr>
          </w:p>
        </w:tc>
        <w:tc>
          <w:tcPr>
            <w:tcW w:w="1134" w:type="dxa"/>
          </w:tcPr>
          <w:p w14:paraId="6540F9D7"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08BDA91E" w14:textId="77777777" w:rsidR="0088112C" w:rsidRPr="004D53EC" w:rsidRDefault="0088112C" w:rsidP="005760FF">
            <w:pPr>
              <w:pStyle w:val="TableParagraph"/>
              <w:spacing w:before="1"/>
              <w:ind w:left="330"/>
              <w:jc w:val="left"/>
              <w:rPr>
                <w:rFonts w:ascii="Arial MT"/>
                <w:sz w:val="16"/>
                <w:lang w:val="sq-AL"/>
              </w:rPr>
            </w:pPr>
            <w:r w:rsidRPr="004D53EC">
              <w:rPr>
                <w:sz w:val="16"/>
                <w:lang w:val="sq-AL" w:bidi="sq-AL"/>
              </w:rPr>
              <w:t xml:space="preserve">6.9 </w:t>
            </w:r>
            <w:proofErr w:type="spellStart"/>
            <w:r w:rsidRPr="004D53EC">
              <w:rPr>
                <w:sz w:val="16"/>
                <w:lang w:val="sq-AL" w:bidi="sq-AL"/>
              </w:rPr>
              <w:t>ew</w:t>
            </w:r>
            <w:proofErr w:type="spellEnd"/>
          </w:p>
        </w:tc>
        <w:tc>
          <w:tcPr>
            <w:tcW w:w="1134" w:type="dxa"/>
          </w:tcPr>
          <w:p w14:paraId="6F0D889C" w14:textId="77777777" w:rsidR="0088112C" w:rsidRPr="004D53EC" w:rsidRDefault="0088112C" w:rsidP="005760FF">
            <w:pPr>
              <w:pStyle w:val="TableParagraph"/>
              <w:spacing w:before="1"/>
              <w:ind w:left="330"/>
              <w:jc w:val="left"/>
              <w:rPr>
                <w:rFonts w:ascii="Arial MT"/>
                <w:sz w:val="16"/>
                <w:lang w:val="sq-AL"/>
              </w:rPr>
            </w:pPr>
            <w:r w:rsidRPr="004D53EC">
              <w:rPr>
                <w:sz w:val="16"/>
                <w:lang w:val="sq-AL" w:bidi="sq-AL"/>
              </w:rPr>
              <w:t xml:space="preserve">7.0 </w:t>
            </w:r>
            <w:proofErr w:type="spellStart"/>
            <w:r w:rsidRPr="004D53EC">
              <w:rPr>
                <w:sz w:val="16"/>
                <w:lang w:val="sq-AL" w:bidi="sq-AL"/>
              </w:rPr>
              <w:t>ew</w:t>
            </w:r>
            <w:proofErr w:type="spellEnd"/>
          </w:p>
        </w:tc>
        <w:tc>
          <w:tcPr>
            <w:tcW w:w="1134" w:type="dxa"/>
          </w:tcPr>
          <w:p w14:paraId="753EC905" w14:textId="77777777" w:rsidR="0088112C" w:rsidRPr="004D53EC" w:rsidRDefault="0088112C" w:rsidP="005760FF">
            <w:pPr>
              <w:pStyle w:val="TableParagraph"/>
              <w:spacing w:before="1"/>
              <w:ind w:left="330"/>
              <w:jc w:val="left"/>
              <w:rPr>
                <w:rFonts w:ascii="Arial MT"/>
                <w:sz w:val="16"/>
                <w:lang w:val="sq-AL"/>
              </w:rPr>
            </w:pPr>
            <w:r w:rsidRPr="004D53EC">
              <w:rPr>
                <w:sz w:val="16"/>
                <w:lang w:val="sq-AL" w:bidi="sq-AL"/>
              </w:rPr>
              <w:t xml:space="preserve">7.0 </w:t>
            </w:r>
            <w:proofErr w:type="spellStart"/>
            <w:r w:rsidRPr="004D53EC">
              <w:rPr>
                <w:sz w:val="16"/>
                <w:lang w:val="sq-AL" w:bidi="sq-AL"/>
              </w:rPr>
              <w:t>ew</w:t>
            </w:r>
            <w:proofErr w:type="spellEnd"/>
          </w:p>
        </w:tc>
        <w:tc>
          <w:tcPr>
            <w:tcW w:w="1134" w:type="dxa"/>
          </w:tcPr>
          <w:p w14:paraId="04B2CADE" w14:textId="77777777" w:rsidR="0088112C" w:rsidRPr="004D53EC" w:rsidRDefault="0088112C" w:rsidP="005760FF">
            <w:pPr>
              <w:pStyle w:val="TableParagraph"/>
              <w:spacing w:before="1"/>
              <w:ind w:left="330"/>
              <w:jc w:val="left"/>
              <w:rPr>
                <w:rFonts w:ascii="Arial MT"/>
                <w:sz w:val="16"/>
                <w:lang w:val="sq-AL"/>
              </w:rPr>
            </w:pPr>
            <w:r w:rsidRPr="004D53EC">
              <w:rPr>
                <w:sz w:val="16"/>
                <w:lang w:val="sq-AL" w:bidi="sq-AL"/>
              </w:rPr>
              <w:t xml:space="preserve">7.0 </w:t>
            </w:r>
            <w:proofErr w:type="spellStart"/>
            <w:r w:rsidRPr="004D53EC">
              <w:rPr>
                <w:sz w:val="16"/>
                <w:lang w:val="sq-AL" w:bidi="sq-AL"/>
              </w:rPr>
              <w:t>ew</w:t>
            </w:r>
            <w:proofErr w:type="spellEnd"/>
          </w:p>
        </w:tc>
        <w:tc>
          <w:tcPr>
            <w:tcW w:w="1134" w:type="dxa"/>
          </w:tcPr>
          <w:p w14:paraId="5A1D5879" w14:textId="77777777" w:rsidR="0088112C" w:rsidRPr="004D53EC" w:rsidRDefault="0088112C" w:rsidP="005760FF">
            <w:pPr>
              <w:pStyle w:val="TableParagraph"/>
              <w:spacing w:before="1"/>
              <w:ind w:left="330"/>
              <w:jc w:val="left"/>
              <w:rPr>
                <w:rFonts w:ascii="Arial MT"/>
                <w:sz w:val="16"/>
                <w:lang w:val="sq-AL"/>
              </w:rPr>
            </w:pPr>
            <w:r w:rsidRPr="004D53EC">
              <w:rPr>
                <w:sz w:val="16"/>
                <w:lang w:val="sq-AL" w:bidi="sq-AL"/>
              </w:rPr>
              <w:t xml:space="preserve">8.1 </w:t>
            </w:r>
            <w:proofErr w:type="spellStart"/>
            <w:r w:rsidRPr="004D53EC">
              <w:rPr>
                <w:sz w:val="16"/>
                <w:lang w:val="sq-AL" w:bidi="sq-AL"/>
              </w:rPr>
              <w:t>ew</w:t>
            </w:r>
            <w:proofErr w:type="spellEnd"/>
          </w:p>
        </w:tc>
      </w:tr>
      <w:tr w:rsidR="0088112C" w:rsidRPr="004D53EC" w14:paraId="7240F855" w14:textId="77777777" w:rsidTr="005760FF">
        <w:trPr>
          <w:trHeight w:val="223"/>
        </w:trPr>
        <w:tc>
          <w:tcPr>
            <w:tcW w:w="6804" w:type="dxa"/>
          </w:tcPr>
          <w:p w14:paraId="263CD668"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Shërbimet (%)</w:t>
            </w:r>
          </w:p>
        </w:tc>
        <w:tc>
          <w:tcPr>
            <w:tcW w:w="568" w:type="dxa"/>
          </w:tcPr>
          <w:p w14:paraId="06FA19C5" w14:textId="77777777" w:rsidR="0088112C" w:rsidRPr="004D53EC" w:rsidRDefault="0088112C" w:rsidP="005760FF">
            <w:pPr>
              <w:pStyle w:val="TableParagraph"/>
              <w:ind w:left="0"/>
              <w:jc w:val="left"/>
              <w:rPr>
                <w:sz w:val="14"/>
                <w:lang w:val="sq-AL"/>
              </w:rPr>
            </w:pPr>
          </w:p>
        </w:tc>
        <w:tc>
          <w:tcPr>
            <w:tcW w:w="1134" w:type="dxa"/>
          </w:tcPr>
          <w:p w14:paraId="43BB40B4"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01AE24B1"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42.4 </w:t>
            </w:r>
            <w:proofErr w:type="spellStart"/>
            <w:r w:rsidRPr="004D53EC">
              <w:rPr>
                <w:sz w:val="16"/>
                <w:lang w:val="sq-AL" w:bidi="sq-AL"/>
              </w:rPr>
              <w:t>ew</w:t>
            </w:r>
            <w:proofErr w:type="spellEnd"/>
          </w:p>
        </w:tc>
        <w:tc>
          <w:tcPr>
            <w:tcW w:w="1134" w:type="dxa"/>
          </w:tcPr>
          <w:p w14:paraId="10C251FA"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42.9 </w:t>
            </w:r>
            <w:proofErr w:type="spellStart"/>
            <w:r w:rsidRPr="004D53EC">
              <w:rPr>
                <w:sz w:val="16"/>
                <w:lang w:val="sq-AL" w:bidi="sq-AL"/>
              </w:rPr>
              <w:t>ew</w:t>
            </w:r>
            <w:proofErr w:type="spellEnd"/>
          </w:p>
        </w:tc>
        <w:tc>
          <w:tcPr>
            <w:tcW w:w="1134" w:type="dxa"/>
          </w:tcPr>
          <w:p w14:paraId="09CF95BB"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43.5 </w:t>
            </w:r>
            <w:proofErr w:type="spellStart"/>
            <w:r w:rsidRPr="004D53EC">
              <w:rPr>
                <w:sz w:val="16"/>
                <w:lang w:val="sq-AL" w:bidi="sq-AL"/>
              </w:rPr>
              <w:t>ew</w:t>
            </w:r>
            <w:proofErr w:type="spellEnd"/>
          </w:p>
        </w:tc>
        <w:tc>
          <w:tcPr>
            <w:tcW w:w="1134" w:type="dxa"/>
          </w:tcPr>
          <w:p w14:paraId="7BAFC9FF"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43.5 </w:t>
            </w:r>
            <w:proofErr w:type="spellStart"/>
            <w:r w:rsidRPr="004D53EC">
              <w:rPr>
                <w:sz w:val="16"/>
                <w:lang w:val="sq-AL" w:bidi="sq-AL"/>
              </w:rPr>
              <w:t>ew</w:t>
            </w:r>
            <w:proofErr w:type="spellEnd"/>
          </w:p>
        </w:tc>
        <w:tc>
          <w:tcPr>
            <w:tcW w:w="1134" w:type="dxa"/>
          </w:tcPr>
          <w:p w14:paraId="21E53C24"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44.3 </w:t>
            </w:r>
            <w:proofErr w:type="spellStart"/>
            <w:r w:rsidRPr="004D53EC">
              <w:rPr>
                <w:sz w:val="16"/>
                <w:lang w:val="sq-AL" w:bidi="sq-AL"/>
              </w:rPr>
              <w:t>ew</w:t>
            </w:r>
            <w:proofErr w:type="spellEnd"/>
          </w:p>
        </w:tc>
      </w:tr>
      <w:tr w:rsidR="0088112C" w:rsidRPr="004D53EC" w14:paraId="1C5AE89B" w14:textId="77777777" w:rsidTr="005760FF">
        <w:trPr>
          <w:trHeight w:val="396"/>
        </w:trPr>
        <w:tc>
          <w:tcPr>
            <w:tcW w:w="6804" w:type="dxa"/>
          </w:tcPr>
          <w:p w14:paraId="4183CB1E" w14:textId="77777777" w:rsidR="0088112C" w:rsidRPr="004D53EC" w:rsidRDefault="0088112C" w:rsidP="005760FF">
            <w:pPr>
              <w:pStyle w:val="TableParagraph"/>
              <w:spacing w:line="184" w:lineRule="exact"/>
              <w:ind w:left="107"/>
              <w:jc w:val="left"/>
              <w:rPr>
                <w:rFonts w:ascii="Arial MT" w:hAnsi="Arial MT"/>
                <w:sz w:val="16"/>
                <w:lang w:val="sq-AL"/>
              </w:rPr>
            </w:pPr>
            <w:r w:rsidRPr="004D53EC">
              <w:rPr>
                <w:sz w:val="16"/>
                <w:lang w:val="sq-AL" w:bidi="sq-AL"/>
              </w:rPr>
              <w:t>Personat e punësuar në sektorin publik si pjesë e punësimit gjithsej, personat e moshës 20–64 vjeç (%)</w:t>
            </w:r>
          </w:p>
          <w:p w14:paraId="781409A6" w14:textId="77777777" w:rsidR="0088112C" w:rsidRPr="004D53EC" w:rsidRDefault="0088112C" w:rsidP="005760FF">
            <w:pPr>
              <w:pStyle w:val="TableParagraph"/>
              <w:spacing w:before="15" w:line="178" w:lineRule="exact"/>
              <w:ind w:left="107"/>
              <w:jc w:val="left"/>
              <w:rPr>
                <w:rFonts w:ascii="Arial MT"/>
                <w:sz w:val="16"/>
                <w:lang w:val="sq-AL"/>
              </w:rPr>
            </w:pPr>
            <w:r w:rsidRPr="004D53EC">
              <w:rPr>
                <w:spacing w:val="-5"/>
                <w:sz w:val="16"/>
                <w:lang w:val="sq-AL" w:bidi="sq-AL"/>
              </w:rPr>
              <w:t>(%)</w:t>
            </w:r>
          </w:p>
        </w:tc>
        <w:tc>
          <w:tcPr>
            <w:tcW w:w="568" w:type="dxa"/>
          </w:tcPr>
          <w:p w14:paraId="33C317A5" w14:textId="77777777" w:rsidR="0088112C" w:rsidRPr="004D53EC" w:rsidRDefault="0088112C" w:rsidP="005760FF">
            <w:pPr>
              <w:pStyle w:val="TableParagraph"/>
              <w:ind w:left="0"/>
              <w:jc w:val="left"/>
              <w:rPr>
                <w:sz w:val="14"/>
                <w:lang w:val="sq-AL"/>
              </w:rPr>
            </w:pPr>
          </w:p>
        </w:tc>
        <w:tc>
          <w:tcPr>
            <w:tcW w:w="1134" w:type="dxa"/>
          </w:tcPr>
          <w:p w14:paraId="5E6EF5F9"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61DF33E9" w14:textId="77777777" w:rsidR="0088112C" w:rsidRPr="004D53EC" w:rsidRDefault="0088112C" w:rsidP="005760FF">
            <w:pPr>
              <w:pStyle w:val="TableParagraph"/>
              <w:spacing w:line="184" w:lineRule="exact"/>
              <w:ind w:left="286"/>
              <w:jc w:val="left"/>
              <w:rPr>
                <w:rFonts w:ascii="Arial MT"/>
                <w:sz w:val="16"/>
                <w:lang w:val="sq-AL"/>
              </w:rPr>
            </w:pPr>
            <w:r w:rsidRPr="004D53EC">
              <w:rPr>
                <w:sz w:val="16"/>
                <w:lang w:val="sq-AL" w:bidi="sq-AL"/>
              </w:rPr>
              <w:t xml:space="preserve">16.4 </w:t>
            </w:r>
            <w:proofErr w:type="spellStart"/>
            <w:r w:rsidRPr="004D53EC">
              <w:rPr>
                <w:sz w:val="16"/>
                <w:lang w:val="sq-AL" w:bidi="sq-AL"/>
              </w:rPr>
              <w:t>ew</w:t>
            </w:r>
            <w:proofErr w:type="spellEnd"/>
          </w:p>
        </w:tc>
        <w:tc>
          <w:tcPr>
            <w:tcW w:w="1134" w:type="dxa"/>
          </w:tcPr>
          <w:p w14:paraId="4AD76569" w14:textId="77777777" w:rsidR="0088112C" w:rsidRPr="004D53EC" w:rsidRDefault="0088112C" w:rsidP="005760FF">
            <w:pPr>
              <w:pStyle w:val="TableParagraph"/>
              <w:spacing w:line="184" w:lineRule="exact"/>
              <w:ind w:left="286"/>
              <w:jc w:val="left"/>
              <w:rPr>
                <w:rFonts w:ascii="Arial MT"/>
                <w:sz w:val="16"/>
                <w:lang w:val="sq-AL"/>
              </w:rPr>
            </w:pPr>
            <w:r w:rsidRPr="004D53EC">
              <w:rPr>
                <w:sz w:val="16"/>
                <w:lang w:val="sq-AL" w:bidi="sq-AL"/>
              </w:rPr>
              <w:t xml:space="preserve">15.9 </w:t>
            </w:r>
            <w:proofErr w:type="spellStart"/>
            <w:r w:rsidRPr="004D53EC">
              <w:rPr>
                <w:sz w:val="16"/>
                <w:lang w:val="sq-AL" w:bidi="sq-AL"/>
              </w:rPr>
              <w:t>ew</w:t>
            </w:r>
            <w:proofErr w:type="spellEnd"/>
          </w:p>
        </w:tc>
        <w:tc>
          <w:tcPr>
            <w:tcW w:w="1134" w:type="dxa"/>
          </w:tcPr>
          <w:p w14:paraId="445A38F9" w14:textId="77777777" w:rsidR="0088112C" w:rsidRPr="004D53EC" w:rsidRDefault="0088112C" w:rsidP="005760FF">
            <w:pPr>
              <w:pStyle w:val="TableParagraph"/>
              <w:spacing w:line="184" w:lineRule="exact"/>
              <w:ind w:left="286"/>
              <w:jc w:val="left"/>
              <w:rPr>
                <w:rFonts w:ascii="Arial MT"/>
                <w:sz w:val="16"/>
                <w:lang w:val="sq-AL"/>
              </w:rPr>
            </w:pPr>
            <w:r w:rsidRPr="004D53EC">
              <w:rPr>
                <w:sz w:val="16"/>
                <w:lang w:val="sq-AL" w:bidi="sq-AL"/>
              </w:rPr>
              <w:t xml:space="preserve">15.3 </w:t>
            </w:r>
            <w:proofErr w:type="spellStart"/>
            <w:r w:rsidRPr="004D53EC">
              <w:rPr>
                <w:sz w:val="16"/>
                <w:lang w:val="sq-AL" w:bidi="sq-AL"/>
              </w:rPr>
              <w:t>ew</w:t>
            </w:r>
            <w:proofErr w:type="spellEnd"/>
          </w:p>
        </w:tc>
        <w:tc>
          <w:tcPr>
            <w:tcW w:w="1134" w:type="dxa"/>
          </w:tcPr>
          <w:p w14:paraId="54487B67" w14:textId="77777777" w:rsidR="0088112C" w:rsidRPr="004D53EC" w:rsidRDefault="0088112C" w:rsidP="005760FF">
            <w:pPr>
              <w:pStyle w:val="TableParagraph"/>
              <w:spacing w:line="184" w:lineRule="exact"/>
              <w:ind w:left="286"/>
              <w:jc w:val="left"/>
              <w:rPr>
                <w:rFonts w:ascii="Arial MT"/>
                <w:sz w:val="16"/>
                <w:lang w:val="sq-AL"/>
              </w:rPr>
            </w:pPr>
            <w:r w:rsidRPr="004D53EC">
              <w:rPr>
                <w:sz w:val="16"/>
                <w:lang w:val="sq-AL" w:bidi="sq-AL"/>
              </w:rPr>
              <w:t xml:space="preserve">15.5 </w:t>
            </w:r>
            <w:proofErr w:type="spellStart"/>
            <w:r w:rsidRPr="004D53EC">
              <w:rPr>
                <w:sz w:val="16"/>
                <w:lang w:val="sq-AL" w:bidi="sq-AL"/>
              </w:rPr>
              <w:t>ew</w:t>
            </w:r>
            <w:proofErr w:type="spellEnd"/>
          </w:p>
        </w:tc>
        <w:tc>
          <w:tcPr>
            <w:tcW w:w="1134" w:type="dxa"/>
          </w:tcPr>
          <w:p w14:paraId="7BB2FB2D" w14:textId="77777777" w:rsidR="0088112C" w:rsidRPr="004D53EC" w:rsidRDefault="0088112C" w:rsidP="005760FF">
            <w:pPr>
              <w:pStyle w:val="TableParagraph"/>
              <w:spacing w:line="184" w:lineRule="exact"/>
              <w:ind w:left="286"/>
              <w:jc w:val="left"/>
              <w:rPr>
                <w:rFonts w:ascii="Arial MT"/>
                <w:sz w:val="16"/>
                <w:lang w:val="sq-AL"/>
              </w:rPr>
            </w:pPr>
            <w:r w:rsidRPr="004D53EC">
              <w:rPr>
                <w:sz w:val="16"/>
                <w:lang w:val="sq-AL" w:bidi="sq-AL"/>
              </w:rPr>
              <w:t xml:space="preserve">16.3 </w:t>
            </w:r>
            <w:proofErr w:type="spellStart"/>
            <w:r w:rsidRPr="004D53EC">
              <w:rPr>
                <w:sz w:val="16"/>
                <w:lang w:val="sq-AL" w:bidi="sq-AL"/>
              </w:rPr>
              <w:t>ew</w:t>
            </w:r>
            <w:proofErr w:type="spellEnd"/>
          </w:p>
        </w:tc>
      </w:tr>
      <w:tr w:rsidR="0088112C" w:rsidRPr="004D53EC" w14:paraId="6B33672B" w14:textId="77777777" w:rsidTr="005760FF">
        <w:trPr>
          <w:trHeight w:val="396"/>
        </w:trPr>
        <w:tc>
          <w:tcPr>
            <w:tcW w:w="6804" w:type="dxa"/>
          </w:tcPr>
          <w:p w14:paraId="669A5481" w14:textId="77777777" w:rsidR="0088112C" w:rsidRPr="004D53EC" w:rsidRDefault="0088112C" w:rsidP="005760FF">
            <w:pPr>
              <w:pStyle w:val="TableParagraph"/>
              <w:spacing w:before="1"/>
              <w:ind w:left="107"/>
              <w:jc w:val="left"/>
              <w:rPr>
                <w:rFonts w:ascii="Arial MT" w:hAnsi="Arial MT"/>
                <w:sz w:val="16"/>
                <w:lang w:val="sq-AL"/>
              </w:rPr>
            </w:pPr>
            <w:r w:rsidRPr="004D53EC">
              <w:rPr>
                <w:sz w:val="16"/>
                <w:lang w:val="sq-AL" w:bidi="sq-AL"/>
              </w:rPr>
              <w:t>Personat e punësuar në sektorin privat si pjesë e punësimit gjithsej, personat e moshës 20–64 vjeç (%)</w:t>
            </w:r>
          </w:p>
          <w:p w14:paraId="49A8BCAB" w14:textId="77777777" w:rsidR="0088112C" w:rsidRPr="004D53EC" w:rsidRDefault="0088112C" w:rsidP="005760FF">
            <w:pPr>
              <w:pStyle w:val="TableParagraph"/>
              <w:spacing w:before="14" w:line="178" w:lineRule="exact"/>
              <w:ind w:left="107"/>
              <w:jc w:val="left"/>
              <w:rPr>
                <w:rFonts w:ascii="Arial MT"/>
                <w:sz w:val="16"/>
                <w:lang w:val="sq-AL"/>
              </w:rPr>
            </w:pPr>
            <w:r w:rsidRPr="004D53EC">
              <w:rPr>
                <w:spacing w:val="-5"/>
                <w:sz w:val="16"/>
                <w:lang w:val="sq-AL" w:bidi="sq-AL"/>
              </w:rPr>
              <w:t>(%)</w:t>
            </w:r>
          </w:p>
        </w:tc>
        <w:tc>
          <w:tcPr>
            <w:tcW w:w="568" w:type="dxa"/>
          </w:tcPr>
          <w:p w14:paraId="695AC3DC" w14:textId="77777777" w:rsidR="0088112C" w:rsidRPr="004D53EC" w:rsidRDefault="0088112C" w:rsidP="005760FF">
            <w:pPr>
              <w:pStyle w:val="TableParagraph"/>
              <w:ind w:left="0"/>
              <w:jc w:val="left"/>
              <w:rPr>
                <w:sz w:val="14"/>
                <w:lang w:val="sq-AL"/>
              </w:rPr>
            </w:pPr>
          </w:p>
        </w:tc>
        <w:tc>
          <w:tcPr>
            <w:tcW w:w="1134" w:type="dxa"/>
          </w:tcPr>
          <w:p w14:paraId="5A18C3A9"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03170416"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83.6 </w:t>
            </w:r>
            <w:proofErr w:type="spellStart"/>
            <w:r w:rsidRPr="004D53EC">
              <w:rPr>
                <w:sz w:val="16"/>
                <w:lang w:val="sq-AL" w:bidi="sq-AL"/>
              </w:rPr>
              <w:t>ew</w:t>
            </w:r>
            <w:proofErr w:type="spellEnd"/>
          </w:p>
        </w:tc>
        <w:tc>
          <w:tcPr>
            <w:tcW w:w="1134" w:type="dxa"/>
          </w:tcPr>
          <w:p w14:paraId="250483BB"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84.1 </w:t>
            </w:r>
            <w:proofErr w:type="spellStart"/>
            <w:r w:rsidRPr="004D53EC">
              <w:rPr>
                <w:sz w:val="16"/>
                <w:lang w:val="sq-AL" w:bidi="sq-AL"/>
              </w:rPr>
              <w:t>ew</w:t>
            </w:r>
            <w:proofErr w:type="spellEnd"/>
          </w:p>
        </w:tc>
        <w:tc>
          <w:tcPr>
            <w:tcW w:w="1134" w:type="dxa"/>
          </w:tcPr>
          <w:p w14:paraId="393E5834"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84.7 </w:t>
            </w:r>
            <w:proofErr w:type="spellStart"/>
            <w:r w:rsidRPr="004D53EC">
              <w:rPr>
                <w:sz w:val="16"/>
                <w:lang w:val="sq-AL" w:bidi="sq-AL"/>
              </w:rPr>
              <w:t>ew</w:t>
            </w:r>
            <w:proofErr w:type="spellEnd"/>
          </w:p>
        </w:tc>
        <w:tc>
          <w:tcPr>
            <w:tcW w:w="1134" w:type="dxa"/>
          </w:tcPr>
          <w:p w14:paraId="27CAA75F"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84.5 </w:t>
            </w:r>
            <w:proofErr w:type="spellStart"/>
            <w:r w:rsidRPr="004D53EC">
              <w:rPr>
                <w:sz w:val="16"/>
                <w:lang w:val="sq-AL" w:bidi="sq-AL"/>
              </w:rPr>
              <w:t>ew</w:t>
            </w:r>
            <w:proofErr w:type="spellEnd"/>
          </w:p>
        </w:tc>
        <w:tc>
          <w:tcPr>
            <w:tcW w:w="1134" w:type="dxa"/>
          </w:tcPr>
          <w:p w14:paraId="2483B13E"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83.7 </w:t>
            </w:r>
            <w:proofErr w:type="spellStart"/>
            <w:r w:rsidRPr="004D53EC">
              <w:rPr>
                <w:sz w:val="16"/>
                <w:lang w:val="sq-AL" w:bidi="sq-AL"/>
              </w:rPr>
              <w:t>ew</w:t>
            </w:r>
            <w:proofErr w:type="spellEnd"/>
          </w:p>
        </w:tc>
      </w:tr>
      <w:tr w:rsidR="0088112C" w:rsidRPr="004D53EC" w14:paraId="34A5A047" w14:textId="77777777" w:rsidTr="005760FF">
        <w:trPr>
          <w:trHeight w:val="223"/>
        </w:trPr>
        <w:tc>
          <w:tcPr>
            <w:tcW w:w="6804" w:type="dxa"/>
          </w:tcPr>
          <w:p w14:paraId="2E09E00C"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Shkalla e papunësisë: përqindja e fuqisë punëtore që është e papunë (%)</w:t>
            </w:r>
          </w:p>
        </w:tc>
        <w:tc>
          <w:tcPr>
            <w:tcW w:w="568" w:type="dxa"/>
          </w:tcPr>
          <w:p w14:paraId="4BE4F6EA" w14:textId="77777777" w:rsidR="0088112C" w:rsidRPr="004D53EC" w:rsidRDefault="0088112C" w:rsidP="005760FF">
            <w:pPr>
              <w:pStyle w:val="TableParagraph"/>
              <w:ind w:left="0"/>
              <w:jc w:val="left"/>
              <w:rPr>
                <w:sz w:val="14"/>
                <w:lang w:val="sq-AL"/>
              </w:rPr>
            </w:pPr>
          </w:p>
        </w:tc>
        <w:tc>
          <w:tcPr>
            <w:tcW w:w="1134" w:type="dxa"/>
          </w:tcPr>
          <w:p w14:paraId="29E13E95"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14.0 </w:t>
            </w:r>
            <w:proofErr w:type="spellStart"/>
            <w:r w:rsidRPr="004D53EC">
              <w:rPr>
                <w:sz w:val="16"/>
                <w:lang w:val="sq-AL" w:bidi="sq-AL"/>
              </w:rPr>
              <w:t>ew</w:t>
            </w:r>
            <w:proofErr w:type="spellEnd"/>
          </w:p>
        </w:tc>
        <w:tc>
          <w:tcPr>
            <w:tcW w:w="1134" w:type="dxa"/>
          </w:tcPr>
          <w:p w14:paraId="412AB039"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13.7 </w:t>
            </w:r>
            <w:proofErr w:type="spellStart"/>
            <w:r w:rsidRPr="004D53EC">
              <w:rPr>
                <w:sz w:val="16"/>
                <w:lang w:val="sq-AL" w:bidi="sq-AL"/>
              </w:rPr>
              <w:t>ew</w:t>
            </w:r>
            <w:proofErr w:type="spellEnd"/>
          </w:p>
        </w:tc>
        <w:tc>
          <w:tcPr>
            <w:tcW w:w="1134" w:type="dxa"/>
          </w:tcPr>
          <w:p w14:paraId="1DB7493C"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12.3 </w:t>
            </w:r>
            <w:proofErr w:type="spellStart"/>
            <w:r w:rsidRPr="004D53EC">
              <w:rPr>
                <w:sz w:val="16"/>
                <w:lang w:val="sq-AL" w:bidi="sq-AL"/>
              </w:rPr>
              <w:t>ew</w:t>
            </w:r>
            <w:proofErr w:type="spellEnd"/>
          </w:p>
        </w:tc>
        <w:tc>
          <w:tcPr>
            <w:tcW w:w="1134" w:type="dxa"/>
          </w:tcPr>
          <w:p w14:paraId="1B814410"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11.5 </w:t>
            </w:r>
            <w:proofErr w:type="spellStart"/>
            <w:r w:rsidRPr="004D53EC">
              <w:rPr>
                <w:sz w:val="16"/>
                <w:lang w:val="sq-AL" w:bidi="sq-AL"/>
              </w:rPr>
              <w:t>ew</w:t>
            </w:r>
            <w:proofErr w:type="spellEnd"/>
          </w:p>
        </w:tc>
        <w:tc>
          <w:tcPr>
            <w:tcW w:w="1134" w:type="dxa"/>
          </w:tcPr>
          <w:p w14:paraId="491CD54E"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11.8 </w:t>
            </w:r>
            <w:proofErr w:type="spellStart"/>
            <w:r w:rsidRPr="004D53EC">
              <w:rPr>
                <w:sz w:val="16"/>
                <w:lang w:val="sq-AL" w:bidi="sq-AL"/>
              </w:rPr>
              <w:t>ew</w:t>
            </w:r>
            <w:proofErr w:type="spellEnd"/>
          </w:p>
        </w:tc>
        <w:tc>
          <w:tcPr>
            <w:tcW w:w="1134" w:type="dxa"/>
          </w:tcPr>
          <w:p w14:paraId="722FF3B7"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11.6 </w:t>
            </w:r>
            <w:proofErr w:type="spellStart"/>
            <w:r w:rsidRPr="004D53EC">
              <w:rPr>
                <w:sz w:val="16"/>
                <w:lang w:val="sq-AL" w:bidi="sq-AL"/>
              </w:rPr>
              <w:t>ew</w:t>
            </w:r>
            <w:proofErr w:type="spellEnd"/>
          </w:p>
        </w:tc>
      </w:tr>
      <w:tr w:rsidR="0088112C" w:rsidRPr="004D53EC" w14:paraId="39825CE7" w14:textId="77777777" w:rsidTr="005760FF">
        <w:trPr>
          <w:trHeight w:val="222"/>
        </w:trPr>
        <w:tc>
          <w:tcPr>
            <w:tcW w:w="6804" w:type="dxa"/>
          </w:tcPr>
          <w:p w14:paraId="510293BE"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Përqindja e papunësisë së burrave (%)</w:t>
            </w:r>
          </w:p>
        </w:tc>
        <w:tc>
          <w:tcPr>
            <w:tcW w:w="568" w:type="dxa"/>
          </w:tcPr>
          <w:p w14:paraId="6AEAB298" w14:textId="77777777" w:rsidR="0088112C" w:rsidRPr="004D53EC" w:rsidRDefault="0088112C" w:rsidP="005760FF">
            <w:pPr>
              <w:pStyle w:val="TableParagraph"/>
              <w:ind w:left="0"/>
              <w:jc w:val="left"/>
              <w:rPr>
                <w:sz w:val="14"/>
                <w:lang w:val="sq-AL"/>
              </w:rPr>
            </w:pPr>
          </w:p>
        </w:tc>
        <w:tc>
          <w:tcPr>
            <w:tcW w:w="1134" w:type="dxa"/>
          </w:tcPr>
          <w:p w14:paraId="48D25180" w14:textId="77777777" w:rsidR="0088112C" w:rsidRPr="004D53EC" w:rsidRDefault="0088112C" w:rsidP="005760FF">
            <w:pPr>
              <w:pStyle w:val="TableParagraph"/>
              <w:spacing w:line="184" w:lineRule="exact"/>
              <w:ind w:left="286"/>
              <w:jc w:val="left"/>
              <w:rPr>
                <w:rFonts w:ascii="Arial MT"/>
                <w:sz w:val="16"/>
                <w:lang w:val="sq-AL"/>
              </w:rPr>
            </w:pPr>
            <w:r w:rsidRPr="004D53EC">
              <w:rPr>
                <w:sz w:val="16"/>
                <w:lang w:val="sq-AL" w:bidi="sq-AL"/>
              </w:rPr>
              <w:t xml:space="preserve">12.6 </w:t>
            </w:r>
            <w:proofErr w:type="spellStart"/>
            <w:r w:rsidRPr="004D53EC">
              <w:rPr>
                <w:sz w:val="16"/>
                <w:lang w:val="sq-AL" w:bidi="sq-AL"/>
              </w:rPr>
              <w:t>ew</w:t>
            </w:r>
            <w:proofErr w:type="spellEnd"/>
          </w:p>
        </w:tc>
        <w:tc>
          <w:tcPr>
            <w:tcW w:w="1134" w:type="dxa"/>
          </w:tcPr>
          <w:p w14:paraId="478D8513" w14:textId="77777777" w:rsidR="0088112C" w:rsidRPr="004D53EC" w:rsidRDefault="0088112C" w:rsidP="005760FF">
            <w:pPr>
              <w:pStyle w:val="TableParagraph"/>
              <w:spacing w:line="184" w:lineRule="exact"/>
              <w:ind w:left="286"/>
              <w:jc w:val="left"/>
              <w:rPr>
                <w:rFonts w:ascii="Arial MT"/>
                <w:sz w:val="16"/>
                <w:lang w:val="sq-AL"/>
              </w:rPr>
            </w:pPr>
            <w:r w:rsidRPr="004D53EC">
              <w:rPr>
                <w:sz w:val="16"/>
                <w:lang w:val="sq-AL" w:bidi="sq-AL"/>
              </w:rPr>
              <w:t xml:space="preserve">14.6 </w:t>
            </w:r>
            <w:proofErr w:type="spellStart"/>
            <w:r w:rsidRPr="004D53EC">
              <w:rPr>
                <w:sz w:val="16"/>
                <w:lang w:val="sq-AL" w:bidi="sq-AL"/>
              </w:rPr>
              <w:t>ew</w:t>
            </w:r>
            <w:proofErr w:type="spellEnd"/>
          </w:p>
        </w:tc>
        <w:tc>
          <w:tcPr>
            <w:tcW w:w="1134" w:type="dxa"/>
          </w:tcPr>
          <w:p w14:paraId="1B37011F" w14:textId="77777777" w:rsidR="0088112C" w:rsidRPr="004D53EC" w:rsidRDefault="0088112C" w:rsidP="005760FF">
            <w:pPr>
              <w:pStyle w:val="TableParagraph"/>
              <w:spacing w:line="184" w:lineRule="exact"/>
              <w:ind w:left="286"/>
              <w:jc w:val="left"/>
              <w:rPr>
                <w:rFonts w:ascii="Arial MT"/>
                <w:sz w:val="16"/>
                <w:lang w:val="sq-AL"/>
              </w:rPr>
            </w:pPr>
            <w:r w:rsidRPr="004D53EC">
              <w:rPr>
                <w:sz w:val="16"/>
                <w:lang w:val="sq-AL" w:bidi="sq-AL"/>
              </w:rPr>
              <w:t xml:space="preserve">12.7 </w:t>
            </w:r>
            <w:proofErr w:type="spellStart"/>
            <w:r w:rsidRPr="004D53EC">
              <w:rPr>
                <w:sz w:val="16"/>
                <w:lang w:val="sq-AL" w:bidi="sq-AL"/>
              </w:rPr>
              <w:t>ew</w:t>
            </w:r>
            <w:proofErr w:type="spellEnd"/>
          </w:p>
        </w:tc>
        <w:tc>
          <w:tcPr>
            <w:tcW w:w="1134" w:type="dxa"/>
          </w:tcPr>
          <w:p w14:paraId="2832C639" w14:textId="77777777" w:rsidR="0088112C" w:rsidRPr="004D53EC" w:rsidRDefault="0088112C" w:rsidP="005760FF">
            <w:pPr>
              <w:pStyle w:val="TableParagraph"/>
              <w:spacing w:line="184" w:lineRule="exact"/>
              <w:ind w:left="286"/>
              <w:jc w:val="left"/>
              <w:rPr>
                <w:rFonts w:ascii="Arial MT"/>
                <w:sz w:val="16"/>
                <w:lang w:val="sq-AL"/>
              </w:rPr>
            </w:pPr>
            <w:r w:rsidRPr="004D53EC">
              <w:rPr>
                <w:sz w:val="16"/>
                <w:lang w:val="sq-AL" w:bidi="sq-AL"/>
              </w:rPr>
              <w:t xml:space="preserve">11.6 </w:t>
            </w:r>
            <w:proofErr w:type="spellStart"/>
            <w:r w:rsidRPr="004D53EC">
              <w:rPr>
                <w:sz w:val="16"/>
                <w:lang w:val="sq-AL" w:bidi="sq-AL"/>
              </w:rPr>
              <w:t>ew</w:t>
            </w:r>
            <w:proofErr w:type="spellEnd"/>
          </w:p>
        </w:tc>
        <w:tc>
          <w:tcPr>
            <w:tcW w:w="1134" w:type="dxa"/>
          </w:tcPr>
          <w:p w14:paraId="3EEB48E1" w14:textId="77777777" w:rsidR="0088112C" w:rsidRPr="004D53EC" w:rsidRDefault="0088112C" w:rsidP="005760FF">
            <w:pPr>
              <w:pStyle w:val="TableParagraph"/>
              <w:spacing w:line="184" w:lineRule="exact"/>
              <w:ind w:left="286"/>
              <w:jc w:val="left"/>
              <w:rPr>
                <w:rFonts w:ascii="Arial MT"/>
                <w:sz w:val="16"/>
                <w:lang w:val="sq-AL"/>
              </w:rPr>
            </w:pPr>
            <w:r w:rsidRPr="004D53EC">
              <w:rPr>
                <w:sz w:val="16"/>
                <w:lang w:val="sq-AL" w:bidi="sq-AL"/>
              </w:rPr>
              <w:t xml:space="preserve">11.6 </w:t>
            </w:r>
            <w:proofErr w:type="spellStart"/>
            <w:r w:rsidRPr="004D53EC">
              <w:rPr>
                <w:sz w:val="16"/>
                <w:lang w:val="sq-AL" w:bidi="sq-AL"/>
              </w:rPr>
              <w:t>ew</w:t>
            </w:r>
            <w:proofErr w:type="spellEnd"/>
          </w:p>
        </w:tc>
        <w:tc>
          <w:tcPr>
            <w:tcW w:w="1134" w:type="dxa"/>
          </w:tcPr>
          <w:p w14:paraId="6357C736" w14:textId="77777777" w:rsidR="0088112C" w:rsidRPr="004D53EC" w:rsidRDefault="0088112C" w:rsidP="005760FF">
            <w:pPr>
              <w:pStyle w:val="TableParagraph"/>
              <w:spacing w:line="184" w:lineRule="exact"/>
              <w:ind w:left="286"/>
              <w:jc w:val="left"/>
              <w:rPr>
                <w:rFonts w:ascii="Arial MT"/>
                <w:sz w:val="16"/>
                <w:lang w:val="sq-AL"/>
              </w:rPr>
            </w:pPr>
            <w:r w:rsidRPr="004D53EC">
              <w:rPr>
                <w:sz w:val="16"/>
                <w:lang w:val="sq-AL" w:bidi="sq-AL"/>
              </w:rPr>
              <w:t xml:space="preserve">11.4 </w:t>
            </w:r>
            <w:proofErr w:type="spellStart"/>
            <w:r w:rsidRPr="004D53EC">
              <w:rPr>
                <w:sz w:val="16"/>
                <w:lang w:val="sq-AL" w:bidi="sq-AL"/>
              </w:rPr>
              <w:t>ew</w:t>
            </w:r>
            <w:proofErr w:type="spellEnd"/>
          </w:p>
        </w:tc>
      </w:tr>
      <w:tr w:rsidR="0088112C" w:rsidRPr="004D53EC" w14:paraId="402E27F2" w14:textId="77777777" w:rsidTr="005760FF">
        <w:trPr>
          <w:trHeight w:val="222"/>
        </w:trPr>
        <w:tc>
          <w:tcPr>
            <w:tcW w:w="6804" w:type="dxa"/>
          </w:tcPr>
          <w:p w14:paraId="5932CE2D"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Përqindja e papunësisë së grave (%)</w:t>
            </w:r>
          </w:p>
        </w:tc>
        <w:tc>
          <w:tcPr>
            <w:tcW w:w="568" w:type="dxa"/>
          </w:tcPr>
          <w:p w14:paraId="0D1C8066" w14:textId="77777777" w:rsidR="0088112C" w:rsidRPr="004D53EC" w:rsidRDefault="0088112C" w:rsidP="005760FF">
            <w:pPr>
              <w:pStyle w:val="TableParagraph"/>
              <w:ind w:left="0"/>
              <w:jc w:val="left"/>
              <w:rPr>
                <w:sz w:val="14"/>
                <w:lang w:val="sq-AL"/>
              </w:rPr>
            </w:pPr>
          </w:p>
        </w:tc>
        <w:tc>
          <w:tcPr>
            <w:tcW w:w="1134" w:type="dxa"/>
          </w:tcPr>
          <w:p w14:paraId="197679B0"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15.9 </w:t>
            </w:r>
            <w:proofErr w:type="spellStart"/>
            <w:r w:rsidRPr="004D53EC">
              <w:rPr>
                <w:sz w:val="16"/>
                <w:lang w:val="sq-AL" w:bidi="sq-AL"/>
              </w:rPr>
              <w:t>ew</w:t>
            </w:r>
            <w:proofErr w:type="spellEnd"/>
          </w:p>
        </w:tc>
        <w:tc>
          <w:tcPr>
            <w:tcW w:w="1134" w:type="dxa"/>
          </w:tcPr>
          <w:p w14:paraId="712703FD"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12.6 </w:t>
            </w:r>
            <w:proofErr w:type="spellStart"/>
            <w:r w:rsidRPr="004D53EC">
              <w:rPr>
                <w:sz w:val="16"/>
                <w:lang w:val="sq-AL" w:bidi="sq-AL"/>
              </w:rPr>
              <w:t>ew</w:t>
            </w:r>
            <w:proofErr w:type="spellEnd"/>
          </w:p>
        </w:tc>
        <w:tc>
          <w:tcPr>
            <w:tcW w:w="1134" w:type="dxa"/>
          </w:tcPr>
          <w:p w14:paraId="00D103D0"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11.9 </w:t>
            </w:r>
            <w:proofErr w:type="spellStart"/>
            <w:r w:rsidRPr="004D53EC">
              <w:rPr>
                <w:sz w:val="16"/>
                <w:lang w:val="sq-AL" w:bidi="sq-AL"/>
              </w:rPr>
              <w:t>ew</w:t>
            </w:r>
            <w:proofErr w:type="spellEnd"/>
          </w:p>
        </w:tc>
        <w:tc>
          <w:tcPr>
            <w:tcW w:w="1134" w:type="dxa"/>
          </w:tcPr>
          <w:p w14:paraId="6D8C02A0"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11.4 </w:t>
            </w:r>
            <w:proofErr w:type="spellStart"/>
            <w:r w:rsidRPr="004D53EC">
              <w:rPr>
                <w:sz w:val="16"/>
                <w:lang w:val="sq-AL" w:bidi="sq-AL"/>
              </w:rPr>
              <w:t>ew</w:t>
            </w:r>
            <w:proofErr w:type="spellEnd"/>
          </w:p>
        </w:tc>
        <w:tc>
          <w:tcPr>
            <w:tcW w:w="1134" w:type="dxa"/>
          </w:tcPr>
          <w:p w14:paraId="2F4D9995"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12.0 </w:t>
            </w:r>
            <w:proofErr w:type="spellStart"/>
            <w:r w:rsidRPr="004D53EC">
              <w:rPr>
                <w:sz w:val="16"/>
                <w:lang w:val="sq-AL" w:bidi="sq-AL"/>
              </w:rPr>
              <w:t>ew</w:t>
            </w:r>
            <w:proofErr w:type="spellEnd"/>
          </w:p>
        </w:tc>
        <w:tc>
          <w:tcPr>
            <w:tcW w:w="1134" w:type="dxa"/>
          </w:tcPr>
          <w:p w14:paraId="4F09A5E5"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11.8 </w:t>
            </w:r>
            <w:proofErr w:type="spellStart"/>
            <w:r w:rsidRPr="004D53EC">
              <w:rPr>
                <w:sz w:val="16"/>
                <w:lang w:val="sq-AL" w:bidi="sq-AL"/>
              </w:rPr>
              <w:t>ew</w:t>
            </w:r>
            <w:proofErr w:type="spellEnd"/>
          </w:p>
        </w:tc>
      </w:tr>
      <w:tr w:rsidR="0088112C" w:rsidRPr="004D53EC" w14:paraId="306F1460" w14:textId="77777777" w:rsidTr="005760FF">
        <w:trPr>
          <w:trHeight w:val="223"/>
        </w:trPr>
        <w:tc>
          <w:tcPr>
            <w:tcW w:w="6804" w:type="dxa"/>
          </w:tcPr>
          <w:p w14:paraId="45BF3C04" w14:textId="77777777" w:rsidR="0088112C" w:rsidRPr="004D53EC" w:rsidRDefault="0088112C" w:rsidP="005760FF">
            <w:pPr>
              <w:pStyle w:val="TableParagraph"/>
              <w:spacing w:before="1"/>
              <w:ind w:left="107"/>
              <w:jc w:val="left"/>
              <w:rPr>
                <w:rFonts w:ascii="Arial MT" w:hAnsi="Arial MT"/>
                <w:sz w:val="16"/>
                <w:lang w:val="sq-AL"/>
              </w:rPr>
            </w:pPr>
            <w:r w:rsidRPr="004D53EC">
              <w:rPr>
                <w:sz w:val="16"/>
                <w:lang w:val="sq-AL" w:bidi="sq-AL"/>
              </w:rPr>
              <w:t>Shkalla e papunësisë së të rinjve: përqindja e fuqisë punëtore e moshës 15–24 vjeç që është e papunë (%)</w:t>
            </w:r>
          </w:p>
        </w:tc>
        <w:tc>
          <w:tcPr>
            <w:tcW w:w="568" w:type="dxa"/>
          </w:tcPr>
          <w:p w14:paraId="546E3BC5" w14:textId="77777777" w:rsidR="0088112C" w:rsidRPr="004D53EC" w:rsidRDefault="0088112C" w:rsidP="005760FF">
            <w:pPr>
              <w:pStyle w:val="TableParagraph"/>
              <w:ind w:left="0"/>
              <w:jc w:val="left"/>
              <w:rPr>
                <w:sz w:val="14"/>
                <w:lang w:val="sq-AL"/>
              </w:rPr>
            </w:pPr>
          </w:p>
        </w:tc>
        <w:tc>
          <w:tcPr>
            <w:tcW w:w="1134" w:type="dxa"/>
          </w:tcPr>
          <w:p w14:paraId="23F7D800"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30.5 </w:t>
            </w:r>
            <w:proofErr w:type="spellStart"/>
            <w:r w:rsidRPr="004D53EC">
              <w:rPr>
                <w:sz w:val="16"/>
                <w:lang w:val="sq-AL" w:bidi="sq-AL"/>
              </w:rPr>
              <w:t>ew</w:t>
            </w:r>
            <w:proofErr w:type="spellEnd"/>
          </w:p>
        </w:tc>
        <w:tc>
          <w:tcPr>
            <w:tcW w:w="1134" w:type="dxa"/>
          </w:tcPr>
          <w:p w14:paraId="76262CE5"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31.9 </w:t>
            </w:r>
            <w:proofErr w:type="spellStart"/>
            <w:r w:rsidRPr="004D53EC">
              <w:rPr>
                <w:sz w:val="16"/>
                <w:lang w:val="sq-AL" w:bidi="sq-AL"/>
              </w:rPr>
              <w:t>ew</w:t>
            </w:r>
            <w:proofErr w:type="spellEnd"/>
          </w:p>
        </w:tc>
        <w:tc>
          <w:tcPr>
            <w:tcW w:w="1134" w:type="dxa"/>
          </w:tcPr>
          <w:p w14:paraId="31955689"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28.3 </w:t>
            </w:r>
            <w:proofErr w:type="spellStart"/>
            <w:r w:rsidRPr="004D53EC">
              <w:rPr>
                <w:sz w:val="16"/>
                <w:lang w:val="sq-AL" w:bidi="sq-AL"/>
              </w:rPr>
              <w:t>ew</w:t>
            </w:r>
            <w:proofErr w:type="spellEnd"/>
          </w:p>
        </w:tc>
        <w:tc>
          <w:tcPr>
            <w:tcW w:w="1134" w:type="dxa"/>
          </w:tcPr>
          <w:p w14:paraId="49259DA9"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27.2 </w:t>
            </w:r>
            <w:proofErr w:type="spellStart"/>
            <w:r w:rsidRPr="004D53EC">
              <w:rPr>
                <w:sz w:val="16"/>
                <w:lang w:val="sq-AL" w:bidi="sq-AL"/>
              </w:rPr>
              <w:t>ew</w:t>
            </w:r>
            <w:proofErr w:type="spellEnd"/>
          </w:p>
        </w:tc>
        <w:tc>
          <w:tcPr>
            <w:tcW w:w="1134" w:type="dxa"/>
          </w:tcPr>
          <w:p w14:paraId="431E38B5"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26.5 </w:t>
            </w:r>
            <w:proofErr w:type="spellStart"/>
            <w:r w:rsidRPr="004D53EC">
              <w:rPr>
                <w:sz w:val="16"/>
                <w:lang w:val="sq-AL" w:bidi="sq-AL"/>
              </w:rPr>
              <w:t>ew</w:t>
            </w:r>
            <w:proofErr w:type="spellEnd"/>
          </w:p>
        </w:tc>
        <w:tc>
          <w:tcPr>
            <w:tcW w:w="1134" w:type="dxa"/>
          </w:tcPr>
          <w:p w14:paraId="79724933"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27.1 </w:t>
            </w:r>
            <w:proofErr w:type="spellStart"/>
            <w:r w:rsidRPr="004D53EC">
              <w:rPr>
                <w:sz w:val="16"/>
                <w:lang w:val="sq-AL" w:bidi="sq-AL"/>
              </w:rPr>
              <w:t>ew</w:t>
            </w:r>
            <w:proofErr w:type="spellEnd"/>
          </w:p>
        </w:tc>
      </w:tr>
      <w:tr w:rsidR="0088112C" w:rsidRPr="004D53EC" w14:paraId="19E86ECD" w14:textId="77777777" w:rsidTr="005760FF">
        <w:trPr>
          <w:trHeight w:val="396"/>
        </w:trPr>
        <w:tc>
          <w:tcPr>
            <w:tcW w:w="6804" w:type="dxa"/>
          </w:tcPr>
          <w:p w14:paraId="306D819D"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Shkalla e papunësisë afatgjatë: përqindja e fuqisë punëtore që ka qenë e papunë për</w:t>
            </w:r>
          </w:p>
          <w:p w14:paraId="74123C99" w14:textId="77777777" w:rsidR="0088112C" w:rsidRPr="004D53EC" w:rsidRDefault="0088112C" w:rsidP="005760FF">
            <w:pPr>
              <w:pStyle w:val="TableParagraph"/>
              <w:spacing w:before="15" w:line="178" w:lineRule="exact"/>
              <w:ind w:left="107"/>
              <w:jc w:val="left"/>
              <w:rPr>
                <w:rFonts w:ascii="Arial MT"/>
                <w:sz w:val="16"/>
                <w:lang w:val="sq-AL"/>
              </w:rPr>
            </w:pPr>
            <w:r w:rsidRPr="004D53EC">
              <w:rPr>
                <w:sz w:val="16"/>
                <w:lang w:val="sq-AL" w:bidi="sq-AL"/>
              </w:rPr>
              <w:t>12 muaj ose më shumë (%))</w:t>
            </w:r>
          </w:p>
        </w:tc>
        <w:tc>
          <w:tcPr>
            <w:tcW w:w="568" w:type="dxa"/>
          </w:tcPr>
          <w:p w14:paraId="7AABAE3E" w14:textId="77777777" w:rsidR="0088112C" w:rsidRPr="004D53EC" w:rsidRDefault="0088112C" w:rsidP="005760FF">
            <w:pPr>
              <w:pStyle w:val="TableParagraph"/>
              <w:ind w:left="0"/>
              <w:jc w:val="left"/>
              <w:rPr>
                <w:sz w:val="14"/>
                <w:lang w:val="sq-AL"/>
              </w:rPr>
            </w:pPr>
          </w:p>
        </w:tc>
        <w:tc>
          <w:tcPr>
            <w:tcW w:w="1134" w:type="dxa"/>
          </w:tcPr>
          <w:p w14:paraId="274879AF" w14:textId="77777777" w:rsidR="0088112C" w:rsidRPr="004D53EC" w:rsidRDefault="0088112C" w:rsidP="005760FF">
            <w:pPr>
              <w:pStyle w:val="TableParagraph"/>
              <w:spacing w:line="184" w:lineRule="exact"/>
              <w:ind w:left="286"/>
              <w:jc w:val="left"/>
              <w:rPr>
                <w:rFonts w:ascii="Arial MT"/>
                <w:sz w:val="16"/>
                <w:lang w:val="sq-AL"/>
              </w:rPr>
            </w:pPr>
            <w:r w:rsidRPr="004D53EC">
              <w:rPr>
                <w:sz w:val="16"/>
                <w:lang w:val="sq-AL" w:bidi="sq-AL"/>
              </w:rPr>
              <w:t xml:space="preserve">10.6 </w:t>
            </w:r>
            <w:proofErr w:type="spellStart"/>
            <w:r w:rsidRPr="004D53EC">
              <w:rPr>
                <w:sz w:val="16"/>
                <w:lang w:val="sq-AL" w:bidi="sq-AL"/>
              </w:rPr>
              <w:t>ew</w:t>
            </w:r>
            <w:proofErr w:type="spellEnd"/>
          </w:p>
        </w:tc>
        <w:tc>
          <w:tcPr>
            <w:tcW w:w="1134" w:type="dxa"/>
          </w:tcPr>
          <w:p w14:paraId="2270FD7A" w14:textId="77777777" w:rsidR="0088112C" w:rsidRPr="004D53EC" w:rsidRDefault="0088112C" w:rsidP="005760FF">
            <w:pPr>
              <w:pStyle w:val="TableParagraph"/>
              <w:spacing w:line="184" w:lineRule="exact"/>
              <w:ind w:left="330"/>
              <w:jc w:val="left"/>
              <w:rPr>
                <w:rFonts w:ascii="Arial MT"/>
                <w:sz w:val="16"/>
                <w:lang w:val="sq-AL"/>
              </w:rPr>
            </w:pPr>
            <w:r w:rsidRPr="004D53EC">
              <w:rPr>
                <w:sz w:val="16"/>
                <w:lang w:val="sq-AL" w:bidi="sq-AL"/>
              </w:rPr>
              <w:t xml:space="preserve">8.9 </w:t>
            </w:r>
            <w:proofErr w:type="spellStart"/>
            <w:r w:rsidRPr="004D53EC">
              <w:rPr>
                <w:sz w:val="16"/>
                <w:lang w:val="sq-AL" w:bidi="sq-AL"/>
              </w:rPr>
              <w:t>ew</w:t>
            </w:r>
            <w:proofErr w:type="spellEnd"/>
          </w:p>
        </w:tc>
        <w:tc>
          <w:tcPr>
            <w:tcW w:w="1134" w:type="dxa"/>
          </w:tcPr>
          <w:p w14:paraId="63B8EF0F" w14:textId="77777777" w:rsidR="0088112C" w:rsidRPr="004D53EC" w:rsidRDefault="0088112C" w:rsidP="005760FF">
            <w:pPr>
              <w:pStyle w:val="TableParagraph"/>
              <w:spacing w:line="184" w:lineRule="exact"/>
              <w:ind w:left="330"/>
              <w:jc w:val="left"/>
              <w:rPr>
                <w:rFonts w:ascii="Arial MT"/>
                <w:sz w:val="16"/>
                <w:lang w:val="sq-AL"/>
              </w:rPr>
            </w:pPr>
            <w:r w:rsidRPr="004D53EC">
              <w:rPr>
                <w:sz w:val="16"/>
                <w:lang w:val="sq-AL" w:bidi="sq-AL"/>
              </w:rPr>
              <w:t xml:space="preserve">8.3 </w:t>
            </w:r>
            <w:proofErr w:type="spellStart"/>
            <w:r w:rsidRPr="004D53EC">
              <w:rPr>
                <w:sz w:val="16"/>
                <w:lang w:val="sq-AL" w:bidi="sq-AL"/>
              </w:rPr>
              <w:t>ew</w:t>
            </w:r>
            <w:proofErr w:type="spellEnd"/>
          </w:p>
        </w:tc>
        <w:tc>
          <w:tcPr>
            <w:tcW w:w="1134" w:type="dxa"/>
          </w:tcPr>
          <w:p w14:paraId="48B80610" w14:textId="77777777" w:rsidR="0088112C" w:rsidRPr="004D53EC" w:rsidRDefault="0088112C" w:rsidP="005760FF">
            <w:pPr>
              <w:pStyle w:val="TableParagraph"/>
              <w:spacing w:line="184" w:lineRule="exact"/>
              <w:ind w:left="330"/>
              <w:jc w:val="left"/>
              <w:rPr>
                <w:rFonts w:ascii="Arial MT"/>
                <w:sz w:val="16"/>
                <w:lang w:val="sq-AL"/>
              </w:rPr>
            </w:pPr>
            <w:r w:rsidRPr="004D53EC">
              <w:rPr>
                <w:sz w:val="16"/>
                <w:lang w:val="sq-AL" w:bidi="sq-AL"/>
              </w:rPr>
              <w:t xml:space="preserve">7.3 </w:t>
            </w:r>
            <w:proofErr w:type="spellStart"/>
            <w:r w:rsidRPr="004D53EC">
              <w:rPr>
                <w:sz w:val="16"/>
                <w:lang w:val="sq-AL" w:bidi="sq-AL"/>
              </w:rPr>
              <w:t>ew</w:t>
            </w:r>
            <w:proofErr w:type="spellEnd"/>
          </w:p>
        </w:tc>
        <w:tc>
          <w:tcPr>
            <w:tcW w:w="1134" w:type="dxa"/>
          </w:tcPr>
          <w:p w14:paraId="56CD7811" w14:textId="77777777" w:rsidR="0088112C" w:rsidRPr="004D53EC" w:rsidRDefault="0088112C" w:rsidP="005760FF">
            <w:pPr>
              <w:pStyle w:val="TableParagraph"/>
              <w:spacing w:line="184" w:lineRule="exact"/>
              <w:ind w:left="330"/>
              <w:jc w:val="left"/>
              <w:rPr>
                <w:rFonts w:ascii="Arial MT"/>
                <w:sz w:val="16"/>
                <w:lang w:val="sq-AL"/>
              </w:rPr>
            </w:pPr>
            <w:r w:rsidRPr="004D53EC">
              <w:rPr>
                <w:sz w:val="16"/>
                <w:lang w:val="sq-AL" w:bidi="sq-AL"/>
              </w:rPr>
              <w:t xml:space="preserve">7.0 </w:t>
            </w:r>
            <w:proofErr w:type="spellStart"/>
            <w:r w:rsidRPr="004D53EC">
              <w:rPr>
                <w:sz w:val="16"/>
                <w:lang w:val="sq-AL" w:bidi="sq-AL"/>
              </w:rPr>
              <w:t>ew</w:t>
            </w:r>
            <w:proofErr w:type="spellEnd"/>
          </w:p>
        </w:tc>
        <w:tc>
          <w:tcPr>
            <w:tcW w:w="1134" w:type="dxa"/>
          </w:tcPr>
          <w:p w14:paraId="2383FF5E" w14:textId="77777777" w:rsidR="0088112C" w:rsidRPr="004D53EC" w:rsidRDefault="0088112C" w:rsidP="005760FF">
            <w:pPr>
              <w:pStyle w:val="TableParagraph"/>
              <w:spacing w:line="184" w:lineRule="exact"/>
              <w:ind w:left="330"/>
              <w:jc w:val="left"/>
              <w:rPr>
                <w:rFonts w:ascii="Arial MT"/>
                <w:sz w:val="16"/>
                <w:lang w:val="sq-AL"/>
              </w:rPr>
            </w:pPr>
            <w:r w:rsidRPr="004D53EC">
              <w:rPr>
                <w:sz w:val="16"/>
                <w:lang w:val="sq-AL" w:bidi="sq-AL"/>
              </w:rPr>
              <w:t xml:space="preserve">7.3 </w:t>
            </w:r>
            <w:proofErr w:type="spellStart"/>
            <w:r w:rsidRPr="004D53EC">
              <w:rPr>
                <w:sz w:val="16"/>
                <w:lang w:val="sq-AL" w:bidi="sq-AL"/>
              </w:rPr>
              <w:t>ew</w:t>
            </w:r>
            <w:proofErr w:type="spellEnd"/>
          </w:p>
        </w:tc>
      </w:tr>
      <w:tr w:rsidR="0088112C" w:rsidRPr="004D53EC" w14:paraId="66F98DCB" w14:textId="77777777" w:rsidTr="005760FF">
        <w:trPr>
          <w:trHeight w:val="397"/>
        </w:trPr>
        <w:tc>
          <w:tcPr>
            <w:tcW w:w="6804" w:type="dxa"/>
          </w:tcPr>
          <w:p w14:paraId="04EF640D" w14:textId="77777777" w:rsidR="0088112C" w:rsidRPr="004D53EC" w:rsidRDefault="0088112C" w:rsidP="005760FF">
            <w:pPr>
              <w:pStyle w:val="TableParagraph"/>
              <w:spacing w:before="1"/>
              <w:ind w:left="107"/>
              <w:jc w:val="left"/>
              <w:rPr>
                <w:rFonts w:ascii="Arial MT" w:hAnsi="Arial MT"/>
                <w:sz w:val="16"/>
                <w:lang w:val="sq-AL"/>
              </w:rPr>
            </w:pPr>
            <w:r w:rsidRPr="004D53EC">
              <w:rPr>
                <w:sz w:val="16"/>
                <w:lang w:val="sq-AL" w:bidi="sq-AL"/>
              </w:rPr>
              <w:t xml:space="preserve">Shkalla e papunësisë për personat (e moshës 25–64 vjeç) që kanë përfunduar më së shumti arsimin e mesëm të ulët </w:t>
            </w:r>
          </w:p>
          <w:p w14:paraId="6EDDF553" w14:textId="77777777" w:rsidR="0088112C" w:rsidRPr="004D53EC" w:rsidRDefault="0088112C" w:rsidP="005760FF">
            <w:pPr>
              <w:pStyle w:val="TableParagraph"/>
              <w:spacing w:before="14" w:line="179" w:lineRule="exact"/>
              <w:ind w:left="107"/>
              <w:jc w:val="left"/>
              <w:rPr>
                <w:rFonts w:ascii="Arial MT"/>
                <w:sz w:val="16"/>
                <w:lang w:val="sq-AL"/>
              </w:rPr>
            </w:pPr>
            <w:r w:rsidRPr="004D53EC">
              <w:rPr>
                <w:sz w:val="16"/>
                <w:lang w:val="sq-AL" w:bidi="sq-AL"/>
              </w:rPr>
              <w:t>(sipas niveleve ISCED 0-2) (%)</w:t>
            </w:r>
          </w:p>
        </w:tc>
        <w:tc>
          <w:tcPr>
            <w:tcW w:w="568" w:type="dxa"/>
          </w:tcPr>
          <w:p w14:paraId="5419709B" w14:textId="77777777" w:rsidR="0088112C" w:rsidRPr="004D53EC" w:rsidRDefault="0088112C" w:rsidP="005760FF">
            <w:pPr>
              <w:pStyle w:val="TableParagraph"/>
              <w:ind w:left="0"/>
              <w:jc w:val="left"/>
              <w:rPr>
                <w:sz w:val="14"/>
                <w:lang w:val="sq-AL"/>
              </w:rPr>
            </w:pPr>
          </w:p>
        </w:tc>
        <w:tc>
          <w:tcPr>
            <w:tcW w:w="1134" w:type="dxa"/>
          </w:tcPr>
          <w:p w14:paraId="6F01C319"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10.9 </w:t>
            </w:r>
            <w:proofErr w:type="spellStart"/>
            <w:r w:rsidRPr="004D53EC">
              <w:rPr>
                <w:sz w:val="16"/>
                <w:lang w:val="sq-AL" w:bidi="sq-AL"/>
              </w:rPr>
              <w:t>ew</w:t>
            </w:r>
            <w:proofErr w:type="spellEnd"/>
          </w:p>
        </w:tc>
        <w:tc>
          <w:tcPr>
            <w:tcW w:w="1134" w:type="dxa"/>
          </w:tcPr>
          <w:p w14:paraId="31A6794A"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11.2 </w:t>
            </w:r>
            <w:proofErr w:type="spellStart"/>
            <w:r w:rsidRPr="004D53EC">
              <w:rPr>
                <w:sz w:val="16"/>
                <w:lang w:val="sq-AL" w:bidi="sq-AL"/>
              </w:rPr>
              <w:t>ew</w:t>
            </w:r>
            <w:proofErr w:type="spellEnd"/>
          </w:p>
        </w:tc>
        <w:tc>
          <w:tcPr>
            <w:tcW w:w="1134" w:type="dxa"/>
          </w:tcPr>
          <w:p w14:paraId="5A87D23D" w14:textId="77777777" w:rsidR="0088112C" w:rsidRPr="004D53EC" w:rsidRDefault="0088112C" w:rsidP="005760FF">
            <w:pPr>
              <w:pStyle w:val="TableParagraph"/>
              <w:spacing w:before="1"/>
              <w:ind w:left="330"/>
              <w:jc w:val="left"/>
              <w:rPr>
                <w:rFonts w:ascii="Arial MT"/>
                <w:sz w:val="16"/>
                <w:lang w:val="sq-AL"/>
              </w:rPr>
            </w:pPr>
            <w:r w:rsidRPr="004D53EC">
              <w:rPr>
                <w:sz w:val="16"/>
                <w:lang w:val="sq-AL" w:bidi="sq-AL"/>
              </w:rPr>
              <w:t xml:space="preserve">9.2 </w:t>
            </w:r>
            <w:proofErr w:type="spellStart"/>
            <w:r w:rsidRPr="004D53EC">
              <w:rPr>
                <w:sz w:val="16"/>
                <w:lang w:val="sq-AL" w:bidi="sq-AL"/>
              </w:rPr>
              <w:t>ew</w:t>
            </w:r>
            <w:proofErr w:type="spellEnd"/>
          </w:p>
        </w:tc>
        <w:tc>
          <w:tcPr>
            <w:tcW w:w="1134" w:type="dxa"/>
          </w:tcPr>
          <w:p w14:paraId="27995D81" w14:textId="77777777" w:rsidR="0088112C" w:rsidRPr="004D53EC" w:rsidRDefault="0088112C" w:rsidP="005760FF">
            <w:pPr>
              <w:pStyle w:val="TableParagraph"/>
              <w:spacing w:before="1"/>
              <w:ind w:left="330"/>
              <w:jc w:val="left"/>
              <w:rPr>
                <w:rFonts w:ascii="Arial MT"/>
                <w:sz w:val="16"/>
                <w:lang w:val="sq-AL"/>
              </w:rPr>
            </w:pPr>
            <w:r w:rsidRPr="004D53EC">
              <w:rPr>
                <w:sz w:val="16"/>
                <w:lang w:val="sq-AL" w:bidi="sq-AL"/>
              </w:rPr>
              <w:t xml:space="preserve">8.6 </w:t>
            </w:r>
            <w:proofErr w:type="spellStart"/>
            <w:r w:rsidRPr="004D53EC">
              <w:rPr>
                <w:sz w:val="16"/>
                <w:lang w:val="sq-AL" w:bidi="sq-AL"/>
              </w:rPr>
              <w:t>ew</w:t>
            </w:r>
            <w:proofErr w:type="spellEnd"/>
          </w:p>
        </w:tc>
        <w:tc>
          <w:tcPr>
            <w:tcW w:w="1134" w:type="dxa"/>
          </w:tcPr>
          <w:p w14:paraId="41A4F48E" w14:textId="77777777" w:rsidR="0088112C" w:rsidRPr="004D53EC" w:rsidRDefault="0088112C" w:rsidP="005760FF">
            <w:pPr>
              <w:pStyle w:val="TableParagraph"/>
              <w:spacing w:before="1"/>
              <w:ind w:left="330"/>
              <w:jc w:val="left"/>
              <w:rPr>
                <w:rFonts w:ascii="Arial MT"/>
                <w:sz w:val="16"/>
                <w:lang w:val="sq-AL"/>
              </w:rPr>
            </w:pPr>
            <w:r w:rsidRPr="004D53EC">
              <w:rPr>
                <w:sz w:val="16"/>
                <w:lang w:val="sq-AL" w:bidi="sq-AL"/>
              </w:rPr>
              <w:t xml:space="preserve">9.6 </w:t>
            </w:r>
            <w:proofErr w:type="spellStart"/>
            <w:r w:rsidRPr="004D53EC">
              <w:rPr>
                <w:sz w:val="16"/>
                <w:lang w:val="sq-AL" w:bidi="sq-AL"/>
              </w:rPr>
              <w:t>ew</w:t>
            </w:r>
            <w:proofErr w:type="spellEnd"/>
          </w:p>
        </w:tc>
        <w:tc>
          <w:tcPr>
            <w:tcW w:w="1134" w:type="dxa"/>
          </w:tcPr>
          <w:p w14:paraId="7046CB7E" w14:textId="77777777" w:rsidR="0088112C" w:rsidRPr="004D53EC" w:rsidRDefault="0088112C" w:rsidP="005760FF">
            <w:pPr>
              <w:pStyle w:val="TableParagraph"/>
              <w:spacing w:before="1"/>
              <w:ind w:left="330"/>
              <w:jc w:val="left"/>
              <w:rPr>
                <w:rFonts w:ascii="Arial MT"/>
                <w:sz w:val="16"/>
                <w:lang w:val="sq-AL"/>
              </w:rPr>
            </w:pPr>
            <w:r w:rsidRPr="004D53EC">
              <w:rPr>
                <w:sz w:val="16"/>
                <w:lang w:val="sq-AL" w:bidi="sq-AL"/>
              </w:rPr>
              <w:t xml:space="preserve">9.8 </w:t>
            </w:r>
            <w:proofErr w:type="spellStart"/>
            <w:r w:rsidRPr="004D53EC">
              <w:rPr>
                <w:sz w:val="16"/>
                <w:lang w:val="sq-AL" w:bidi="sq-AL"/>
              </w:rPr>
              <w:t>ew</w:t>
            </w:r>
            <w:proofErr w:type="spellEnd"/>
          </w:p>
        </w:tc>
      </w:tr>
      <w:tr w:rsidR="0088112C" w:rsidRPr="004D53EC" w14:paraId="47C66A5B" w14:textId="77777777" w:rsidTr="005760FF">
        <w:trPr>
          <w:trHeight w:val="396"/>
        </w:trPr>
        <w:tc>
          <w:tcPr>
            <w:tcW w:w="6804" w:type="dxa"/>
          </w:tcPr>
          <w:p w14:paraId="0EC189AE" w14:textId="77777777" w:rsidR="0088112C" w:rsidRPr="004D53EC" w:rsidRDefault="0088112C" w:rsidP="005760FF">
            <w:pPr>
              <w:pStyle w:val="TableParagraph"/>
              <w:spacing w:line="184" w:lineRule="exact"/>
              <w:ind w:left="107"/>
              <w:jc w:val="left"/>
              <w:rPr>
                <w:rFonts w:ascii="Arial MT" w:hAnsi="Arial MT"/>
                <w:sz w:val="16"/>
                <w:lang w:val="sq-AL"/>
              </w:rPr>
            </w:pPr>
            <w:r w:rsidRPr="004D53EC">
              <w:rPr>
                <w:sz w:val="16"/>
                <w:lang w:val="sq-AL" w:bidi="sq-AL"/>
              </w:rPr>
              <w:t xml:space="preserve">Shkalla e papunësisë për personat (e moshës 25–64 vjeç) që kanë përfunduar arsimin e lartë </w:t>
            </w:r>
          </w:p>
          <w:p w14:paraId="31CB7F06" w14:textId="77777777" w:rsidR="0088112C" w:rsidRPr="004D53EC" w:rsidRDefault="0088112C" w:rsidP="005760FF">
            <w:pPr>
              <w:pStyle w:val="TableParagraph"/>
              <w:spacing w:before="15" w:line="178" w:lineRule="exact"/>
              <w:ind w:left="107"/>
              <w:jc w:val="left"/>
              <w:rPr>
                <w:rFonts w:ascii="Arial MT"/>
                <w:sz w:val="16"/>
                <w:lang w:val="sq-AL"/>
              </w:rPr>
            </w:pPr>
            <w:r w:rsidRPr="004D53EC">
              <w:rPr>
                <w:sz w:val="16"/>
                <w:lang w:val="sq-AL" w:bidi="sq-AL"/>
              </w:rPr>
              <w:t>(sipas niveleve ISCED 5-8) (%)</w:t>
            </w:r>
          </w:p>
        </w:tc>
        <w:tc>
          <w:tcPr>
            <w:tcW w:w="568" w:type="dxa"/>
          </w:tcPr>
          <w:p w14:paraId="66D4E677" w14:textId="77777777" w:rsidR="0088112C" w:rsidRPr="004D53EC" w:rsidRDefault="0088112C" w:rsidP="005760FF">
            <w:pPr>
              <w:pStyle w:val="TableParagraph"/>
              <w:ind w:left="0"/>
              <w:jc w:val="left"/>
              <w:rPr>
                <w:sz w:val="14"/>
                <w:lang w:val="sq-AL"/>
              </w:rPr>
            </w:pPr>
          </w:p>
        </w:tc>
        <w:tc>
          <w:tcPr>
            <w:tcW w:w="1134" w:type="dxa"/>
          </w:tcPr>
          <w:p w14:paraId="109A428B"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08F783C6" w14:textId="77777777" w:rsidR="0088112C" w:rsidRPr="004D53EC" w:rsidRDefault="0088112C" w:rsidP="005760FF">
            <w:pPr>
              <w:pStyle w:val="TableParagraph"/>
              <w:spacing w:line="184" w:lineRule="exact"/>
              <w:ind w:left="286"/>
              <w:jc w:val="left"/>
              <w:rPr>
                <w:rFonts w:ascii="Arial MT"/>
                <w:sz w:val="16"/>
                <w:lang w:val="sq-AL"/>
              </w:rPr>
            </w:pPr>
            <w:r w:rsidRPr="004D53EC">
              <w:rPr>
                <w:sz w:val="16"/>
                <w:lang w:val="sq-AL" w:bidi="sq-AL"/>
              </w:rPr>
              <w:t xml:space="preserve">11.7 </w:t>
            </w:r>
            <w:proofErr w:type="spellStart"/>
            <w:r w:rsidRPr="004D53EC">
              <w:rPr>
                <w:sz w:val="16"/>
                <w:lang w:val="sq-AL" w:bidi="sq-AL"/>
              </w:rPr>
              <w:t>ew</w:t>
            </w:r>
            <w:proofErr w:type="spellEnd"/>
          </w:p>
        </w:tc>
        <w:tc>
          <w:tcPr>
            <w:tcW w:w="1134" w:type="dxa"/>
          </w:tcPr>
          <w:p w14:paraId="1A86FC07" w14:textId="77777777" w:rsidR="0088112C" w:rsidRPr="004D53EC" w:rsidRDefault="0088112C" w:rsidP="005760FF">
            <w:pPr>
              <w:pStyle w:val="TableParagraph"/>
              <w:spacing w:line="184" w:lineRule="exact"/>
              <w:ind w:left="286"/>
              <w:jc w:val="left"/>
              <w:rPr>
                <w:rFonts w:ascii="Arial MT"/>
                <w:sz w:val="16"/>
                <w:lang w:val="sq-AL"/>
              </w:rPr>
            </w:pPr>
            <w:r w:rsidRPr="004D53EC">
              <w:rPr>
                <w:sz w:val="16"/>
                <w:lang w:val="sq-AL" w:bidi="sq-AL"/>
              </w:rPr>
              <w:t xml:space="preserve">11.5 </w:t>
            </w:r>
            <w:proofErr w:type="spellStart"/>
            <w:r w:rsidRPr="004D53EC">
              <w:rPr>
                <w:sz w:val="16"/>
                <w:lang w:val="sq-AL" w:bidi="sq-AL"/>
              </w:rPr>
              <w:t>ew</w:t>
            </w:r>
            <w:proofErr w:type="spellEnd"/>
          </w:p>
        </w:tc>
        <w:tc>
          <w:tcPr>
            <w:tcW w:w="1134" w:type="dxa"/>
          </w:tcPr>
          <w:p w14:paraId="477F5BC1" w14:textId="77777777" w:rsidR="0088112C" w:rsidRPr="004D53EC" w:rsidRDefault="0088112C" w:rsidP="005760FF">
            <w:pPr>
              <w:pStyle w:val="TableParagraph"/>
              <w:spacing w:line="184" w:lineRule="exact"/>
              <w:ind w:left="330"/>
              <w:jc w:val="left"/>
              <w:rPr>
                <w:rFonts w:ascii="Arial MT"/>
                <w:sz w:val="16"/>
                <w:lang w:val="sq-AL"/>
              </w:rPr>
            </w:pPr>
            <w:r w:rsidRPr="004D53EC">
              <w:rPr>
                <w:sz w:val="16"/>
                <w:lang w:val="sq-AL" w:bidi="sq-AL"/>
              </w:rPr>
              <w:t xml:space="preserve">9.7 </w:t>
            </w:r>
            <w:proofErr w:type="spellStart"/>
            <w:r w:rsidRPr="004D53EC">
              <w:rPr>
                <w:sz w:val="16"/>
                <w:lang w:val="sq-AL" w:bidi="sq-AL"/>
              </w:rPr>
              <w:t>ew</w:t>
            </w:r>
            <w:proofErr w:type="spellEnd"/>
          </w:p>
        </w:tc>
        <w:tc>
          <w:tcPr>
            <w:tcW w:w="1134" w:type="dxa"/>
          </w:tcPr>
          <w:p w14:paraId="7BEFD254" w14:textId="77777777" w:rsidR="0088112C" w:rsidRPr="004D53EC" w:rsidRDefault="0088112C" w:rsidP="005760FF">
            <w:pPr>
              <w:pStyle w:val="TableParagraph"/>
              <w:spacing w:line="184" w:lineRule="exact"/>
              <w:ind w:left="286"/>
              <w:jc w:val="left"/>
              <w:rPr>
                <w:rFonts w:ascii="Arial MT"/>
                <w:sz w:val="16"/>
                <w:lang w:val="sq-AL"/>
              </w:rPr>
            </w:pPr>
            <w:r w:rsidRPr="004D53EC">
              <w:rPr>
                <w:sz w:val="16"/>
                <w:lang w:val="sq-AL" w:bidi="sq-AL"/>
              </w:rPr>
              <w:t xml:space="preserve">10.0 </w:t>
            </w:r>
            <w:proofErr w:type="spellStart"/>
            <w:r w:rsidRPr="004D53EC">
              <w:rPr>
                <w:sz w:val="16"/>
                <w:lang w:val="sq-AL" w:bidi="sq-AL"/>
              </w:rPr>
              <w:t>ew</w:t>
            </w:r>
            <w:proofErr w:type="spellEnd"/>
          </w:p>
        </w:tc>
        <w:tc>
          <w:tcPr>
            <w:tcW w:w="1134" w:type="dxa"/>
          </w:tcPr>
          <w:p w14:paraId="3A64CAD7" w14:textId="77777777" w:rsidR="0088112C" w:rsidRPr="004D53EC" w:rsidRDefault="0088112C" w:rsidP="005760FF">
            <w:pPr>
              <w:pStyle w:val="TableParagraph"/>
              <w:spacing w:line="184" w:lineRule="exact"/>
              <w:ind w:left="330"/>
              <w:jc w:val="left"/>
              <w:rPr>
                <w:rFonts w:ascii="Arial MT"/>
                <w:sz w:val="16"/>
                <w:lang w:val="sq-AL"/>
              </w:rPr>
            </w:pPr>
            <w:r w:rsidRPr="004D53EC">
              <w:rPr>
                <w:sz w:val="16"/>
                <w:lang w:val="sq-AL" w:bidi="sq-AL"/>
              </w:rPr>
              <w:t xml:space="preserve">8.4 </w:t>
            </w:r>
            <w:proofErr w:type="spellStart"/>
            <w:r w:rsidRPr="004D53EC">
              <w:rPr>
                <w:sz w:val="16"/>
                <w:lang w:val="sq-AL" w:bidi="sq-AL"/>
              </w:rPr>
              <w:t>ew</w:t>
            </w:r>
            <w:proofErr w:type="spellEnd"/>
          </w:p>
        </w:tc>
      </w:tr>
      <w:tr w:rsidR="0088112C" w:rsidRPr="004D53EC" w14:paraId="4C984DE0" w14:textId="77777777" w:rsidTr="005760FF">
        <w:trPr>
          <w:trHeight w:val="222"/>
        </w:trPr>
        <w:tc>
          <w:tcPr>
            <w:tcW w:w="14176" w:type="dxa"/>
            <w:gridSpan w:val="8"/>
            <w:tcBorders>
              <w:left w:val="nil"/>
              <w:bottom w:val="nil"/>
              <w:right w:val="nil"/>
            </w:tcBorders>
          </w:tcPr>
          <w:p w14:paraId="21EAED24" w14:textId="77777777" w:rsidR="0088112C" w:rsidRPr="004D53EC" w:rsidRDefault="0088112C" w:rsidP="005760FF">
            <w:pPr>
              <w:pStyle w:val="TableParagraph"/>
              <w:ind w:left="0"/>
              <w:jc w:val="left"/>
              <w:rPr>
                <w:sz w:val="14"/>
                <w:lang w:val="sq-AL"/>
              </w:rPr>
            </w:pPr>
          </w:p>
        </w:tc>
      </w:tr>
      <w:tr w:rsidR="0088112C" w:rsidRPr="004D53EC" w14:paraId="4E068288" w14:textId="77777777" w:rsidTr="005760FF">
        <w:trPr>
          <w:trHeight w:val="223"/>
        </w:trPr>
        <w:tc>
          <w:tcPr>
            <w:tcW w:w="6804" w:type="dxa"/>
            <w:tcBorders>
              <w:top w:val="nil"/>
              <w:left w:val="nil"/>
            </w:tcBorders>
          </w:tcPr>
          <w:p w14:paraId="09F07560" w14:textId="77777777" w:rsidR="0088112C" w:rsidRPr="004D53EC" w:rsidRDefault="0088112C" w:rsidP="005760FF">
            <w:pPr>
              <w:pStyle w:val="TableParagraph"/>
              <w:spacing w:before="1"/>
              <w:ind w:left="115"/>
              <w:jc w:val="left"/>
              <w:rPr>
                <w:rFonts w:ascii="Arial"/>
                <w:b/>
                <w:sz w:val="16"/>
                <w:lang w:val="sq-AL"/>
              </w:rPr>
            </w:pPr>
            <w:r w:rsidRPr="004D53EC">
              <w:rPr>
                <w:b/>
                <w:sz w:val="16"/>
                <w:lang w:val="sq-AL" w:bidi="sq-AL"/>
              </w:rPr>
              <w:t>Kohezioni social</w:t>
            </w:r>
          </w:p>
        </w:tc>
        <w:tc>
          <w:tcPr>
            <w:tcW w:w="568" w:type="dxa"/>
          </w:tcPr>
          <w:p w14:paraId="68D3A609" w14:textId="77777777" w:rsidR="0088112C" w:rsidRPr="004D53EC" w:rsidRDefault="0088112C" w:rsidP="005760FF">
            <w:pPr>
              <w:pStyle w:val="TableParagraph"/>
              <w:spacing w:before="1"/>
              <w:ind w:left="113"/>
              <w:jc w:val="left"/>
              <w:rPr>
                <w:rFonts w:ascii="Arial MT"/>
                <w:sz w:val="16"/>
                <w:lang w:val="sq-AL"/>
              </w:rPr>
            </w:pPr>
            <w:r w:rsidRPr="004D53EC">
              <w:rPr>
                <w:spacing w:val="-4"/>
                <w:sz w:val="16"/>
                <w:lang w:val="sq-AL" w:bidi="sq-AL"/>
              </w:rPr>
              <w:t>Shënime</w:t>
            </w:r>
          </w:p>
        </w:tc>
        <w:tc>
          <w:tcPr>
            <w:tcW w:w="1134" w:type="dxa"/>
          </w:tcPr>
          <w:p w14:paraId="1A959006"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2010</w:t>
            </w:r>
          </w:p>
        </w:tc>
        <w:tc>
          <w:tcPr>
            <w:tcW w:w="1134" w:type="dxa"/>
          </w:tcPr>
          <w:p w14:paraId="76C2E71B"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2017</w:t>
            </w:r>
          </w:p>
        </w:tc>
        <w:tc>
          <w:tcPr>
            <w:tcW w:w="1134" w:type="dxa"/>
          </w:tcPr>
          <w:p w14:paraId="2E28E81A"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2018</w:t>
            </w:r>
          </w:p>
        </w:tc>
        <w:tc>
          <w:tcPr>
            <w:tcW w:w="1134" w:type="dxa"/>
          </w:tcPr>
          <w:p w14:paraId="725CF97F"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2019</w:t>
            </w:r>
          </w:p>
        </w:tc>
        <w:tc>
          <w:tcPr>
            <w:tcW w:w="1134" w:type="dxa"/>
          </w:tcPr>
          <w:p w14:paraId="73DC64FC"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2020</w:t>
            </w:r>
          </w:p>
        </w:tc>
        <w:tc>
          <w:tcPr>
            <w:tcW w:w="1134" w:type="dxa"/>
          </w:tcPr>
          <w:p w14:paraId="691B0E75"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2021</w:t>
            </w:r>
          </w:p>
        </w:tc>
      </w:tr>
      <w:tr w:rsidR="0088112C" w:rsidRPr="004D53EC" w14:paraId="7B63D2BA" w14:textId="77777777" w:rsidTr="005760FF">
        <w:trPr>
          <w:trHeight w:val="222"/>
        </w:trPr>
        <w:tc>
          <w:tcPr>
            <w:tcW w:w="6804" w:type="dxa"/>
          </w:tcPr>
          <w:p w14:paraId="6ACA880D"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Pagat dhe rrogat mesatare nominale mujore (në monedhë kombëtare)</w:t>
            </w:r>
          </w:p>
        </w:tc>
        <w:tc>
          <w:tcPr>
            <w:tcW w:w="568" w:type="dxa"/>
          </w:tcPr>
          <w:p w14:paraId="76D24318"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8) 9)</w:t>
            </w:r>
          </w:p>
        </w:tc>
        <w:tc>
          <w:tcPr>
            <w:tcW w:w="1134" w:type="dxa"/>
          </w:tcPr>
          <w:p w14:paraId="7B64F0F7" w14:textId="77777777" w:rsidR="0088112C" w:rsidRPr="004D53EC" w:rsidRDefault="0088112C" w:rsidP="005760FF">
            <w:pPr>
              <w:pStyle w:val="TableParagraph"/>
              <w:spacing w:line="184" w:lineRule="exact"/>
              <w:ind w:right="2"/>
              <w:rPr>
                <w:rFonts w:ascii="Arial MT"/>
                <w:sz w:val="16"/>
                <w:lang w:val="sq-AL"/>
              </w:rPr>
            </w:pPr>
            <w:r w:rsidRPr="004D53EC">
              <w:rPr>
                <w:sz w:val="16"/>
                <w:lang w:val="sq-AL" w:bidi="sq-AL"/>
              </w:rPr>
              <w:t xml:space="preserve">44 375 </w:t>
            </w:r>
            <w:proofErr w:type="spellStart"/>
            <w:r w:rsidRPr="004D53EC">
              <w:rPr>
                <w:sz w:val="16"/>
                <w:lang w:val="sq-AL" w:bidi="sq-AL"/>
              </w:rPr>
              <w:t>ew</w:t>
            </w:r>
            <w:proofErr w:type="spellEnd"/>
          </w:p>
        </w:tc>
        <w:tc>
          <w:tcPr>
            <w:tcW w:w="1134" w:type="dxa"/>
          </w:tcPr>
          <w:p w14:paraId="6A7D40AB" w14:textId="77777777" w:rsidR="0088112C" w:rsidRPr="004D53EC" w:rsidRDefault="0088112C" w:rsidP="005760FF">
            <w:pPr>
              <w:pStyle w:val="TableParagraph"/>
              <w:spacing w:line="184" w:lineRule="exact"/>
              <w:ind w:right="2"/>
              <w:rPr>
                <w:rFonts w:ascii="Arial MT"/>
                <w:sz w:val="16"/>
                <w:lang w:val="sq-AL"/>
              </w:rPr>
            </w:pPr>
            <w:r w:rsidRPr="004D53EC">
              <w:rPr>
                <w:sz w:val="16"/>
                <w:lang w:val="sq-AL" w:bidi="sq-AL"/>
              </w:rPr>
              <w:t xml:space="preserve">48 967 </w:t>
            </w:r>
            <w:proofErr w:type="spellStart"/>
            <w:r w:rsidRPr="004D53EC">
              <w:rPr>
                <w:sz w:val="16"/>
                <w:lang w:val="sq-AL" w:bidi="sq-AL"/>
              </w:rPr>
              <w:t>ew</w:t>
            </w:r>
            <w:proofErr w:type="spellEnd"/>
          </w:p>
        </w:tc>
        <w:tc>
          <w:tcPr>
            <w:tcW w:w="1134" w:type="dxa"/>
          </w:tcPr>
          <w:p w14:paraId="6226D395" w14:textId="77777777" w:rsidR="0088112C" w:rsidRPr="004D53EC" w:rsidRDefault="0088112C" w:rsidP="005760FF">
            <w:pPr>
              <w:pStyle w:val="TableParagraph"/>
              <w:spacing w:line="184" w:lineRule="exact"/>
              <w:ind w:right="2"/>
              <w:rPr>
                <w:rFonts w:ascii="Arial MT"/>
                <w:sz w:val="16"/>
                <w:lang w:val="sq-AL"/>
              </w:rPr>
            </w:pPr>
            <w:r w:rsidRPr="004D53EC">
              <w:rPr>
                <w:sz w:val="16"/>
                <w:lang w:val="sq-AL" w:bidi="sq-AL"/>
              </w:rPr>
              <w:t xml:space="preserve">50 589 </w:t>
            </w:r>
            <w:proofErr w:type="spellStart"/>
            <w:r w:rsidRPr="004D53EC">
              <w:rPr>
                <w:sz w:val="16"/>
                <w:lang w:val="sq-AL" w:bidi="sq-AL"/>
              </w:rPr>
              <w:t>ew</w:t>
            </w:r>
            <w:proofErr w:type="spellEnd"/>
          </w:p>
        </w:tc>
        <w:tc>
          <w:tcPr>
            <w:tcW w:w="1134" w:type="dxa"/>
          </w:tcPr>
          <w:p w14:paraId="068FF7D0" w14:textId="77777777" w:rsidR="0088112C" w:rsidRPr="004D53EC" w:rsidRDefault="0088112C" w:rsidP="005760FF">
            <w:pPr>
              <w:pStyle w:val="TableParagraph"/>
              <w:spacing w:line="184" w:lineRule="exact"/>
              <w:ind w:right="2"/>
              <w:rPr>
                <w:rFonts w:ascii="Arial MT"/>
                <w:sz w:val="16"/>
                <w:lang w:val="sq-AL"/>
              </w:rPr>
            </w:pPr>
            <w:r w:rsidRPr="004D53EC">
              <w:rPr>
                <w:sz w:val="16"/>
                <w:lang w:val="sq-AL" w:bidi="sq-AL"/>
              </w:rPr>
              <w:t xml:space="preserve">52 380 </w:t>
            </w:r>
            <w:proofErr w:type="spellStart"/>
            <w:r w:rsidRPr="004D53EC">
              <w:rPr>
                <w:sz w:val="16"/>
                <w:lang w:val="sq-AL" w:bidi="sq-AL"/>
              </w:rPr>
              <w:t>ew</w:t>
            </w:r>
            <w:proofErr w:type="spellEnd"/>
          </w:p>
        </w:tc>
        <w:tc>
          <w:tcPr>
            <w:tcW w:w="1134" w:type="dxa"/>
          </w:tcPr>
          <w:p w14:paraId="5C22A3A1" w14:textId="77777777" w:rsidR="0088112C" w:rsidRPr="004D53EC" w:rsidRDefault="0088112C" w:rsidP="005760FF">
            <w:pPr>
              <w:pStyle w:val="TableParagraph"/>
              <w:spacing w:line="184" w:lineRule="exact"/>
              <w:ind w:right="2"/>
              <w:rPr>
                <w:rFonts w:ascii="Arial MT"/>
                <w:sz w:val="16"/>
                <w:lang w:val="sq-AL"/>
              </w:rPr>
            </w:pPr>
            <w:r w:rsidRPr="004D53EC">
              <w:rPr>
                <w:sz w:val="16"/>
                <w:lang w:val="sq-AL" w:bidi="sq-AL"/>
              </w:rPr>
              <w:t xml:space="preserve">53 662 </w:t>
            </w:r>
            <w:proofErr w:type="spellStart"/>
            <w:r w:rsidRPr="004D53EC">
              <w:rPr>
                <w:sz w:val="16"/>
                <w:lang w:val="sq-AL" w:bidi="sq-AL"/>
              </w:rPr>
              <w:t>ew</w:t>
            </w:r>
            <w:proofErr w:type="spellEnd"/>
          </w:p>
        </w:tc>
        <w:tc>
          <w:tcPr>
            <w:tcW w:w="1134" w:type="dxa"/>
          </w:tcPr>
          <w:p w14:paraId="37EC32C0" w14:textId="77777777" w:rsidR="0088112C" w:rsidRPr="004D53EC" w:rsidRDefault="0088112C" w:rsidP="005760FF">
            <w:pPr>
              <w:pStyle w:val="TableParagraph"/>
              <w:spacing w:line="184" w:lineRule="exact"/>
              <w:ind w:right="2"/>
              <w:rPr>
                <w:rFonts w:ascii="Arial MT"/>
                <w:sz w:val="16"/>
                <w:lang w:val="sq-AL"/>
              </w:rPr>
            </w:pPr>
            <w:r w:rsidRPr="004D53EC">
              <w:rPr>
                <w:sz w:val="16"/>
                <w:lang w:val="sq-AL" w:bidi="sq-AL"/>
              </w:rPr>
              <w:t xml:space="preserve">57 190 </w:t>
            </w:r>
            <w:proofErr w:type="spellStart"/>
            <w:r w:rsidRPr="004D53EC">
              <w:rPr>
                <w:sz w:val="16"/>
                <w:lang w:val="sq-AL" w:bidi="sq-AL"/>
              </w:rPr>
              <w:t>ew</w:t>
            </w:r>
            <w:proofErr w:type="spellEnd"/>
          </w:p>
        </w:tc>
      </w:tr>
      <w:tr w:rsidR="0088112C" w:rsidRPr="004D53EC" w14:paraId="74EDFFE0" w14:textId="77777777" w:rsidTr="005760FF">
        <w:trPr>
          <w:trHeight w:val="396"/>
        </w:trPr>
        <w:tc>
          <w:tcPr>
            <w:tcW w:w="6804" w:type="dxa"/>
          </w:tcPr>
          <w:p w14:paraId="3F9827C0"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Indeksi i pagave dhe rrogave reale (indeksi i pagave dhe rrogave nominale pjesëtuar</w:t>
            </w:r>
          </w:p>
          <w:p w14:paraId="4B39C618" w14:textId="77777777" w:rsidR="0088112C" w:rsidRPr="004D53EC" w:rsidRDefault="0088112C" w:rsidP="005760FF">
            <w:pPr>
              <w:pStyle w:val="TableParagraph"/>
              <w:spacing w:before="14" w:line="178" w:lineRule="exact"/>
              <w:ind w:left="107"/>
              <w:jc w:val="left"/>
              <w:rPr>
                <w:rFonts w:ascii="Arial MT"/>
                <w:sz w:val="16"/>
                <w:lang w:val="sq-AL"/>
              </w:rPr>
            </w:pPr>
            <w:r w:rsidRPr="004D53EC">
              <w:rPr>
                <w:sz w:val="16"/>
                <w:lang w:val="sq-AL" w:bidi="sq-AL"/>
              </w:rPr>
              <w:t>me indeksin e inflacionit) (2016 = 100)</w:t>
            </w:r>
          </w:p>
        </w:tc>
        <w:tc>
          <w:tcPr>
            <w:tcW w:w="568" w:type="dxa"/>
          </w:tcPr>
          <w:p w14:paraId="02715C4A" w14:textId="77777777" w:rsidR="0088112C" w:rsidRPr="004D53EC" w:rsidRDefault="0088112C" w:rsidP="005760FF">
            <w:pPr>
              <w:pStyle w:val="TableParagraph"/>
              <w:spacing w:before="1"/>
              <w:ind w:left="107"/>
              <w:jc w:val="left"/>
              <w:rPr>
                <w:rFonts w:ascii="Arial MT"/>
                <w:sz w:val="16"/>
                <w:lang w:val="sq-AL"/>
              </w:rPr>
            </w:pPr>
            <w:r w:rsidRPr="004D53EC">
              <w:rPr>
                <w:spacing w:val="-5"/>
                <w:sz w:val="16"/>
                <w:lang w:val="sq-AL" w:bidi="sq-AL"/>
              </w:rPr>
              <w:t>9)</w:t>
            </w:r>
          </w:p>
        </w:tc>
        <w:tc>
          <w:tcPr>
            <w:tcW w:w="1134" w:type="dxa"/>
          </w:tcPr>
          <w:p w14:paraId="51EE46FE"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3D265C63"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 xml:space="preserve">101 </w:t>
            </w:r>
            <w:proofErr w:type="spellStart"/>
            <w:r w:rsidRPr="004D53EC">
              <w:rPr>
                <w:sz w:val="16"/>
                <w:lang w:val="sq-AL" w:bidi="sq-AL"/>
              </w:rPr>
              <w:t>ew</w:t>
            </w:r>
            <w:proofErr w:type="spellEnd"/>
          </w:p>
        </w:tc>
        <w:tc>
          <w:tcPr>
            <w:tcW w:w="1134" w:type="dxa"/>
          </w:tcPr>
          <w:p w14:paraId="03B311D8"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 xml:space="preserve">102 </w:t>
            </w:r>
            <w:proofErr w:type="spellStart"/>
            <w:r w:rsidRPr="004D53EC">
              <w:rPr>
                <w:sz w:val="16"/>
                <w:lang w:val="sq-AL" w:bidi="sq-AL"/>
              </w:rPr>
              <w:t>ew</w:t>
            </w:r>
            <w:proofErr w:type="spellEnd"/>
          </w:p>
        </w:tc>
        <w:tc>
          <w:tcPr>
            <w:tcW w:w="1134" w:type="dxa"/>
          </w:tcPr>
          <w:p w14:paraId="07C030B6"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 xml:space="preserve">105 </w:t>
            </w:r>
            <w:proofErr w:type="spellStart"/>
            <w:r w:rsidRPr="004D53EC">
              <w:rPr>
                <w:sz w:val="16"/>
                <w:lang w:val="sq-AL" w:bidi="sq-AL"/>
              </w:rPr>
              <w:t>ew</w:t>
            </w:r>
            <w:proofErr w:type="spellEnd"/>
          </w:p>
        </w:tc>
        <w:tc>
          <w:tcPr>
            <w:tcW w:w="1134" w:type="dxa"/>
          </w:tcPr>
          <w:p w14:paraId="73197428"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 xml:space="preserve">105 </w:t>
            </w:r>
            <w:proofErr w:type="spellStart"/>
            <w:r w:rsidRPr="004D53EC">
              <w:rPr>
                <w:sz w:val="16"/>
                <w:lang w:val="sq-AL" w:bidi="sq-AL"/>
              </w:rPr>
              <w:t>ew</w:t>
            </w:r>
            <w:proofErr w:type="spellEnd"/>
          </w:p>
        </w:tc>
        <w:tc>
          <w:tcPr>
            <w:tcW w:w="1134" w:type="dxa"/>
          </w:tcPr>
          <w:p w14:paraId="328A0BA8"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 xml:space="preserve">110 </w:t>
            </w:r>
            <w:proofErr w:type="spellStart"/>
            <w:r w:rsidRPr="004D53EC">
              <w:rPr>
                <w:sz w:val="16"/>
                <w:lang w:val="sq-AL" w:bidi="sq-AL"/>
              </w:rPr>
              <w:t>ew</w:t>
            </w:r>
            <w:proofErr w:type="spellEnd"/>
          </w:p>
        </w:tc>
      </w:tr>
      <w:tr w:rsidR="0088112C" w:rsidRPr="004D53EC" w14:paraId="385E7844" w14:textId="77777777" w:rsidTr="005760FF">
        <w:trPr>
          <w:trHeight w:val="223"/>
        </w:trPr>
        <w:tc>
          <w:tcPr>
            <w:tcW w:w="6804" w:type="dxa"/>
          </w:tcPr>
          <w:p w14:paraId="697E1807"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Koeficienti GINI</w:t>
            </w:r>
          </w:p>
        </w:tc>
        <w:tc>
          <w:tcPr>
            <w:tcW w:w="568" w:type="dxa"/>
          </w:tcPr>
          <w:p w14:paraId="256CB4DD" w14:textId="77777777" w:rsidR="0088112C" w:rsidRPr="004D53EC" w:rsidRDefault="0088112C" w:rsidP="005760FF">
            <w:pPr>
              <w:pStyle w:val="TableParagraph"/>
              <w:ind w:left="0"/>
              <w:jc w:val="left"/>
              <w:rPr>
                <w:sz w:val="14"/>
                <w:lang w:val="sq-AL"/>
              </w:rPr>
            </w:pPr>
          </w:p>
        </w:tc>
        <w:tc>
          <w:tcPr>
            <w:tcW w:w="1134" w:type="dxa"/>
          </w:tcPr>
          <w:p w14:paraId="56634079"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38AD5905" w14:textId="77777777" w:rsidR="0088112C" w:rsidRPr="004D53EC" w:rsidRDefault="0088112C" w:rsidP="005760FF">
            <w:pPr>
              <w:pStyle w:val="TableParagraph"/>
              <w:spacing w:before="1"/>
              <w:ind w:right="1"/>
              <w:rPr>
                <w:rFonts w:ascii="Arial MT"/>
                <w:sz w:val="16"/>
                <w:lang w:val="sq-AL"/>
              </w:rPr>
            </w:pPr>
            <w:r w:rsidRPr="004D53EC">
              <w:rPr>
                <w:spacing w:val="-5"/>
                <w:sz w:val="16"/>
                <w:lang w:val="sq-AL" w:bidi="sq-AL"/>
              </w:rPr>
              <w:t>37</w:t>
            </w:r>
          </w:p>
        </w:tc>
        <w:tc>
          <w:tcPr>
            <w:tcW w:w="1134" w:type="dxa"/>
          </w:tcPr>
          <w:p w14:paraId="6D3CE057" w14:textId="77777777" w:rsidR="0088112C" w:rsidRPr="004D53EC" w:rsidRDefault="0088112C" w:rsidP="005760FF">
            <w:pPr>
              <w:pStyle w:val="TableParagraph"/>
              <w:spacing w:before="1"/>
              <w:ind w:right="1"/>
              <w:rPr>
                <w:rFonts w:ascii="Arial MT"/>
                <w:sz w:val="16"/>
                <w:lang w:val="sq-AL"/>
              </w:rPr>
            </w:pPr>
            <w:r w:rsidRPr="004D53EC">
              <w:rPr>
                <w:spacing w:val="-5"/>
                <w:sz w:val="16"/>
                <w:lang w:val="sq-AL" w:bidi="sq-AL"/>
              </w:rPr>
              <w:t>35</w:t>
            </w:r>
          </w:p>
        </w:tc>
        <w:tc>
          <w:tcPr>
            <w:tcW w:w="1134" w:type="dxa"/>
          </w:tcPr>
          <w:p w14:paraId="53776D67" w14:textId="77777777" w:rsidR="0088112C" w:rsidRPr="004D53EC" w:rsidRDefault="0088112C" w:rsidP="005760FF">
            <w:pPr>
              <w:pStyle w:val="TableParagraph"/>
              <w:spacing w:before="1"/>
              <w:ind w:right="1"/>
              <w:rPr>
                <w:rFonts w:ascii="Arial MT"/>
                <w:sz w:val="16"/>
                <w:lang w:val="sq-AL"/>
              </w:rPr>
            </w:pPr>
            <w:r w:rsidRPr="004D53EC">
              <w:rPr>
                <w:spacing w:val="-5"/>
                <w:sz w:val="16"/>
                <w:lang w:val="sq-AL" w:bidi="sq-AL"/>
              </w:rPr>
              <w:t>34</w:t>
            </w:r>
          </w:p>
        </w:tc>
        <w:tc>
          <w:tcPr>
            <w:tcW w:w="1134" w:type="dxa"/>
          </w:tcPr>
          <w:p w14:paraId="27ACF5BD" w14:textId="77777777" w:rsidR="0088112C" w:rsidRPr="004D53EC" w:rsidRDefault="0088112C" w:rsidP="005760FF">
            <w:pPr>
              <w:pStyle w:val="TableParagraph"/>
              <w:spacing w:before="1"/>
              <w:ind w:right="1"/>
              <w:rPr>
                <w:rFonts w:ascii="Arial MT"/>
                <w:sz w:val="16"/>
                <w:lang w:val="sq-AL"/>
              </w:rPr>
            </w:pPr>
            <w:r w:rsidRPr="004D53EC">
              <w:rPr>
                <w:spacing w:val="-5"/>
                <w:sz w:val="16"/>
                <w:lang w:val="sq-AL" w:bidi="sq-AL"/>
              </w:rPr>
              <w:t>33</w:t>
            </w:r>
          </w:p>
        </w:tc>
        <w:tc>
          <w:tcPr>
            <w:tcW w:w="1134" w:type="dxa"/>
          </w:tcPr>
          <w:p w14:paraId="315C2E06"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r>
      <w:tr w:rsidR="0088112C" w:rsidRPr="004D53EC" w14:paraId="3109E361" w14:textId="77777777" w:rsidTr="005760FF">
        <w:trPr>
          <w:trHeight w:val="222"/>
        </w:trPr>
        <w:tc>
          <w:tcPr>
            <w:tcW w:w="6804" w:type="dxa"/>
          </w:tcPr>
          <w:p w14:paraId="1B38AB9C"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Hendeku i varfërisë</w:t>
            </w:r>
          </w:p>
        </w:tc>
        <w:tc>
          <w:tcPr>
            <w:tcW w:w="568" w:type="dxa"/>
          </w:tcPr>
          <w:p w14:paraId="681C5084" w14:textId="77777777" w:rsidR="0088112C" w:rsidRPr="004D53EC" w:rsidRDefault="0088112C" w:rsidP="005760FF">
            <w:pPr>
              <w:pStyle w:val="TableParagraph"/>
              <w:ind w:left="0"/>
              <w:jc w:val="left"/>
              <w:rPr>
                <w:sz w:val="14"/>
                <w:lang w:val="sq-AL"/>
              </w:rPr>
            </w:pPr>
          </w:p>
        </w:tc>
        <w:tc>
          <w:tcPr>
            <w:tcW w:w="1134" w:type="dxa"/>
          </w:tcPr>
          <w:p w14:paraId="2149D7C8"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28E7E8DA"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33.4</w:t>
            </w:r>
          </w:p>
        </w:tc>
        <w:tc>
          <w:tcPr>
            <w:tcW w:w="1134" w:type="dxa"/>
          </w:tcPr>
          <w:p w14:paraId="63DCBAD3"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32.4</w:t>
            </w:r>
          </w:p>
        </w:tc>
        <w:tc>
          <w:tcPr>
            <w:tcW w:w="1134" w:type="dxa"/>
          </w:tcPr>
          <w:p w14:paraId="25F8235F"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28.6</w:t>
            </w:r>
          </w:p>
        </w:tc>
        <w:tc>
          <w:tcPr>
            <w:tcW w:w="1134" w:type="dxa"/>
          </w:tcPr>
          <w:p w14:paraId="3B71AA82"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26.0</w:t>
            </w:r>
          </w:p>
        </w:tc>
        <w:tc>
          <w:tcPr>
            <w:tcW w:w="1134" w:type="dxa"/>
          </w:tcPr>
          <w:p w14:paraId="12A72382"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r>
      <w:tr w:rsidR="0088112C" w:rsidRPr="004D53EC" w14:paraId="2E64967A" w14:textId="77777777" w:rsidTr="005760FF">
        <w:trPr>
          <w:trHeight w:val="397"/>
        </w:trPr>
        <w:tc>
          <w:tcPr>
            <w:tcW w:w="6804" w:type="dxa"/>
          </w:tcPr>
          <w:p w14:paraId="6364E012" w14:textId="77777777" w:rsidR="0088112C" w:rsidRPr="004D53EC" w:rsidRDefault="0088112C" w:rsidP="005760FF">
            <w:pPr>
              <w:pStyle w:val="TableParagraph"/>
              <w:spacing w:before="1"/>
              <w:ind w:left="107"/>
              <w:jc w:val="left"/>
              <w:rPr>
                <w:rFonts w:ascii="Arial MT" w:hAnsi="Arial MT"/>
                <w:sz w:val="16"/>
                <w:lang w:val="sq-AL"/>
              </w:rPr>
            </w:pPr>
            <w:r w:rsidRPr="004D53EC">
              <w:rPr>
                <w:sz w:val="16"/>
                <w:lang w:val="sq-AL" w:bidi="sq-AL"/>
              </w:rPr>
              <w:t xml:space="preserve">*Personat që e kanë lënë herët arsimin dhe trajnimin: përqindja e popullsisë e moshës 18–24 vjeç </w:t>
            </w:r>
          </w:p>
          <w:p w14:paraId="2FF4F898" w14:textId="77777777" w:rsidR="0088112C" w:rsidRPr="004D53EC" w:rsidRDefault="0088112C" w:rsidP="005760FF">
            <w:pPr>
              <w:pStyle w:val="TableParagraph"/>
              <w:spacing w:before="14" w:line="179" w:lineRule="exact"/>
              <w:ind w:left="107"/>
              <w:jc w:val="left"/>
              <w:rPr>
                <w:rFonts w:ascii="Arial MT"/>
                <w:sz w:val="16"/>
                <w:lang w:val="sq-AL"/>
              </w:rPr>
            </w:pPr>
            <w:r w:rsidRPr="004D53EC">
              <w:rPr>
                <w:sz w:val="16"/>
                <w:lang w:val="sq-AL" w:bidi="sq-AL"/>
              </w:rPr>
              <w:t>me së paku arsim të mesëm të ulët që nuk janë në arsim të mëtejshëm ose trajnim (%)</w:t>
            </w:r>
          </w:p>
        </w:tc>
        <w:tc>
          <w:tcPr>
            <w:tcW w:w="568" w:type="dxa"/>
          </w:tcPr>
          <w:p w14:paraId="63F1A1D4" w14:textId="77777777" w:rsidR="0088112C" w:rsidRPr="004D53EC" w:rsidRDefault="0088112C" w:rsidP="005760FF">
            <w:pPr>
              <w:pStyle w:val="TableParagraph"/>
              <w:ind w:left="0"/>
              <w:jc w:val="left"/>
              <w:rPr>
                <w:sz w:val="14"/>
                <w:lang w:val="sq-AL"/>
              </w:rPr>
            </w:pPr>
          </w:p>
        </w:tc>
        <w:tc>
          <w:tcPr>
            <w:tcW w:w="1134" w:type="dxa"/>
          </w:tcPr>
          <w:p w14:paraId="47DA2E36" w14:textId="77777777" w:rsidR="0088112C" w:rsidRPr="004D53EC" w:rsidRDefault="0088112C" w:rsidP="005760FF">
            <w:pPr>
              <w:pStyle w:val="TableParagraph"/>
              <w:spacing w:before="1"/>
              <w:ind w:left="286"/>
              <w:jc w:val="left"/>
              <w:rPr>
                <w:rFonts w:ascii="Arial MT"/>
                <w:sz w:val="16"/>
                <w:lang w:val="sq-AL"/>
              </w:rPr>
            </w:pPr>
            <w:r w:rsidRPr="004D53EC">
              <w:rPr>
                <w:sz w:val="16"/>
                <w:lang w:val="sq-AL" w:bidi="sq-AL"/>
              </w:rPr>
              <w:t xml:space="preserve">31.9 </w:t>
            </w:r>
            <w:proofErr w:type="spellStart"/>
            <w:r w:rsidRPr="004D53EC">
              <w:rPr>
                <w:sz w:val="16"/>
                <w:lang w:val="sq-AL" w:bidi="sq-AL"/>
              </w:rPr>
              <w:t>ew</w:t>
            </w:r>
            <w:proofErr w:type="spellEnd"/>
          </w:p>
        </w:tc>
        <w:tc>
          <w:tcPr>
            <w:tcW w:w="1134" w:type="dxa"/>
          </w:tcPr>
          <w:p w14:paraId="182BB28C" w14:textId="77777777" w:rsidR="0088112C" w:rsidRPr="004D53EC" w:rsidRDefault="0088112C" w:rsidP="005760FF">
            <w:pPr>
              <w:pStyle w:val="TableParagraph"/>
              <w:spacing w:before="1"/>
              <w:ind w:left="330"/>
              <w:jc w:val="left"/>
              <w:rPr>
                <w:rFonts w:ascii="Arial MT"/>
                <w:sz w:val="16"/>
                <w:lang w:val="sq-AL"/>
              </w:rPr>
            </w:pPr>
            <w:r w:rsidRPr="004D53EC">
              <w:rPr>
                <w:sz w:val="16"/>
                <w:lang w:val="sq-AL" w:bidi="sq-AL"/>
              </w:rPr>
              <w:t>19.6 w</w:t>
            </w:r>
          </w:p>
        </w:tc>
        <w:tc>
          <w:tcPr>
            <w:tcW w:w="1134" w:type="dxa"/>
          </w:tcPr>
          <w:p w14:paraId="5F6D7209" w14:textId="77777777" w:rsidR="0088112C" w:rsidRPr="004D53EC" w:rsidRDefault="0088112C" w:rsidP="005760FF">
            <w:pPr>
              <w:pStyle w:val="TableParagraph"/>
              <w:spacing w:before="1"/>
              <w:ind w:left="330"/>
              <w:jc w:val="left"/>
              <w:rPr>
                <w:rFonts w:ascii="Arial MT"/>
                <w:sz w:val="16"/>
                <w:lang w:val="sq-AL"/>
              </w:rPr>
            </w:pPr>
            <w:r w:rsidRPr="004D53EC">
              <w:rPr>
                <w:sz w:val="16"/>
                <w:lang w:val="sq-AL" w:bidi="sq-AL"/>
              </w:rPr>
              <w:t>17.4 w</w:t>
            </w:r>
          </w:p>
        </w:tc>
        <w:tc>
          <w:tcPr>
            <w:tcW w:w="1134" w:type="dxa"/>
          </w:tcPr>
          <w:p w14:paraId="04BCA08F" w14:textId="77777777" w:rsidR="0088112C" w:rsidRPr="004D53EC" w:rsidRDefault="0088112C" w:rsidP="005760FF">
            <w:pPr>
              <w:pStyle w:val="TableParagraph"/>
              <w:spacing w:before="1"/>
              <w:ind w:left="330"/>
              <w:jc w:val="left"/>
              <w:rPr>
                <w:rFonts w:ascii="Arial MT"/>
                <w:sz w:val="16"/>
                <w:lang w:val="sq-AL"/>
              </w:rPr>
            </w:pPr>
            <w:r w:rsidRPr="004D53EC">
              <w:rPr>
                <w:sz w:val="16"/>
                <w:lang w:val="sq-AL" w:bidi="sq-AL"/>
              </w:rPr>
              <w:t>16.3 w</w:t>
            </w:r>
          </w:p>
        </w:tc>
        <w:tc>
          <w:tcPr>
            <w:tcW w:w="1134" w:type="dxa"/>
          </w:tcPr>
          <w:p w14:paraId="536846E5" w14:textId="77777777" w:rsidR="0088112C" w:rsidRPr="004D53EC" w:rsidRDefault="0088112C" w:rsidP="005760FF">
            <w:pPr>
              <w:pStyle w:val="TableParagraph"/>
              <w:spacing w:before="1"/>
              <w:ind w:left="330"/>
              <w:jc w:val="left"/>
              <w:rPr>
                <w:rFonts w:ascii="Arial MT"/>
                <w:sz w:val="16"/>
                <w:lang w:val="sq-AL"/>
              </w:rPr>
            </w:pPr>
            <w:r w:rsidRPr="004D53EC">
              <w:rPr>
                <w:sz w:val="16"/>
                <w:lang w:val="sq-AL" w:bidi="sq-AL"/>
              </w:rPr>
              <w:t>15.6 w</w:t>
            </w:r>
          </w:p>
        </w:tc>
        <w:tc>
          <w:tcPr>
            <w:tcW w:w="1134" w:type="dxa"/>
          </w:tcPr>
          <w:p w14:paraId="62749AD4" w14:textId="77777777" w:rsidR="0088112C" w:rsidRPr="004D53EC" w:rsidRDefault="0088112C" w:rsidP="005760FF">
            <w:pPr>
              <w:pStyle w:val="TableParagraph"/>
              <w:spacing w:before="1"/>
              <w:ind w:left="330"/>
              <w:jc w:val="left"/>
              <w:rPr>
                <w:rFonts w:ascii="Arial MT"/>
                <w:sz w:val="16"/>
                <w:lang w:val="sq-AL"/>
              </w:rPr>
            </w:pPr>
            <w:r w:rsidRPr="004D53EC">
              <w:rPr>
                <w:sz w:val="16"/>
                <w:lang w:val="sq-AL" w:bidi="sq-AL"/>
              </w:rPr>
              <w:t>17.4 w</w:t>
            </w:r>
          </w:p>
        </w:tc>
      </w:tr>
      <w:tr w:rsidR="0088112C" w:rsidRPr="004D53EC" w14:paraId="2AC1FDA0" w14:textId="77777777" w:rsidTr="005760FF">
        <w:trPr>
          <w:trHeight w:val="222"/>
        </w:trPr>
        <w:tc>
          <w:tcPr>
            <w:tcW w:w="14176" w:type="dxa"/>
            <w:gridSpan w:val="8"/>
            <w:tcBorders>
              <w:left w:val="nil"/>
              <w:bottom w:val="nil"/>
              <w:right w:val="nil"/>
            </w:tcBorders>
          </w:tcPr>
          <w:p w14:paraId="63ED8987" w14:textId="77777777" w:rsidR="0088112C" w:rsidRPr="004D53EC" w:rsidRDefault="0088112C" w:rsidP="005760FF">
            <w:pPr>
              <w:pStyle w:val="TableParagraph"/>
              <w:ind w:left="0"/>
              <w:jc w:val="left"/>
              <w:rPr>
                <w:sz w:val="14"/>
                <w:lang w:val="sq-AL"/>
              </w:rPr>
            </w:pPr>
          </w:p>
        </w:tc>
      </w:tr>
      <w:tr w:rsidR="0088112C" w:rsidRPr="004D53EC" w14:paraId="56196141" w14:textId="77777777" w:rsidTr="005760FF">
        <w:trPr>
          <w:trHeight w:val="222"/>
        </w:trPr>
        <w:tc>
          <w:tcPr>
            <w:tcW w:w="6804" w:type="dxa"/>
            <w:tcBorders>
              <w:top w:val="nil"/>
              <w:left w:val="nil"/>
            </w:tcBorders>
          </w:tcPr>
          <w:p w14:paraId="6F2BA715" w14:textId="77777777" w:rsidR="0088112C" w:rsidRPr="004D53EC" w:rsidRDefault="0088112C" w:rsidP="005760FF">
            <w:pPr>
              <w:pStyle w:val="TableParagraph"/>
              <w:spacing w:line="184" w:lineRule="exact"/>
              <w:ind w:left="115"/>
              <w:jc w:val="left"/>
              <w:rPr>
                <w:rFonts w:ascii="Arial"/>
                <w:b/>
                <w:sz w:val="16"/>
                <w:lang w:val="sq-AL"/>
              </w:rPr>
            </w:pPr>
            <w:r w:rsidRPr="004D53EC">
              <w:rPr>
                <w:b/>
                <w:sz w:val="16"/>
                <w:lang w:val="sq-AL" w:bidi="sq-AL"/>
              </w:rPr>
              <w:t>Standardi i jetesës</w:t>
            </w:r>
          </w:p>
        </w:tc>
        <w:tc>
          <w:tcPr>
            <w:tcW w:w="568" w:type="dxa"/>
          </w:tcPr>
          <w:p w14:paraId="78B5C72A" w14:textId="77777777" w:rsidR="0088112C" w:rsidRPr="004D53EC" w:rsidRDefault="0088112C" w:rsidP="005760FF">
            <w:pPr>
              <w:pStyle w:val="TableParagraph"/>
              <w:spacing w:line="184" w:lineRule="exact"/>
              <w:ind w:left="113"/>
              <w:jc w:val="left"/>
              <w:rPr>
                <w:rFonts w:ascii="Arial MT"/>
                <w:sz w:val="16"/>
                <w:lang w:val="sq-AL"/>
              </w:rPr>
            </w:pPr>
            <w:r w:rsidRPr="004D53EC">
              <w:rPr>
                <w:spacing w:val="-4"/>
                <w:sz w:val="16"/>
                <w:lang w:val="sq-AL" w:bidi="sq-AL"/>
              </w:rPr>
              <w:t>Shënime</w:t>
            </w:r>
          </w:p>
        </w:tc>
        <w:tc>
          <w:tcPr>
            <w:tcW w:w="1134" w:type="dxa"/>
          </w:tcPr>
          <w:p w14:paraId="70A67DE2" w14:textId="77777777" w:rsidR="0088112C" w:rsidRPr="004D53EC" w:rsidRDefault="0088112C" w:rsidP="005760FF">
            <w:pPr>
              <w:pStyle w:val="TableParagraph"/>
              <w:spacing w:line="184" w:lineRule="exact"/>
              <w:ind w:right="1"/>
              <w:rPr>
                <w:rFonts w:ascii="Arial MT"/>
                <w:sz w:val="16"/>
                <w:lang w:val="sq-AL"/>
              </w:rPr>
            </w:pPr>
            <w:r w:rsidRPr="004D53EC">
              <w:rPr>
                <w:spacing w:val="-4"/>
                <w:sz w:val="16"/>
                <w:lang w:val="sq-AL" w:bidi="sq-AL"/>
              </w:rPr>
              <w:t>2010</w:t>
            </w:r>
          </w:p>
        </w:tc>
        <w:tc>
          <w:tcPr>
            <w:tcW w:w="1134" w:type="dxa"/>
          </w:tcPr>
          <w:p w14:paraId="3E382909" w14:textId="77777777" w:rsidR="0088112C" w:rsidRPr="004D53EC" w:rsidRDefault="0088112C" w:rsidP="005760FF">
            <w:pPr>
              <w:pStyle w:val="TableParagraph"/>
              <w:spacing w:line="184" w:lineRule="exact"/>
              <w:ind w:right="1"/>
              <w:rPr>
                <w:rFonts w:ascii="Arial MT"/>
                <w:sz w:val="16"/>
                <w:lang w:val="sq-AL"/>
              </w:rPr>
            </w:pPr>
            <w:r w:rsidRPr="004D53EC">
              <w:rPr>
                <w:spacing w:val="-4"/>
                <w:sz w:val="16"/>
                <w:lang w:val="sq-AL" w:bidi="sq-AL"/>
              </w:rPr>
              <w:t>2017</w:t>
            </w:r>
          </w:p>
        </w:tc>
        <w:tc>
          <w:tcPr>
            <w:tcW w:w="1134" w:type="dxa"/>
          </w:tcPr>
          <w:p w14:paraId="0B8B0155" w14:textId="77777777" w:rsidR="0088112C" w:rsidRPr="004D53EC" w:rsidRDefault="0088112C" w:rsidP="005760FF">
            <w:pPr>
              <w:pStyle w:val="TableParagraph"/>
              <w:spacing w:line="184" w:lineRule="exact"/>
              <w:ind w:right="1"/>
              <w:rPr>
                <w:rFonts w:ascii="Arial MT"/>
                <w:sz w:val="16"/>
                <w:lang w:val="sq-AL"/>
              </w:rPr>
            </w:pPr>
            <w:r w:rsidRPr="004D53EC">
              <w:rPr>
                <w:spacing w:val="-4"/>
                <w:sz w:val="16"/>
                <w:lang w:val="sq-AL" w:bidi="sq-AL"/>
              </w:rPr>
              <w:t>2018</w:t>
            </w:r>
          </w:p>
        </w:tc>
        <w:tc>
          <w:tcPr>
            <w:tcW w:w="1134" w:type="dxa"/>
          </w:tcPr>
          <w:p w14:paraId="6EBEE328" w14:textId="77777777" w:rsidR="0088112C" w:rsidRPr="004D53EC" w:rsidRDefault="0088112C" w:rsidP="005760FF">
            <w:pPr>
              <w:pStyle w:val="TableParagraph"/>
              <w:spacing w:line="184" w:lineRule="exact"/>
              <w:ind w:right="1"/>
              <w:rPr>
                <w:rFonts w:ascii="Arial MT"/>
                <w:sz w:val="16"/>
                <w:lang w:val="sq-AL"/>
              </w:rPr>
            </w:pPr>
            <w:r w:rsidRPr="004D53EC">
              <w:rPr>
                <w:spacing w:val="-4"/>
                <w:sz w:val="16"/>
                <w:lang w:val="sq-AL" w:bidi="sq-AL"/>
              </w:rPr>
              <w:t>2019</w:t>
            </w:r>
          </w:p>
        </w:tc>
        <w:tc>
          <w:tcPr>
            <w:tcW w:w="1134" w:type="dxa"/>
          </w:tcPr>
          <w:p w14:paraId="2C1D6819" w14:textId="77777777" w:rsidR="0088112C" w:rsidRPr="004D53EC" w:rsidRDefault="0088112C" w:rsidP="005760FF">
            <w:pPr>
              <w:pStyle w:val="TableParagraph"/>
              <w:spacing w:line="184" w:lineRule="exact"/>
              <w:ind w:right="1"/>
              <w:rPr>
                <w:rFonts w:ascii="Arial MT"/>
                <w:sz w:val="16"/>
                <w:lang w:val="sq-AL"/>
              </w:rPr>
            </w:pPr>
            <w:r w:rsidRPr="004D53EC">
              <w:rPr>
                <w:spacing w:val="-4"/>
                <w:sz w:val="16"/>
                <w:lang w:val="sq-AL" w:bidi="sq-AL"/>
              </w:rPr>
              <w:t>2020</w:t>
            </w:r>
          </w:p>
        </w:tc>
        <w:tc>
          <w:tcPr>
            <w:tcW w:w="1134" w:type="dxa"/>
          </w:tcPr>
          <w:p w14:paraId="7F2F5694" w14:textId="77777777" w:rsidR="0088112C" w:rsidRPr="004D53EC" w:rsidRDefault="0088112C" w:rsidP="005760FF">
            <w:pPr>
              <w:pStyle w:val="TableParagraph"/>
              <w:spacing w:line="184" w:lineRule="exact"/>
              <w:ind w:right="1"/>
              <w:rPr>
                <w:rFonts w:ascii="Arial MT"/>
                <w:sz w:val="16"/>
                <w:lang w:val="sq-AL"/>
              </w:rPr>
            </w:pPr>
            <w:r w:rsidRPr="004D53EC">
              <w:rPr>
                <w:spacing w:val="-4"/>
                <w:sz w:val="16"/>
                <w:lang w:val="sq-AL" w:bidi="sq-AL"/>
              </w:rPr>
              <w:t>2021</w:t>
            </w:r>
          </w:p>
        </w:tc>
      </w:tr>
      <w:tr w:rsidR="0088112C" w:rsidRPr="004D53EC" w14:paraId="17F537EE" w14:textId="77777777" w:rsidTr="005760FF">
        <w:trPr>
          <w:trHeight w:val="223"/>
        </w:trPr>
        <w:tc>
          <w:tcPr>
            <w:tcW w:w="6804" w:type="dxa"/>
          </w:tcPr>
          <w:p w14:paraId="26B4CD43"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Numri i makinave për pasagjerë në raport me madhësinë e popullsisë (numri për mijë banorë)</w:t>
            </w:r>
          </w:p>
        </w:tc>
        <w:tc>
          <w:tcPr>
            <w:tcW w:w="568" w:type="dxa"/>
          </w:tcPr>
          <w:p w14:paraId="0133443B" w14:textId="77777777" w:rsidR="0088112C" w:rsidRPr="004D53EC" w:rsidRDefault="0088112C" w:rsidP="005760FF">
            <w:pPr>
              <w:pStyle w:val="TableParagraph"/>
              <w:ind w:left="0"/>
              <w:jc w:val="left"/>
              <w:rPr>
                <w:sz w:val="14"/>
                <w:lang w:val="sq-AL"/>
              </w:rPr>
            </w:pPr>
          </w:p>
        </w:tc>
        <w:tc>
          <w:tcPr>
            <w:tcW w:w="1134" w:type="dxa"/>
          </w:tcPr>
          <w:p w14:paraId="26CD4A73" w14:textId="77777777" w:rsidR="0088112C" w:rsidRPr="004D53EC" w:rsidRDefault="0088112C" w:rsidP="005760FF">
            <w:pPr>
              <w:pStyle w:val="TableParagraph"/>
              <w:spacing w:before="1"/>
              <w:ind w:left="245"/>
              <w:jc w:val="left"/>
              <w:rPr>
                <w:rFonts w:ascii="Arial MT"/>
                <w:sz w:val="16"/>
                <w:lang w:val="sq-AL"/>
              </w:rPr>
            </w:pPr>
            <w:r w:rsidRPr="004D53EC">
              <w:rPr>
                <w:sz w:val="16"/>
                <w:lang w:val="sq-AL" w:bidi="sq-AL"/>
              </w:rPr>
              <w:t xml:space="preserve">101.0 </w:t>
            </w:r>
            <w:proofErr w:type="spellStart"/>
            <w:r w:rsidRPr="004D53EC">
              <w:rPr>
                <w:sz w:val="16"/>
                <w:lang w:val="sq-AL" w:bidi="sq-AL"/>
              </w:rPr>
              <w:t>sw</w:t>
            </w:r>
            <w:proofErr w:type="spellEnd"/>
          </w:p>
        </w:tc>
        <w:tc>
          <w:tcPr>
            <w:tcW w:w="1134" w:type="dxa"/>
          </w:tcPr>
          <w:p w14:paraId="2CADEE67" w14:textId="77777777" w:rsidR="0088112C" w:rsidRPr="004D53EC" w:rsidRDefault="0088112C" w:rsidP="005760FF">
            <w:pPr>
              <w:pStyle w:val="TableParagraph"/>
              <w:spacing w:before="1"/>
              <w:ind w:right="3"/>
              <w:rPr>
                <w:rFonts w:ascii="Arial MT"/>
                <w:sz w:val="16"/>
                <w:lang w:val="sq-AL"/>
              </w:rPr>
            </w:pPr>
            <w:r w:rsidRPr="004D53EC">
              <w:rPr>
                <w:spacing w:val="-2"/>
                <w:sz w:val="16"/>
                <w:lang w:val="sq-AL" w:bidi="sq-AL"/>
              </w:rPr>
              <w:t>145.0</w:t>
            </w:r>
          </w:p>
        </w:tc>
        <w:tc>
          <w:tcPr>
            <w:tcW w:w="1134" w:type="dxa"/>
          </w:tcPr>
          <w:p w14:paraId="279FB57B" w14:textId="77777777" w:rsidR="0088112C" w:rsidRPr="004D53EC" w:rsidRDefault="0088112C" w:rsidP="005760FF">
            <w:pPr>
              <w:pStyle w:val="TableParagraph"/>
              <w:spacing w:before="1"/>
              <w:ind w:right="3"/>
              <w:rPr>
                <w:rFonts w:ascii="Arial MT"/>
                <w:sz w:val="16"/>
                <w:lang w:val="sq-AL"/>
              </w:rPr>
            </w:pPr>
            <w:r w:rsidRPr="004D53EC">
              <w:rPr>
                <w:spacing w:val="-2"/>
                <w:sz w:val="16"/>
                <w:lang w:val="sq-AL" w:bidi="sq-AL"/>
              </w:rPr>
              <w:t>161.0</w:t>
            </w:r>
          </w:p>
        </w:tc>
        <w:tc>
          <w:tcPr>
            <w:tcW w:w="1134" w:type="dxa"/>
          </w:tcPr>
          <w:p w14:paraId="3501F987" w14:textId="77777777" w:rsidR="0088112C" w:rsidRPr="004D53EC" w:rsidRDefault="0088112C" w:rsidP="005760FF">
            <w:pPr>
              <w:pStyle w:val="TableParagraph"/>
              <w:spacing w:before="1"/>
              <w:ind w:right="3"/>
              <w:rPr>
                <w:rFonts w:ascii="Arial MT"/>
                <w:sz w:val="16"/>
                <w:lang w:val="sq-AL"/>
              </w:rPr>
            </w:pPr>
            <w:r w:rsidRPr="004D53EC">
              <w:rPr>
                <w:spacing w:val="-2"/>
                <w:sz w:val="16"/>
                <w:lang w:val="sq-AL" w:bidi="sq-AL"/>
              </w:rPr>
              <w:t>176.0</w:t>
            </w:r>
          </w:p>
        </w:tc>
        <w:tc>
          <w:tcPr>
            <w:tcW w:w="1134" w:type="dxa"/>
          </w:tcPr>
          <w:p w14:paraId="27CE76F7" w14:textId="77777777" w:rsidR="0088112C" w:rsidRPr="004D53EC" w:rsidRDefault="0088112C" w:rsidP="005760FF">
            <w:pPr>
              <w:pStyle w:val="TableParagraph"/>
              <w:spacing w:before="1"/>
              <w:ind w:right="3"/>
              <w:rPr>
                <w:rFonts w:ascii="Arial MT"/>
                <w:sz w:val="16"/>
                <w:lang w:val="sq-AL"/>
              </w:rPr>
            </w:pPr>
            <w:r w:rsidRPr="004D53EC">
              <w:rPr>
                <w:spacing w:val="-2"/>
                <w:sz w:val="16"/>
                <w:lang w:val="sq-AL" w:bidi="sq-AL"/>
              </w:rPr>
              <w:t>191.0</w:t>
            </w:r>
          </w:p>
        </w:tc>
        <w:tc>
          <w:tcPr>
            <w:tcW w:w="1134" w:type="dxa"/>
          </w:tcPr>
          <w:p w14:paraId="36B6A56E" w14:textId="77777777" w:rsidR="0088112C" w:rsidRPr="004D53EC" w:rsidRDefault="0088112C" w:rsidP="005760FF">
            <w:pPr>
              <w:pStyle w:val="TableParagraph"/>
              <w:spacing w:before="1"/>
              <w:ind w:right="3"/>
              <w:rPr>
                <w:rFonts w:ascii="Arial MT"/>
                <w:sz w:val="16"/>
                <w:lang w:val="sq-AL"/>
              </w:rPr>
            </w:pPr>
            <w:r w:rsidRPr="004D53EC">
              <w:rPr>
                <w:spacing w:val="-2"/>
                <w:sz w:val="16"/>
                <w:lang w:val="sq-AL" w:bidi="sq-AL"/>
              </w:rPr>
              <w:t>210.0</w:t>
            </w:r>
          </w:p>
        </w:tc>
      </w:tr>
      <w:tr w:rsidR="0088112C" w:rsidRPr="004D53EC" w14:paraId="1108FD2E" w14:textId="77777777" w:rsidTr="005760FF">
        <w:trPr>
          <w:trHeight w:val="396"/>
        </w:trPr>
        <w:tc>
          <w:tcPr>
            <w:tcW w:w="6804" w:type="dxa"/>
          </w:tcPr>
          <w:p w14:paraId="356F61DB"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Numri i abonentëve të telefonisë celulare në raport me madhësinë e popullsisë (numri për mijë</w:t>
            </w:r>
          </w:p>
          <w:p w14:paraId="0D09D179" w14:textId="77777777" w:rsidR="0088112C" w:rsidRPr="004D53EC" w:rsidRDefault="0088112C" w:rsidP="005760FF">
            <w:pPr>
              <w:pStyle w:val="TableParagraph"/>
              <w:spacing w:before="15" w:line="178" w:lineRule="exact"/>
              <w:ind w:left="107"/>
              <w:jc w:val="left"/>
              <w:rPr>
                <w:rFonts w:ascii="Arial MT"/>
                <w:sz w:val="16"/>
                <w:lang w:val="sq-AL"/>
              </w:rPr>
            </w:pPr>
            <w:r w:rsidRPr="004D53EC">
              <w:rPr>
                <w:spacing w:val="-2"/>
                <w:sz w:val="16"/>
                <w:lang w:val="sq-AL" w:bidi="sq-AL"/>
              </w:rPr>
              <w:t xml:space="preserve"> banorë)</w:t>
            </w:r>
          </w:p>
        </w:tc>
        <w:tc>
          <w:tcPr>
            <w:tcW w:w="568" w:type="dxa"/>
          </w:tcPr>
          <w:p w14:paraId="4CB5CA4D" w14:textId="77777777" w:rsidR="0088112C" w:rsidRPr="004D53EC" w:rsidRDefault="0088112C" w:rsidP="005760FF">
            <w:pPr>
              <w:pStyle w:val="TableParagraph"/>
              <w:spacing w:line="184" w:lineRule="exact"/>
              <w:ind w:left="107"/>
              <w:jc w:val="left"/>
              <w:rPr>
                <w:rFonts w:ascii="Arial MT"/>
                <w:sz w:val="16"/>
                <w:lang w:val="sq-AL"/>
              </w:rPr>
            </w:pPr>
            <w:r w:rsidRPr="004D53EC">
              <w:rPr>
                <w:spacing w:val="-5"/>
                <w:sz w:val="16"/>
                <w:lang w:val="sq-AL" w:bidi="sq-AL"/>
              </w:rPr>
              <w:t>10)</w:t>
            </w:r>
          </w:p>
        </w:tc>
        <w:tc>
          <w:tcPr>
            <w:tcW w:w="1134" w:type="dxa"/>
          </w:tcPr>
          <w:p w14:paraId="751EC06A" w14:textId="77777777" w:rsidR="0088112C" w:rsidRPr="004D53EC" w:rsidRDefault="0088112C" w:rsidP="005760FF">
            <w:pPr>
              <w:pStyle w:val="TableParagraph"/>
              <w:spacing w:line="184" w:lineRule="exact"/>
              <w:ind w:right="3"/>
              <w:rPr>
                <w:rFonts w:ascii="Arial MT"/>
                <w:sz w:val="16"/>
                <w:lang w:val="sq-AL"/>
              </w:rPr>
            </w:pPr>
            <w:r w:rsidRPr="004D53EC">
              <w:rPr>
                <w:sz w:val="16"/>
                <w:lang w:val="sq-AL" w:bidi="sq-AL"/>
              </w:rPr>
              <w:t>1 584.4 w</w:t>
            </w:r>
          </w:p>
        </w:tc>
        <w:tc>
          <w:tcPr>
            <w:tcW w:w="1134" w:type="dxa"/>
          </w:tcPr>
          <w:p w14:paraId="37C8978C" w14:textId="77777777" w:rsidR="0088112C" w:rsidRPr="004D53EC" w:rsidRDefault="0088112C" w:rsidP="005760FF">
            <w:pPr>
              <w:pStyle w:val="TableParagraph"/>
              <w:spacing w:line="184" w:lineRule="exact"/>
              <w:ind w:right="3"/>
              <w:rPr>
                <w:rFonts w:ascii="Arial MT"/>
                <w:sz w:val="16"/>
                <w:lang w:val="sq-AL"/>
              </w:rPr>
            </w:pPr>
            <w:r w:rsidRPr="004D53EC">
              <w:rPr>
                <w:sz w:val="16"/>
                <w:lang w:val="sq-AL" w:bidi="sq-AL"/>
              </w:rPr>
              <w:t>1 934.4 w</w:t>
            </w:r>
          </w:p>
        </w:tc>
        <w:tc>
          <w:tcPr>
            <w:tcW w:w="1134" w:type="dxa"/>
          </w:tcPr>
          <w:p w14:paraId="256AA536" w14:textId="77777777" w:rsidR="0088112C" w:rsidRPr="004D53EC" w:rsidRDefault="0088112C" w:rsidP="005760FF">
            <w:pPr>
              <w:pStyle w:val="TableParagraph"/>
              <w:spacing w:line="184" w:lineRule="exact"/>
              <w:ind w:right="3"/>
              <w:rPr>
                <w:rFonts w:ascii="Arial MT"/>
                <w:sz w:val="16"/>
                <w:lang w:val="sq-AL"/>
              </w:rPr>
            </w:pPr>
            <w:r w:rsidRPr="004D53EC">
              <w:rPr>
                <w:sz w:val="16"/>
                <w:lang w:val="sq-AL" w:bidi="sq-AL"/>
              </w:rPr>
              <w:t>1 445.6 w</w:t>
            </w:r>
          </w:p>
        </w:tc>
        <w:tc>
          <w:tcPr>
            <w:tcW w:w="1134" w:type="dxa"/>
          </w:tcPr>
          <w:p w14:paraId="0750C9CF" w14:textId="77777777" w:rsidR="0088112C" w:rsidRPr="004D53EC" w:rsidRDefault="0088112C" w:rsidP="005760FF">
            <w:pPr>
              <w:pStyle w:val="TableParagraph"/>
              <w:spacing w:line="184" w:lineRule="exact"/>
              <w:ind w:right="3"/>
              <w:rPr>
                <w:rFonts w:ascii="Arial MT"/>
                <w:sz w:val="16"/>
                <w:lang w:val="sq-AL"/>
              </w:rPr>
            </w:pPr>
            <w:r w:rsidRPr="004D53EC">
              <w:rPr>
                <w:sz w:val="16"/>
                <w:lang w:val="sq-AL" w:bidi="sq-AL"/>
              </w:rPr>
              <w:t>1 183.8 w</w:t>
            </w:r>
          </w:p>
        </w:tc>
        <w:tc>
          <w:tcPr>
            <w:tcW w:w="1134" w:type="dxa"/>
          </w:tcPr>
          <w:p w14:paraId="415ABEB9" w14:textId="77777777" w:rsidR="0088112C" w:rsidRPr="004D53EC" w:rsidRDefault="0088112C" w:rsidP="005760FF">
            <w:pPr>
              <w:pStyle w:val="TableParagraph"/>
              <w:spacing w:line="184" w:lineRule="exact"/>
              <w:ind w:right="3"/>
              <w:rPr>
                <w:rFonts w:ascii="Arial MT"/>
                <w:sz w:val="16"/>
                <w:lang w:val="sq-AL"/>
              </w:rPr>
            </w:pPr>
            <w:r w:rsidRPr="004D53EC">
              <w:rPr>
                <w:sz w:val="16"/>
                <w:lang w:val="sq-AL" w:bidi="sq-AL"/>
              </w:rPr>
              <w:t>1 176.2 w</w:t>
            </w:r>
          </w:p>
        </w:tc>
        <w:tc>
          <w:tcPr>
            <w:tcW w:w="1134" w:type="dxa"/>
          </w:tcPr>
          <w:p w14:paraId="5153A5B5" w14:textId="77777777" w:rsidR="0088112C" w:rsidRPr="004D53EC" w:rsidRDefault="0088112C" w:rsidP="005760FF">
            <w:pPr>
              <w:pStyle w:val="TableParagraph"/>
              <w:spacing w:line="184" w:lineRule="exact"/>
              <w:ind w:right="3"/>
              <w:rPr>
                <w:rFonts w:ascii="Arial MT"/>
                <w:sz w:val="16"/>
                <w:lang w:val="sq-AL"/>
              </w:rPr>
            </w:pPr>
            <w:r w:rsidRPr="004D53EC">
              <w:rPr>
                <w:sz w:val="16"/>
                <w:lang w:val="sq-AL" w:bidi="sq-AL"/>
              </w:rPr>
              <w:t>1 239.1 w</w:t>
            </w:r>
          </w:p>
        </w:tc>
      </w:tr>
      <w:tr w:rsidR="0088112C" w:rsidRPr="004D53EC" w14:paraId="663936CB" w14:textId="77777777" w:rsidTr="005760FF">
        <w:trPr>
          <w:trHeight w:val="222"/>
        </w:trPr>
        <w:tc>
          <w:tcPr>
            <w:tcW w:w="6804" w:type="dxa"/>
          </w:tcPr>
          <w:p w14:paraId="20E57AD2"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lastRenderedPageBreak/>
              <w:t>Depërtimi i telefonisë celulare me rreze të gjerë (</w:t>
            </w:r>
            <w:proofErr w:type="spellStart"/>
            <w:r w:rsidRPr="004D53EC">
              <w:rPr>
                <w:sz w:val="16"/>
                <w:lang w:val="sq-AL" w:bidi="sq-AL"/>
              </w:rPr>
              <w:t>broadband</w:t>
            </w:r>
            <w:proofErr w:type="spellEnd"/>
            <w:r w:rsidRPr="004D53EC">
              <w:rPr>
                <w:sz w:val="16"/>
                <w:lang w:val="sq-AL" w:bidi="sq-AL"/>
              </w:rPr>
              <w:t>) (për 100 banorë)</w:t>
            </w:r>
          </w:p>
        </w:tc>
        <w:tc>
          <w:tcPr>
            <w:tcW w:w="568" w:type="dxa"/>
          </w:tcPr>
          <w:p w14:paraId="1EA58B1B" w14:textId="77777777" w:rsidR="0088112C" w:rsidRPr="004D53EC" w:rsidRDefault="0088112C" w:rsidP="005760FF">
            <w:pPr>
              <w:pStyle w:val="TableParagraph"/>
              <w:spacing w:line="184" w:lineRule="exact"/>
              <w:ind w:left="107"/>
              <w:jc w:val="left"/>
              <w:rPr>
                <w:rFonts w:ascii="Arial MT"/>
                <w:sz w:val="16"/>
                <w:lang w:val="sq-AL"/>
              </w:rPr>
            </w:pPr>
            <w:r w:rsidRPr="004D53EC">
              <w:rPr>
                <w:spacing w:val="-5"/>
                <w:sz w:val="16"/>
                <w:lang w:val="sq-AL" w:bidi="sq-AL"/>
              </w:rPr>
              <w:t>10)</w:t>
            </w:r>
          </w:p>
        </w:tc>
        <w:tc>
          <w:tcPr>
            <w:tcW w:w="1134" w:type="dxa"/>
          </w:tcPr>
          <w:p w14:paraId="4FD642DB"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69CFA04D"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5D459485"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515F9765" w14:textId="77777777" w:rsidR="0088112C" w:rsidRPr="004D53EC" w:rsidRDefault="0088112C" w:rsidP="005760FF">
            <w:pPr>
              <w:pStyle w:val="TableParagraph"/>
              <w:spacing w:line="184" w:lineRule="exact"/>
              <w:ind w:left="330"/>
              <w:jc w:val="left"/>
              <w:rPr>
                <w:rFonts w:ascii="Arial MT"/>
                <w:sz w:val="16"/>
                <w:lang w:val="sq-AL"/>
              </w:rPr>
            </w:pPr>
            <w:r w:rsidRPr="004D53EC">
              <w:rPr>
                <w:sz w:val="16"/>
                <w:lang w:val="sq-AL" w:bidi="sq-AL"/>
              </w:rPr>
              <w:t>62.7 w</w:t>
            </w:r>
          </w:p>
        </w:tc>
        <w:tc>
          <w:tcPr>
            <w:tcW w:w="1134" w:type="dxa"/>
          </w:tcPr>
          <w:p w14:paraId="5B3FD8CE" w14:textId="77777777" w:rsidR="0088112C" w:rsidRPr="004D53EC" w:rsidRDefault="0088112C" w:rsidP="005760FF">
            <w:pPr>
              <w:pStyle w:val="TableParagraph"/>
              <w:spacing w:line="184" w:lineRule="exact"/>
              <w:ind w:left="330"/>
              <w:jc w:val="left"/>
              <w:rPr>
                <w:rFonts w:ascii="Arial MT"/>
                <w:sz w:val="16"/>
                <w:lang w:val="sq-AL"/>
              </w:rPr>
            </w:pPr>
            <w:r w:rsidRPr="004D53EC">
              <w:rPr>
                <w:sz w:val="16"/>
                <w:lang w:val="sq-AL" w:bidi="sq-AL"/>
              </w:rPr>
              <w:t>70.4 w</w:t>
            </w:r>
          </w:p>
        </w:tc>
        <w:tc>
          <w:tcPr>
            <w:tcW w:w="1134" w:type="dxa"/>
          </w:tcPr>
          <w:p w14:paraId="3B6D2BE1" w14:textId="77777777" w:rsidR="0088112C" w:rsidRPr="004D53EC" w:rsidRDefault="0088112C" w:rsidP="005760FF">
            <w:pPr>
              <w:pStyle w:val="TableParagraph"/>
              <w:spacing w:line="184" w:lineRule="exact"/>
              <w:ind w:left="330"/>
              <w:jc w:val="left"/>
              <w:rPr>
                <w:rFonts w:ascii="Arial MT"/>
                <w:sz w:val="16"/>
                <w:lang w:val="sq-AL"/>
              </w:rPr>
            </w:pPr>
            <w:r w:rsidRPr="004D53EC">
              <w:rPr>
                <w:sz w:val="16"/>
                <w:lang w:val="sq-AL" w:bidi="sq-AL"/>
              </w:rPr>
              <w:t>73.1 w</w:t>
            </w:r>
          </w:p>
        </w:tc>
      </w:tr>
      <w:tr w:rsidR="0088112C" w:rsidRPr="004D53EC" w14:paraId="29CE889B" w14:textId="77777777" w:rsidTr="005760FF">
        <w:trPr>
          <w:trHeight w:val="223"/>
        </w:trPr>
        <w:tc>
          <w:tcPr>
            <w:tcW w:w="6804" w:type="dxa"/>
          </w:tcPr>
          <w:p w14:paraId="3BF804B4"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Depërtimi i telefonisë fikse me rreze të gjerë (</w:t>
            </w:r>
            <w:proofErr w:type="spellStart"/>
            <w:r w:rsidRPr="004D53EC">
              <w:rPr>
                <w:sz w:val="16"/>
                <w:lang w:val="sq-AL" w:bidi="sq-AL"/>
              </w:rPr>
              <w:t>broadband</w:t>
            </w:r>
            <w:proofErr w:type="spellEnd"/>
            <w:r w:rsidRPr="004D53EC">
              <w:rPr>
                <w:sz w:val="16"/>
                <w:lang w:val="sq-AL" w:bidi="sq-AL"/>
              </w:rPr>
              <w:t>) (për 100 banorë)</w:t>
            </w:r>
          </w:p>
        </w:tc>
        <w:tc>
          <w:tcPr>
            <w:tcW w:w="568" w:type="dxa"/>
          </w:tcPr>
          <w:p w14:paraId="34D94A01" w14:textId="77777777" w:rsidR="0088112C" w:rsidRPr="004D53EC" w:rsidRDefault="0088112C" w:rsidP="005760FF">
            <w:pPr>
              <w:pStyle w:val="TableParagraph"/>
              <w:spacing w:before="1"/>
              <w:ind w:left="107"/>
              <w:jc w:val="left"/>
              <w:rPr>
                <w:rFonts w:ascii="Arial MT"/>
                <w:sz w:val="16"/>
                <w:lang w:val="sq-AL"/>
              </w:rPr>
            </w:pPr>
            <w:r w:rsidRPr="004D53EC">
              <w:rPr>
                <w:spacing w:val="-5"/>
                <w:sz w:val="16"/>
                <w:lang w:val="sq-AL" w:bidi="sq-AL"/>
              </w:rPr>
              <w:t>10)</w:t>
            </w:r>
          </w:p>
        </w:tc>
        <w:tc>
          <w:tcPr>
            <w:tcW w:w="1134" w:type="dxa"/>
          </w:tcPr>
          <w:p w14:paraId="0EF8CF53"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7A365726" w14:textId="77777777" w:rsidR="0088112C" w:rsidRPr="004D53EC" w:rsidRDefault="0088112C" w:rsidP="005760FF">
            <w:pPr>
              <w:pStyle w:val="TableParagraph"/>
              <w:spacing w:before="1"/>
              <w:ind w:right="2"/>
              <w:rPr>
                <w:rFonts w:ascii="Arial MT"/>
                <w:sz w:val="16"/>
                <w:lang w:val="sq-AL"/>
              </w:rPr>
            </w:pPr>
            <w:r w:rsidRPr="004D53EC">
              <w:rPr>
                <w:sz w:val="16"/>
                <w:lang w:val="sq-AL" w:bidi="sq-AL"/>
              </w:rPr>
              <w:t>11 w</w:t>
            </w:r>
          </w:p>
        </w:tc>
        <w:tc>
          <w:tcPr>
            <w:tcW w:w="1134" w:type="dxa"/>
          </w:tcPr>
          <w:p w14:paraId="11BA4F42" w14:textId="77777777" w:rsidR="0088112C" w:rsidRPr="004D53EC" w:rsidRDefault="0088112C" w:rsidP="005760FF">
            <w:pPr>
              <w:pStyle w:val="TableParagraph"/>
              <w:spacing w:before="1"/>
              <w:ind w:right="2"/>
              <w:rPr>
                <w:rFonts w:ascii="Arial MT"/>
                <w:sz w:val="16"/>
                <w:lang w:val="sq-AL"/>
              </w:rPr>
            </w:pPr>
            <w:r w:rsidRPr="004D53EC">
              <w:rPr>
                <w:sz w:val="16"/>
                <w:lang w:val="sq-AL" w:bidi="sq-AL"/>
              </w:rPr>
              <w:t>13 w</w:t>
            </w:r>
          </w:p>
        </w:tc>
        <w:tc>
          <w:tcPr>
            <w:tcW w:w="1134" w:type="dxa"/>
          </w:tcPr>
          <w:p w14:paraId="337F5398" w14:textId="77777777" w:rsidR="0088112C" w:rsidRPr="004D53EC" w:rsidRDefault="0088112C" w:rsidP="005760FF">
            <w:pPr>
              <w:pStyle w:val="TableParagraph"/>
              <w:spacing w:before="1"/>
              <w:ind w:right="2"/>
              <w:rPr>
                <w:rFonts w:ascii="Arial MT"/>
                <w:sz w:val="16"/>
                <w:lang w:val="sq-AL"/>
              </w:rPr>
            </w:pPr>
            <w:r w:rsidRPr="004D53EC">
              <w:rPr>
                <w:sz w:val="16"/>
                <w:lang w:val="sq-AL" w:bidi="sq-AL"/>
              </w:rPr>
              <w:t>15 w</w:t>
            </w:r>
          </w:p>
        </w:tc>
        <w:tc>
          <w:tcPr>
            <w:tcW w:w="1134" w:type="dxa"/>
          </w:tcPr>
          <w:p w14:paraId="36B6C609" w14:textId="77777777" w:rsidR="0088112C" w:rsidRPr="004D53EC" w:rsidRDefault="0088112C" w:rsidP="005760FF">
            <w:pPr>
              <w:pStyle w:val="TableParagraph"/>
              <w:spacing w:before="1"/>
              <w:ind w:right="2"/>
              <w:rPr>
                <w:rFonts w:ascii="Arial MT"/>
                <w:sz w:val="16"/>
                <w:lang w:val="sq-AL"/>
              </w:rPr>
            </w:pPr>
            <w:r w:rsidRPr="004D53EC">
              <w:rPr>
                <w:sz w:val="16"/>
                <w:lang w:val="sq-AL" w:bidi="sq-AL"/>
              </w:rPr>
              <w:t>17 w</w:t>
            </w:r>
          </w:p>
        </w:tc>
        <w:tc>
          <w:tcPr>
            <w:tcW w:w="1134" w:type="dxa"/>
          </w:tcPr>
          <w:p w14:paraId="1CD81C9E" w14:textId="77777777" w:rsidR="0088112C" w:rsidRPr="004D53EC" w:rsidRDefault="0088112C" w:rsidP="005760FF">
            <w:pPr>
              <w:pStyle w:val="TableParagraph"/>
              <w:spacing w:before="1"/>
              <w:ind w:right="2"/>
              <w:rPr>
                <w:rFonts w:ascii="Arial MT"/>
                <w:sz w:val="16"/>
                <w:lang w:val="sq-AL"/>
              </w:rPr>
            </w:pPr>
            <w:r w:rsidRPr="004D53EC">
              <w:rPr>
                <w:sz w:val="16"/>
                <w:lang w:val="sq-AL" w:bidi="sq-AL"/>
              </w:rPr>
              <w:t>20 w</w:t>
            </w:r>
          </w:p>
        </w:tc>
      </w:tr>
      <w:tr w:rsidR="0088112C" w:rsidRPr="004D53EC" w14:paraId="1474F4FC" w14:textId="77777777" w:rsidTr="005760FF">
        <w:trPr>
          <w:trHeight w:val="222"/>
        </w:trPr>
        <w:tc>
          <w:tcPr>
            <w:tcW w:w="14176" w:type="dxa"/>
            <w:gridSpan w:val="8"/>
            <w:tcBorders>
              <w:left w:val="nil"/>
              <w:bottom w:val="nil"/>
              <w:right w:val="nil"/>
            </w:tcBorders>
          </w:tcPr>
          <w:p w14:paraId="735B666A" w14:textId="77777777" w:rsidR="0088112C" w:rsidRPr="004D53EC" w:rsidRDefault="0088112C" w:rsidP="005760FF">
            <w:pPr>
              <w:pStyle w:val="TableParagraph"/>
              <w:ind w:left="0"/>
              <w:jc w:val="left"/>
              <w:rPr>
                <w:sz w:val="14"/>
                <w:lang w:val="sq-AL"/>
              </w:rPr>
            </w:pPr>
          </w:p>
        </w:tc>
      </w:tr>
      <w:tr w:rsidR="0088112C" w:rsidRPr="004D53EC" w14:paraId="44CCB78C" w14:textId="77777777" w:rsidTr="005760FF">
        <w:trPr>
          <w:trHeight w:val="222"/>
        </w:trPr>
        <w:tc>
          <w:tcPr>
            <w:tcW w:w="6804" w:type="dxa"/>
            <w:tcBorders>
              <w:top w:val="nil"/>
              <w:left w:val="nil"/>
            </w:tcBorders>
          </w:tcPr>
          <w:p w14:paraId="65E7206A" w14:textId="77777777" w:rsidR="0088112C" w:rsidRPr="004D53EC" w:rsidRDefault="0088112C" w:rsidP="005760FF">
            <w:pPr>
              <w:pStyle w:val="TableParagraph"/>
              <w:spacing w:line="184" w:lineRule="exact"/>
              <w:ind w:left="115"/>
              <w:jc w:val="left"/>
              <w:rPr>
                <w:rFonts w:ascii="Arial"/>
                <w:b/>
                <w:sz w:val="16"/>
                <w:lang w:val="sq-AL"/>
              </w:rPr>
            </w:pPr>
            <w:r w:rsidRPr="004D53EC">
              <w:rPr>
                <w:b/>
                <w:spacing w:val="-2"/>
                <w:sz w:val="16"/>
                <w:lang w:val="sq-AL" w:bidi="sq-AL"/>
              </w:rPr>
              <w:t>Infrastruktura</w:t>
            </w:r>
          </w:p>
        </w:tc>
        <w:tc>
          <w:tcPr>
            <w:tcW w:w="568" w:type="dxa"/>
          </w:tcPr>
          <w:p w14:paraId="6ED37D8A" w14:textId="77777777" w:rsidR="0088112C" w:rsidRPr="004D53EC" w:rsidRDefault="0088112C" w:rsidP="005760FF">
            <w:pPr>
              <w:pStyle w:val="TableParagraph"/>
              <w:spacing w:line="184" w:lineRule="exact"/>
              <w:ind w:left="113"/>
              <w:jc w:val="left"/>
              <w:rPr>
                <w:rFonts w:ascii="Arial MT"/>
                <w:sz w:val="16"/>
                <w:lang w:val="sq-AL"/>
              </w:rPr>
            </w:pPr>
            <w:r w:rsidRPr="004D53EC">
              <w:rPr>
                <w:spacing w:val="-4"/>
                <w:sz w:val="16"/>
                <w:lang w:val="sq-AL" w:bidi="sq-AL"/>
              </w:rPr>
              <w:t>Shënime</w:t>
            </w:r>
          </w:p>
        </w:tc>
        <w:tc>
          <w:tcPr>
            <w:tcW w:w="1134" w:type="dxa"/>
          </w:tcPr>
          <w:p w14:paraId="4283FAB6" w14:textId="77777777" w:rsidR="0088112C" w:rsidRPr="004D53EC" w:rsidRDefault="0088112C" w:rsidP="005760FF">
            <w:pPr>
              <w:pStyle w:val="TableParagraph"/>
              <w:spacing w:line="184" w:lineRule="exact"/>
              <w:ind w:right="1"/>
              <w:rPr>
                <w:rFonts w:ascii="Arial MT"/>
                <w:sz w:val="16"/>
                <w:lang w:val="sq-AL"/>
              </w:rPr>
            </w:pPr>
            <w:r w:rsidRPr="004D53EC">
              <w:rPr>
                <w:spacing w:val="-4"/>
                <w:sz w:val="16"/>
                <w:lang w:val="sq-AL" w:bidi="sq-AL"/>
              </w:rPr>
              <w:t>2010</w:t>
            </w:r>
          </w:p>
        </w:tc>
        <w:tc>
          <w:tcPr>
            <w:tcW w:w="1134" w:type="dxa"/>
          </w:tcPr>
          <w:p w14:paraId="5C360164" w14:textId="77777777" w:rsidR="0088112C" w:rsidRPr="004D53EC" w:rsidRDefault="0088112C" w:rsidP="005760FF">
            <w:pPr>
              <w:pStyle w:val="TableParagraph"/>
              <w:spacing w:line="184" w:lineRule="exact"/>
              <w:ind w:right="1"/>
              <w:rPr>
                <w:rFonts w:ascii="Arial MT"/>
                <w:sz w:val="16"/>
                <w:lang w:val="sq-AL"/>
              </w:rPr>
            </w:pPr>
            <w:r w:rsidRPr="004D53EC">
              <w:rPr>
                <w:spacing w:val="-4"/>
                <w:sz w:val="16"/>
                <w:lang w:val="sq-AL" w:bidi="sq-AL"/>
              </w:rPr>
              <w:t>2017</w:t>
            </w:r>
          </w:p>
        </w:tc>
        <w:tc>
          <w:tcPr>
            <w:tcW w:w="1134" w:type="dxa"/>
          </w:tcPr>
          <w:p w14:paraId="1EE03B09" w14:textId="77777777" w:rsidR="0088112C" w:rsidRPr="004D53EC" w:rsidRDefault="0088112C" w:rsidP="005760FF">
            <w:pPr>
              <w:pStyle w:val="TableParagraph"/>
              <w:spacing w:line="184" w:lineRule="exact"/>
              <w:ind w:right="1"/>
              <w:rPr>
                <w:rFonts w:ascii="Arial MT"/>
                <w:sz w:val="16"/>
                <w:lang w:val="sq-AL"/>
              </w:rPr>
            </w:pPr>
            <w:r w:rsidRPr="004D53EC">
              <w:rPr>
                <w:spacing w:val="-4"/>
                <w:sz w:val="16"/>
                <w:lang w:val="sq-AL" w:bidi="sq-AL"/>
              </w:rPr>
              <w:t>2018</w:t>
            </w:r>
          </w:p>
        </w:tc>
        <w:tc>
          <w:tcPr>
            <w:tcW w:w="1134" w:type="dxa"/>
          </w:tcPr>
          <w:p w14:paraId="1B459CB7" w14:textId="77777777" w:rsidR="0088112C" w:rsidRPr="004D53EC" w:rsidRDefault="0088112C" w:rsidP="005760FF">
            <w:pPr>
              <w:pStyle w:val="TableParagraph"/>
              <w:spacing w:line="184" w:lineRule="exact"/>
              <w:ind w:right="1"/>
              <w:rPr>
                <w:rFonts w:ascii="Arial MT"/>
                <w:sz w:val="16"/>
                <w:lang w:val="sq-AL"/>
              </w:rPr>
            </w:pPr>
            <w:r w:rsidRPr="004D53EC">
              <w:rPr>
                <w:spacing w:val="-4"/>
                <w:sz w:val="16"/>
                <w:lang w:val="sq-AL" w:bidi="sq-AL"/>
              </w:rPr>
              <w:t>2019</w:t>
            </w:r>
          </w:p>
        </w:tc>
        <w:tc>
          <w:tcPr>
            <w:tcW w:w="1134" w:type="dxa"/>
          </w:tcPr>
          <w:p w14:paraId="5899E727" w14:textId="77777777" w:rsidR="0088112C" w:rsidRPr="004D53EC" w:rsidRDefault="0088112C" w:rsidP="005760FF">
            <w:pPr>
              <w:pStyle w:val="TableParagraph"/>
              <w:spacing w:line="184" w:lineRule="exact"/>
              <w:ind w:right="1"/>
              <w:rPr>
                <w:rFonts w:ascii="Arial MT"/>
                <w:sz w:val="16"/>
                <w:lang w:val="sq-AL"/>
              </w:rPr>
            </w:pPr>
            <w:r w:rsidRPr="004D53EC">
              <w:rPr>
                <w:spacing w:val="-4"/>
                <w:sz w:val="16"/>
                <w:lang w:val="sq-AL" w:bidi="sq-AL"/>
              </w:rPr>
              <w:t>2020</w:t>
            </w:r>
          </w:p>
        </w:tc>
        <w:tc>
          <w:tcPr>
            <w:tcW w:w="1134" w:type="dxa"/>
          </w:tcPr>
          <w:p w14:paraId="2345B8BC" w14:textId="77777777" w:rsidR="0088112C" w:rsidRPr="004D53EC" w:rsidRDefault="0088112C" w:rsidP="005760FF">
            <w:pPr>
              <w:pStyle w:val="TableParagraph"/>
              <w:spacing w:line="184" w:lineRule="exact"/>
              <w:ind w:right="1"/>
              <w:rPr>
                <w:rFonts w:ascii="Arial MT"/>
                <w:sz w:val="16"/>
                <w:lang w:val="sq-AL"/>
              </w:rPr>
            </w:pPr>
            <w:r w:rsidRPr="004D53EC">
              <w:rPr>
                <w:spacing w:val="-4"/>
                <w:sz w:val="16"/>
                <w:lang w:val="sq-AL" w:bidi="sq-AL"/>
              </w:rPr>
              <w:t>2021</w:t>
            </w:r>
          </w:p>
        </w:tc>
      </w:tr>
      <w:tr w:rsidR="0088112C" w:rsidRPr="004D53EC" w14:paraId="4D02397E" w14:textId="77777777" w:rsidTr="005760FF">
        <w:trPr>
          <w:trHeight w:val="253"/>
        </w:trPr>
        <w:tc>
          <w:tcPr>
            <w:tcW w:w="6804" w:type="dxa"/>
          </w:tcPr>
          <w:p w14:paraId="7CAA58FC" w14:textId="77777777" w:rsidR="0088112C" w:rsidRPr="004D53EC" w:rsidRDefault="0088112C" w:rsidP="005760FF">
            <w:pPr>
              <w:pStyle w:val="TableParagraph"/>
              <w:spacing w:before="1"/>
              <w:ind w:left="107"/>
              <w:jc w:val="left"/>
              <w:rPr>
                <w:rFonts w:ascii="Arial MT" w:hAnsi="Arial MT"/>
                <w:sz w:val="16"/>
                <w:lang w:val="sq-AL"/>
              </w:rPr>
            </w:pPr>
            <w:r w:rsidRPr="004D53EC">
              <w:rPr>
                <w:sz w:val="16"/>
                <w:lang w:val="sq-AL" w:bidi="sq-AL"/>
              </w:rPr>
              <w:t>Dendësia e rrjetit hekurudhor (linjat në funksionim për një mijë km²)</w:t>
            </w:r>
          </w:p>
        </w:tc>
        <w:tc>
          <w:tcPr>
            <w:tcW w:w="568" w:type="dxa"/>
          </w:tcPr>
          <w:p w14:paraId="2E24C7AA" w14:textId="77777777" w:rsidR="0088112C" w:rsidRPr="004D53EC" w:rsidRDefault="0088112C" w:rsidP="005760FF">
            <w:pPr>
              <w:pStyle w:val="TableParagraph"/>
              <w:ind w:left="0"/>
              <w:jc w:val="left"/>
              <w:rPr>
                <w:sz w:val="14"/>
                <w:lang w:val="sq-AL"/>
              </w:rPr>
            </w:pPr>
          </w:p>
        </w:tc>
        <w:tc>
          <w:tcPr>
            <w:tcW w:w="1134" w:type="dxa"/>
          </w:tcPr>
          <w:p w14:paraId="540C9202" w14:textId="77777777" w:rsidR="0088112C" w:rsidRPr="004D53EC" w:rsidRDefault="0088112C" w:rsidP="005760FF">
            <w:pPr>
              <w:pStyle w:val="TableParagraph"/>
              <w:spacing w:before="1"/>
              <w:ind w:left="290"/>
              <w:jc w:val="left"/>
              <w:rPr>
                <w:rFonts w:ascii="Arial MT"/>
                <w:sz w:val="16"/>
                <w:lang w:val="sq-AL"/>
              </w:rPr>
            </w:pPr>
            <w:r w:rsidRPr="004D53EC">
              <w:rPr>
                <w:sz w:val="16"/>
                <w:lang w:val="sq-AL" w:bidi="sq-AL"/>
              </w:rPr>
              <w:t xml:space="preserve">13.9 </w:t>
            </w:r>
            <w:proofErr w:type="spellStart"/>
            <w:r w:rsidRPr="004D53EC">
              <w:rPr>
                <w:sz w:val="16"/>
                <w:lang w:val="sq-AL" w:bidi="sq-AL"/>
              </w:rPr>
              <w:t>sw</w:t>
            </w:r>
            <w:proofErr w:type="spellEnd"/>
          </w:p>
        </w:tc>
        <w:tc>
          <w:tcPr>
            <w:tcW w:w="1134" w:type="dxa"/>
          </w:tcPr>
          <w:p w14:paraId="014A3AFC" w14:textId="77777777" w:rsidR="0088112C" w:rsidRPr="004D53EC" w:rsidRDefault="0088112C" w:rsidP="005760FF">
            <w:pPr>
              <w:pStyle w:val="TableParagraph"/>
              <w:spacing w:before="1"/>
              <w:ind w:left="290"/>
              <w:jc w:val="left"/>
              <w:rPr>
                <w:rFonts w:ascii="Arial MT"/>
                <w:sz w:val="16"/>
                <w:lang w:val="sq-AL"/>
              </w:rPr>
            </w:pPr>
            <w:r w:rsidRPr="004D53EC">
              <w:rPr>
                <w:sz w:val="16"/>
                <w:lang w:val="sq-AL" w:bidi="sq-AL"/>
              </w:rPr>
              <w:t xml:space="preserve">11.6 </w:t>
            </w:r>
            <w:proofErr w:type="spellStart"/>
            <w:r w:rsidRPr="004D53EC">
              <w:rPr>
                <w:sz w:val="16"/>
                <w:lang w:val="sq-AL" w:bidi="sq-AL"/>
              </w:rPr>
              <w:t>sw</w:t>
            </w:r>
            <w:proofErr w:type="spellEnd"/>
          </w:p>
        </w:tc>
        <w:tc>
          <w:tcPr>
            <w:tcW w:w="1134" w:type="dxa"/>
          </w:tcPr>
          <w:p w14:paraId="17C58A60" w14:textId="77777777" w:rsidR="0088112C" w:rsidRPr="004D53EC" w:rsidRDefault="0088112C" w:rsidP="005760FF">
            <w:pPr>
              <w:pStyle w:val="TableParagraph"/>
              <w:spacing w:before="1"/>
              <w:ind w:left="290"/>
              <w:jc w:val="left"/>
              <w:rPr>
                <w:rFonts w:ascii="Arial MT"/>
                <w:sz w:val="16"/>
                <w:lang w:val="sq-AL"/>
              </w:rPr>
            </w:pPr>
            <w:r w:rsidRPr="004D53EC">
              <w:rPr>
                <w:sz w:val="16"/>
                <w:lang w:val="sq-AL" w:bidi="sq-AL"/>
              </w:rPr>
              <w:t xml:space="preserve">11.6 </w:t>
            </w:r>
            <w:proofErr w:type="spellStart"/>
            <w:r w:rsidRPr="004D53EC">
              <w:rPr>
                <w:sz w:val="16"/>
                <w:lang w:val="sq-AL" w:bidi="sq-AL"/>
              </w:rPr>
              <w:t>sw</w:t>
            </w:r>
            <w:proofErr w:type="spellEnd"/>
          </w:p>
        </w:tc>
        <w:tc>
          <w:tcPr>
            <w:tcW w:w="1134" w:type="dxa"/>
          </w:tcPr>
          <w:p w14:paraId="105A3A87" w14:textId="77777777" w:rsidR="0088112C" w:rsidRPr="004D53EC" w:rsidRDefault="0088112C" w:rsidP="005760FF">
            <w:pPr>
              <w:pStyle w:val="TableParagraph"/>
              <w:spacing w:before="1"/>
              <w:ind w:left="335"/>
              <w:jc w:val="left"/>
              <w:rPr>
                <w:rFonts w:ascii="Arial MT"/>
                <w:sz w:val="16"/>
                <w:lang w:val="sq-AL"/>
              </w:rPr>
            </w:pPr>
            <w:r w:rsidRPr="004D53EC">
              <w:rPr>
                <w:sz w:val="16"/>
                <w:lang w:val="sq-AL" w:bidi="sq-AL"/>
              </w:rPr>
              <w:t xml:space="preserve">5.9 </w:t>
            </w:r>
            <w:proofErr w:type="spellStart"/>
            <w:r w:rsidRPr="004D53EC">
              <w:rPr>
                <w:sz w:val="16"/>
                <w:lang w:val="sq-AL" w:bidi="sq-AL"/>
              </w:rPr>
              <w:t>sw</w:t>
            </w:r>
            <w:proofErr w:type="spellEnd"/>
          </w:p>
        </w:tc>
        <w:tc>
          <w:tcPr>
            <w:tcW w:w="1134" w:type="dxa"/>
          </w:tcPr>
          <w:p w14:paraId="70840E1E" w14:textId="77777777" w:rsidR="0088112C" w:rsidRPr="004D53EC" w:rsidRDefault="0088112C" w:rsidP="005760FF">
            <w:pPr>
              <w:pStyle w:val="TableParagraph"/>
              <w:spacing w:before="1"/>
              <w:ind w:left="335"/>
              <w:jc w:val="left"/>
              <w:rPr>
                <w:rFonts w:ascii="Arial MT"/>
                <w:sz w:val="16"/>
                <w:lang w:val="sq-AL"/>
              </w:rPr>
            </w:pPr>
            <w:r w:rsidRPr="004D53EC">
              <w:rPr>
                <w:sz w:val="16"/>
                <w:lang w:val="sq-AL" w:bidi="sq-AL"/>
              </w:rPr>
              <w:t xml:space="preserve">7.8 </w:t>
            </w:r>
            <w:proofErr w:type="spellStart"/>
            <w:r w:rsidRPr="004D53EC">
              <w:rPr>
                <w:sz w:val="16"/>
                <w:lang w:val="sq-AL" w:bidi="sq-AL"/>
              </w:rPr>
              <w:t>sw</w:t>
            </w:r>
            <w:proofErr w:type="spellEnd"/>
          </w:p>
        </w:tc>
        <w:tc>
          <w:tcPr>
            <w:tcW w:w="1134" w:type="dxa"/>
          </w:tcPr>
          <w:p w14:paraId="151E7885" w14:textId="77777777" w:rsidR="0088112C" w:rsidRPr="004D53EC" w:rsidRDefault="0088112C" w:rsidP="005760FF">
            <w:pPr>
              <w:pStyle w:val="TableParagraph"/>
              <w:spacing w:before="1"/>
              <w:ind w:left="392"/>
              <w:jc w:val="left"/>
              <w:rPr>
                <w:rFonts w:ascii="Arial MT"/>
                <w:sz w:val="16"/>
                <w:lang w:val="sq-AL"/>
              </w:rPr>
            </w:pPr>
            <w:r w:rsidRPr="004D53EC">
              <w:rPr>
                <w:sz w:val="16"/>
                <w:lang w:val="sq-AL" w:bidi="sq-AL"/>
              </w:rPr>
              <w:t>7.8 s</w:t>
            </w:r>
          </w:p>
        </w:tc>
      </w:tr>
      <w:tr w:rsidR="0088112C" w:rsidRPr="004D53EC" w14:paraId="06EDED32" w14:textId="77777777" w:rsidTr="005760FF">
        <w:trPr>
          <w:trHeight w:val="222"/>
        </w:trPr>
        <w:tc>
          <w:tcPr>
            <w:tcW w:w="6804" w:type="dxa"/>
          </w:tcPr>
          <w:p w14:paraId="696472EF"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Gjatësia e rrugëve automobilistike (në kilometra)</w:t>
            </w:r>
          </w:p>
        </w:tc>
        <w:tc>
          <w:tcPr>
            <w:tcW w:w="568" w:type="dxa"/>
          </w:tcPr>
          <w:p w14:paraId="4D9A24B3" w14:textId="77777777" w:rsidR="0088112C" w:rsidRPr="004D53EC" w:rsidRDefault="0088112C" w:rsidP="005760FF">
            <w:pPr>
              <w:pStyle w:val="TableParagraph"/>
              <w:ind w:left="0"/>
              <w:jc w:val="left"/>
              <w:rPr>
                <w:sz w:val="14"/>
                <w:lang w:val="sq-AL"/>
              </w:rPr>
            </w:pPr>
          </w:p>
        </w:tc>
        <w:tc>
          <w:tcPr>
            <w:tcW w:w="1134" w:type="dxa"/>
          </w:tcPr>
          <w:p w14:paraId="2D7EB3C1"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70C2CCF3"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z</w:t>
            </w:r>
          </w:p>
        </w:tc>
        <w:tc>
          <w:tcPr>
            <w:tcW w:w="1134" w:type="dxa"/>
          </w:tcPr>
          <w:p w14:paraId="7C3D7E4F"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z</w:t>
            </w:r>
          </w:p>
        </w:tc>
        <w:tc>
          <w:tcPr>
            <w:tcW w:w="1134" w:type="dxa"/>
          </w:tcPr>
          <w:p w14:paraId="5E239C9A"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z</w:t>
            </w:r>
          </w:p>
        </w:tc>
        <w:tc>
          <w:tcPr>
            <w:tcW w:w="1134" w:type="dxa"/>
          </w:tcPr>
          <w:p w14:paraId="173B9C2F" w14:textId="77777777" w:rsidR="0088112C" w:rsidRPr="004D53EC" w:rsidRDefault="0088112C" w:rsidP="005760FF">
            <w:pPr>
              <w:pStyle w:val="TableParagraph"/>
              <w:spacing w:line="184" w:lineRule="exact"/>
              <w:ind w:right="1"/>
              <w:rPr>
                <w:rFonts w:ascii="Arial MT"/>
                <w:sz w:val="16"/>
                <w:lang w:val="sq-AL"/>
              </w:rPr>
            </w:pPr>
            <w:r w:rsidRPr="004D53EC">
              <w:rPr>
                <w:spacing w:val="-5"/>
                <w:sz w:val="16"/>
                <w:lang w:val="sq-AL" w:bidi="sq-AL"/>
              </w:rPr>
              <w:t>22</w:t>
            </w:r>
          </w:p>
        </w:tc>
        <w:tc>
          <w:tcPr>
            <w:tcW w:w="1134" w:type="dxa"/>
          </w:tcPr>
          <w:p w14:paraId="64E3818D" w14:textId="77777777" w:rsidR="0088112C" w:rsidRPr="004D53EC" w:rsidRDefault="0088112C" w:rsidP="005760FF">
            <w:pPr>
              <w:pStyle w:val="TableParagraph"/>
              <w:spacing w:line="184" w:lineRule="exact"/>
              <w:ind w:right="1"/>
              <w:rPr>
                <w:rFonts w:ascii="Arial MT"/>
                <w:sz w:val="16"/>
                <w:lang w:val="sq-AL"/>
              </w:rPr>
            </w:pPr>
            <w:r w:rsidRPr="004D53EC">
              <w:rPr>
                <w:spacing w:val="-5"/>
                <w:sz w:val="16"/>
                <w:lang w:val="sq-AL" w:bidi="sq-AL"/>
              </w:rPr>
              <w:t>25</w:t>
            </w:r>
          </w:p>
        </w:tc>
      </w:tr>
      <w:tr w:rsidR="0088112C" w:rsidRPr="004D53EC" w14:paraId="5C97A69A" w14:textId="77777777" w:rsidTr="005760FF">
        <w:trPr>
          <w:trHeight w:val="222"/>
        </w:trPr>
        <w:tc>
          <w:tcPr>
            <w:tcW w:w="14176" w:type="dxa"/>
            <w:gridSpan w:val="8"/>
            <w:tcBorders>
              <w:left w:val="nil"/>
              <w:bottom w:val="nil"/>
              <w:right w:val="nil"/>
            </w:tcBorders>
          </w:tcPr>
          <w:p w14:paraId="70B14B03" w14:textId="77777777" w:rsidR="0088112C" w:rsidRPr="004D53EC" w:rsidRDefault="0088112C" w:rsidP="005760FF">
            <w:pPr>
              <w:pStyle w:val="TableParagraph"/>
              <w:ind w:left="0"/>
              <w:jc w:val="left"/>
              <w:rPr>
                <w:sz w:val="14"/>
                <w:lang w:val="sq-AL"/>
              </w:rPr>
            </w:pPr>
          </w:p>
        </w:tc>
      </w:tr>
      <w:tr w:rsidR="0088112C" w:rsidRPr="004D53EC" w14:paraId="48F236EE" w14:textId="77777777" w:rsidTr="005760FF">
        <w:trPr>
          <w:trHeight w:val="223"/>
        </w:trPr>
        <w:tc>
          <w:tcPr>
            <w:tcW w:w="6804" w:type="dxa"/>
            <w:tcBorders>
              <w:top w:val="nil"/>
              <w:left w:val="nil"/>
            </w:tcBorders>
          </w:tcPr>
          <w:p w14:paraId="40DF4D2B" w14:textId="77777777" w:rsidR="0088112C" w:rsidRPr="004D53EC" w:rsidRDefault="0088112C" w:rsidP="005760FF">
            <w:pPr>
              <w:pStyle w:val="TableParagraph"/>
              <w:spacing w:before="1"/>
              <w:ind w:left="115"/>
              <w:jc w:val="left"/>
              <w:rPr>
                <w:rFonts w:ascii="Arial"/>
                <w:b/>
                <w:sz w:val="16"/>
                <w:lang w:val="sq-AL"/>
              </w:rPr>
            </w:pPr>
            <w:r w:rsidRPr="004D53EC">
              <w:rPr>
                <w:b/>
                <w:sz w:val="16"/>
                <w:lang w:val="sq-AL" w:bidi="sq-AL"/>
              </w:rPr>
              <w:t>Inovacioni dhe kërkimi</w:t>
            </w:r>
          </w:p>
        </w:tc>
        <w:tc>
          <w:tcPr>
            <w:tcW w:w="568" w:type="dxa"/>
          </w:tcPr>
          <w:p w14:paraId="51A041B0" w14:textId="77777777" w:rsidR="0088112C" w:rsidRPr="004D53EC" w:rsidRDefault="0088112C" w:rsidP="005760FF">
            <w:pPr>
              <w:pStyle w:val="TableParagraph"/>
              <w:spacing w:before="1"/>
              <w:ind w:left="113"/>
              <w:jc w:val="left"/>
              <w:rPr>
                <w:rFonts w:ascii="Arial MT"/>
                <w:sz w:val="16"/>
                <w:lang w:val="sq-AL"/>
              </w:rPr>
            </w:pPr>
            <w:r w:rsidRPr="004D53EC">
              <w:rPr>
                <w:spacing w:val="-4"/>
                <w:sz w:val="16"/>
                <w:lang w:val="sq-AL" w:bidi="sq-AL"/>
              </w:rPr>
              <w:t>Shënime</w:t>
            </w:r>
          </w:p>
        </w:tc>
        <w:tc>
          <w:tcPr>
            <w:tcW w:w="1134" w:type="dxa"/>
          </w:tcPr>
          <w:p w14:paraId="0C04D954"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2010</w:t>
            </w:r>
          </w:p>
        </w:tc>
        <w:tc>
          <w:tcPr>
            <w:tcW w:w="1134" w:type="dxa"/>
          </w:tcPr>
          <w:p w14:paraId="31121D92"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2017</w:t>
            </w:r>
          </w:p>
        </w:tc>
        <w:tc>
          <w:tcPr>
            <w:tcW w:w="1134" w:type="dxa"/>
          </w:tcPr>
          <w:p w14:paraId="1F052A68"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2018</w:t>
            </w:r>
          </w:p>
        </w:tc>
        <w:tc>
          <w:tcPr>
            <w:tcW w:w="1134" w:type="dxa"/>
          </w:tcPr>
          <w:p w14:paraId="24388C62"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2019</w:t>
            </w:r>
          </w:p>
        </w:tc>
        <w:tc>
          <w:tcPr>
            <w:tcW w:w="1134" w:type="dxa"/>
          </w:tcPr>
          <w:p w14:paraId="286E52B6"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2020</w:t>
            </w:r>
          </w:p>
        </w:tc>
        <w:tc>
          <w:tcPr>
            <w:tcW w:w="1134" w:type="dxa"/>
          </w:tcPr>
          <w:p w14:paraId="2B67D20E"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2021</w:t>
            </w:r>
          </w:p>
        </w:tc>
      </w:tr>
      <w:tr w:rsidR="0088112C" w:rsidRPr="004D53EC" w14:paraId="00D1E65F" w14:textId="77777777" w:rsidTr="005760FF">
        <w:trPr>
          <w:trHeight w:val="222"/>
        </w:trPr>
        <w:tc>
          <w:tcPr>
            <w:tcW w:w="6804" w:type="dxa"/>
          </w:tcPr>
          <w:p w14:paraId="0F322C1E"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Shpenzimet publike për arsimin, në raport me PBB-në (%)</w:t>
            </w:r>
          </w:p>
        </w:tc>
        <w:tc>
          <w:tcPr>
            <w:tcW w:w="568" w:type="dxa"/>
          </w:tcPr>
          <w:p w14:paraId="12D344B5" w14:textId="77777777" w:rsidR="0088112C" w:rsidRPr="004D53EC" w:rsidRDefault="0088112C" w:rsidP="005760FF">
            <w:pPr>
              <w:pStyle w:val="TableParagraph"/>
              <w:ind w:left="0"/>
              <w:jc w:val="left"/>
              <w:rPr>
                <w:sz w:val="14"/>
                <w:lang w:val="sq-AL"/>
              </w:rPr>
            </w:pPr>
          </w:p>
        </w:tc>
        <w:tc>
          <w:tcPr>
            <w:tcW w:w="1134" w:type="dxa"/>
          </w:tcPr>
          <w:p w14:paraId="4DFF8402" w14:textId="77777777" w:rsidR="0088112C" w:rsidRPr="004D53EC" w:rsidRDefault="0088112C" w:rsidP="005760FF">
            <w:pPr>
              <w:pStyle w:val="TableParagraph"/>
              <w:spacing w:line="184" w:lineRule="exact"/>
              <w:ind w:left="335"/>
              <w:jc w:val="left"/>
              <w:rPr>
                <w:rFonts w:ascii="Arial MT"/>
                <w:sz w:val="16"/>
                <w:lang w:val="sq-AL"/>
              </w:rPr>
            </w:pPr>
            <w:r w:rsidRPr="004D53EC">
              <w:rPr>
                <w:sz w:val="16"/>
                <w:lang w:val="sq-AL" w:bidi="sq-AL"/>
              </w:rPr>
              <w:t xml:space="preserve">3.4 </w:t>
            </w:r>
            <w:proofErr w:type="spellStart"/>
            <w:r w:rsidRPr="004D53EC">
              <w:rPr>
                <w:sz w:val="16"/>
                <w:lang w:val="sq-AL" w:bidi="sq-AL"/>
              </w:rPr>
              <w:t>sw</w:t>
            </w:r>
            <w:proofErr w:type="spellEnd"/>
          </w:p>
        </w:tc>
        <w:tc>
          <w:tcPr>
            <w:tcW w:w="1134" w:type="dxa"/>
          </w:tcPr>
          <w:p w14:paraId="5E7819AA" w14:textId="77777777" w:rsidR="0088112C" w:rsidRPr="004D53EC" w:rsidRDefault="0088112C" w:rsidP="005760FF">
            <w:pPr>
              <w:pStyle w:val="TableParagraph"/>
              <w:spacing w:line="184" w:lineRule="exact"/>
              <w:ind w:left="335"/>
              <w:jc w:val="left"/>
              <w:rPr>
                <w:rFonts w:ascii="Arial MT"/>
                <w:sz w:val="16"/>
                <w:lang w:val="sq-AL"/>
              </w:rPr>
            </w:pPr>
            <w:r w:rsidRPr="004D53EC">
              <w:rPr>
                <w:sz w:val="16"/>
                <w:lang w:val="sq-AL" w:bidi="sq-AL"/>
              </w:rPr>
              <w:t xml:space="preserve">3.1 </w:t>
            </w:r>
            <w:proofErr w:type="spellStart"/>
            <w:r w:rsidRPr="004D53EC">
              <w:rPr>
                <w:sz w:val="16"/>
                <w:lang w:val="sq-AL" w:bidi="sq-AL"/>
              </w:rPr>
              <w:t>sw</w:t>
            </w:r>
            <w:proofErr w:type="spellEnd"/>
          </w:p>
        </w:tc>
        <w:tc>
          <w:tcPr>
            <w:tcW w:w="1134" w:type="dxa"/>
          </w:tcPr>
          <w:p w14:paraId="407D7FE6" w14:textId="77777777" w:rsidR="0088112C" w:rsidRPr="004D53EC" w:rsidRDefault="0088112C" w:rsidP="005760FF">
            <w:pPr>
              <w:pStyle w:val="TableParagraph"/>
              <w:spacing w:line="184" w:lineRule="exact"/>
              <w:ind w:left="290"/>
              <w:jc w:val="left"/>
              <w:rPr>
                <w:rFonts w:ascii="Arial MT"/>
                <w:sz w:val="16"/>
                <w:lang w:val="sq-AL"/>
              </w:rPr>
            </w:pPr>
            <w:r w:rsidRPr="004D53EC">
              <w:rPr>
                <w:sz w:val="16"/>
                <w:lang w:val="sq-AL" w:bidi="sq-AL"/>
              </w:rPr>
              <w:t xml:space="preserve">3.2 </w:t>
            </w:r>
            <w:proofErr w:type="spellStart"/>
            <w:r w:rsidRPr="004D53EC">
              <w:rPr>
                <w:sz w:val="16"/>
                <w:lang w:val="sq-AL" w:bidi="sq-AL"/>
              </w:rPr>
              <w:t>psw</w:t>
            </w:r>
            <w:proofErr w:type="spellEnd"/>
          </w:p>
        </w:tc>
        <w:tc>
          <w:tcPr>
            <w:tcW w:w="1134" w:type="dxa"/>
          </w:tcPr>
          <w:p w14:paraId="29A07F09" w14:textId="77777777" w:rsidR="0088112C" w:rsidRPr="004D53EC" w:rsidRDefault="0088112C" w:rsidP="005760FF">
            <w:pPr>
              <w:pStyle w:val="TableParagraph"/>
              <w:spacing w:line="184" w:lineRule="exact"/>
              <w:ind w:left="335"/>
              <w:jc w:val="left"/>
              <w:rPr>
                <w:rFonts w:ascii="Arial MT"/>
                <w:sz w:val="16"/>
                <w:lang w:val="sq-AL"/>
              </w:rPr>
            </w:pPr>
            <w:r w:rsidRPr="004D53EC">
              <w:rPr>
                <w:sz w:val="16"/>
                <w:lang w:val="sq-AL" w:bidi="sq-AL"/>
              </w:rPr>
              <w:t xml:space="preserve">3.3 </w:t>
            </w:r>
            <w:proofErr w:type="spellStart"/>
            <w:r w:rsidRPr="004D53EC">
              <w:rPr>
                <w:sz w:val="16"/>
                <w:lang w:val="sq-AL" w:bidi="sq-AL"/>
              </w:rPr>
              <w:t>sw</w:t>
            </w:r>
            <w:proofErr w:type="spellEnd"/>
          </w:p>
        </w:tc>
        <w:tc>
          <w:tcPr>
            <w:tcW w:w="1134" w:type="dxa"/>
          </w:tcPr>
          <w:p w14:paraId="0D364601" w14:textId="77777777" w:rsidR="0088112C" w:rsidRPr="004D53EC" w:rsidRDefault="0088112C" w:rsidP="005760FF">
            <w:pPr>
              <w:pStyle w:val="TableParagraph"/>
              <w:spacing w:line="184" w:lineRule="exact"/>
              <w:ind w:left="290"/>
              <w:jc w:val="left"/>
              <w:rPr>
                <w:rFonts w:ascii="Arial MT"/>
                <w:sz w:val="16"/>
                <w:lang w:val="sq-AL"/>
              </w:rPr>
            </w:pPr>
            <w:r w:rsidRPr="004D53EC">
              <w:rPr>
                <w:sz w:val="16"/>
                <w:lang w:val="sq-AL" w:bidi="sq-AL"/>
              </w:rPr>
              <w:t xml:space="preserve">3.3 </w:t>
            </w:r>
            <w:proofErr w:type="spellStart"/>
            <w:r w:rsidRPr="004D53EC">
              <w:rPr>
                <w:sz w:val="16"/>
                <w:lang w:val="sq-AL" w:bidi="sq-AL"/>
              </w:rPr>
              <w:t>psw</w:t>
            </w:r>
            <w:proofErr w:type="spellEnd"/>
          </w:p>
        </w:tc>
        <w:tc>
          <w:tcPr>
            <w:tcW w:w="1134" w:type="dxa"/>
          </w:tcPr>
          <w:p w14:paraId="76283DA5" w14:textId="77777777" w:rsidR="0088112C" w:rsidRPr="004D53EC" w:rsidRDefault="0088112C" w:rsidP="005760FF">
            <w:pPr>
              <w:pStyle w:val="TableParagraph"/>
              <w:spacing w:line="184" w:lineRule="exact"/>
              <w:ind w:left="335"/>
              <w:jc w:val="left"/>
              <w:rPr>
                <w:rFonts w:ascii="Arial MT"/>
                <w:sz w:val="16"/>
                <w:lang w:val="sq-AL"/>
              </w:rPr>
            </w:pPr>
            <w:r w:rsidRPr="004D53EC">
              <w:rPr>
                <w:sz w:val="16"/>
                <w:lang w:val="sq-AL" w:bidi="sq-AL"/>
              </w:rPr>
              <w:t xml:space="preserve">3.1 </w:t>
            </w:r>
            <w:proofErr w:type="spellStart"/>
            <w:r w:rsidRPr="004D53EC">
              <w:rPr>
                <w:sz w:val="16"/>
                <w:lang w:val="sq-AL" w:bidi="sq-AL"/>
              </w:rPr>
              <w:t>sw</w:t>
            </w:r>
            <w:proofErr w:type="spellEnd"/>
          </w:p>
        </w:tc>
      </w:tr>
      <w:tr w:rsidR="0088112C" w:rsidRPr="004D53EC" w14:paraId="540BB997" w14:textId="77777777" w:rsidTr="005760FF">
        <w:trPr>
          <w:trHeight w:val="222"/>
        </w:trPr>
        <w:tc>
          <w:tcPr>
            <w:tcW w:w="6804" w:type="dxa"/>
          </w:tcPr>
          <w:p w14:paraId="0F7F6EB5"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 Shpenzimet e brendshme bruto për R&amp;D në raport me PBB-në (%)</w:t>
            </w:r>
          </w:p>
        </w:tc>
        <w:tc>
          <w:tcPr>
            <w:tcW w:w="568" w:type="dxa"/>
          </w:tcPr>
          <w:p w14:paraId="26C6BEF8" w14:textId="77777777" w:rsidR="0088112C" w:rsidRPr="004D53EC" w:rsidRDefault="0088112C" w:rsidP="005760FF">
            <w:pPr>
              <w:pStyle w:val="TableParagraph"/>
              <w:ind w:left="0"/>
              <w:jc w:val="left"/>
              <w:rPr>
                <w:sz w:val="14"/>
                <w:lang w:val="sq-AL"/>
              </w:rPr>
            </w:pPr>
          </w:p>
        </w:tc>
        <w:tc>
          <w:tcPr>
            <w:tcW w:w="1134" w:type="dxa"/>
          </w:tcPr>
          <w:p w14:paraId="3198EB53"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5288AC53"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6047D430"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3EA42A7A"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3AFE5985"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4ABD1CEE"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r>
    </w:tbl>
    <w:p w14:paraId="68B91CC5" w14:textId="77777777" w:rsidR="0088112C" w:rsidRPr="004D53EC" w:rsidRDefault="0088112C" w:rsidP="0088112C">
      <w:pPr>
        <w:pStyle w:val="BodyText"/>
        <w:spacing w:before="2"/>
        <w:ind w:left="0" w:right="0"/>
        <w:jc w:val="left"/>
        <w:rPr>
          <w:sz w:val="5"/>
          <w:lang w:val="sq-AL"/>
        </w:r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04"/>
        <w:gridCol w:w="568"/>
        <w:gridCol w:w="1134"/>
        <w:gridCol w:w="1134"/>
        <w:gridCol w:w="1134"/>
        <w:gridCol w:w="1134"/>
        <w:gridCol w:w="1134"/>
        <w:gridCol w:w="1134"/>
      </w:tblGrid>
      <w:tr w:rsidR="0088112C" w:rsidRPr="004D53EC" w14:paraId="55AE6F65" w14:textId="77777777" w:rsidTr="005760FF">
        <w:trPr>
          <w:trHeight w:val="396"/>
        </w:trPr>
        <w:tc>
          <w:tcPr>
            <w:tcW w:w="6804" w:type="dxa"/>
          </w:tcPr>
          <w:p w14:paraId="2091AE40"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Shpërndarjet ose shpenzimet e buxhetit të Qeverisë për R&amp;D (GBAORD), si përqindje e PBB-së (%)</w:t>
            </w:r>
          </w:p>
          <w:p w14:paraId="0FD68A52" w14:textId="77777777" w:rsidR="0088112C" w:rsidRPr="004D53EC" w:rsidRDefault="0088112C" w:rsidP="005760FF">
            <w:pPr>
              <w:pStyle w:val="TableParagraph"/>
              <w:spacing w:before="14" w:line="178" w:lineRule="exact"/>
              <w:ind w:left="107"/>
              <w:jc w:val="left"/>
              <w:rPr>
                <w:rFonts w:ascii="Arial MT"/>
                <w:sz w:val="16"/>
                <w:lang w:val="sq-AL"/>
              </w:rPr>
            </w:pPr>
            <w:r w:rsidRPr="004D53EC">
              <w:rPr>
                <w:spacing w:val="-5"/>
                <w:sz w:val="16"/>
                <w:lang w:val="sq-AL" w:bidi="sq-AL"/>
              </w:rPr>
              <w:t>(%)</w:t>
            </w:r>
          </w:p>
        </w:tc>
        <w:tc>
          <w:tcPr>
            <w:tcW w:w="568" w:type="dxa"/>
          </w:tcPr>
          <w:p w14:paraId="348520B1" w14:textId="77777777" w:rsidR="0088112C" w:rsidRPr="004D53EC" w:rsidRDefault="0088112C" w:rsidP="005760FF">
            <w:pPr>
              <w:pStyle w:val="TableParagraph"/>
              <w:ind w:left="0"/>
              <w:jc w:val="left"/>
              <w:rPr>
                <w:sz w:val="14"/>
                <w:lang w:val="sq-AL"/>
              </w:rPr>
            </w:pPr>
          </w:p>
        </w:tc>
        <w:tc>
          <w:tcPr>
            <w:tcW w:w="1134" w:type="dxa"/>
          </w:tcPr>
          <w:p w14:paraId="7243E2EA"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31652930"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10E9EBC9"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79072D39"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235ECE2F"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071898E6"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r>
      <w:tr w:rsidR="0088112C" w:rsidRPr="004D53EC" w14:paraId="437A7CEE" w14:textId="77777777" w:rsidTr="005760FF">
        <w:trPr>
          <w:trHeight w:val="223"/>
        </w:trPr>
        <w:tc>
          <w:tcPr>
            <w:tcW w:w="6804" w:type="dxa"/>
          </w:tcPr>
          <w:p w14:paraId="1FF4463E"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Përqindja e familjeve që kanë qasje në internet në shtëpi (%)</w:t>
            </w:r>
          </w:p>
        </w:tc>
        <w:tc>
          <w:tcPr>
            <w:tcW w:w="568" w:type="dxa"/>
          </w:tcPr>
          <w:p w14:paraId="7937761D" w14:textId="77777777" w:rsidR="0088112C" w:rsidRPr="004D53EC" w:rsidRDefault="0088112C" w:rsidP="005760FF">
            <w:pPr>
              <w:pStyle w:val="TableParagraph"/>
              <w:ind w:left="0"/>
              <w:jc w:val="left"/>
              <w:rPr>
                <w:sz w:val="14"/>
                <w:lang w:val="sq-AL"/>
              </w:rPr>
            </w:pPr>
          </w:p>
        </w:tc>
        <w:tc>
          <w:tcPr>
            <w:tcW w:w="1134" w:type="dxa"/>
          </w:tcPr>
          <w:p w14:paraId="5FBB1C36"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28363031"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41E382D8" w14:textId="77777777" w:rsidR="0088112C" w:rsidRPr="004D53EC" w:rsidRDefault="0088112C" w:rsidP="005760FF">
            <w:pPr>
              <w:pStyle w:val="TableParagraph"/>
              <w:spacing w:before="1"/>
              <w:rPr>
                <w:rFonts w:ascii="Arial MT"/>
                <w:sz w:val="16"/>
                <w:lang w:val="sq-AL"/>
              </w:rPr>
            </w:pPr>
            <w:r w:rsidRPr="004D53EC">
              <w:rPr>
                <w:spacing w:val="-4"/>
                <w:sz w:val="16"/>
                <w:lang w:val="sq-AL" w:bidi="sq-AL"/>
              </w:rPr>
              <w:t>83.6</w:t>
            </w:r>
          </w:p>
        </w:tc>
        <w:tc>
          <w:tcPr>
            <w:tcW w:w="1134" w:type="dxa"/>
          </w:tcPr>
          <w:p w14:paraId="501F7767" w14:textId="77777777" w:rsidR="0088112C" w:rsidRPr="004D53EC" w:rsidRDefault="0088112C" w:rsidP="005760FF">
            <w:pPr>
              <w:pStyle w:val="TableParagraph"/>
              <w:spacing w:before="1"/>
              <w:rPr>
                <w:rFonts w:ascii="Arial MT"/>
                <w:sz w:val="16"/>
                <w:lang w:val="sq-AL"/>
              </w:rPr>
            </w:pPr>
            <w:r w:rsidRPr="004D53EC">
              <w:rPr>
                <w:spacing w:val="-4"/>
                <w:sz w:val="16"/>
                <w:lang w:val="sq-AL" w:bidi="sq-AL"/>
              </w:rPr>
              <w:t>85.5</w:t>
            </w:r>
          </w:p>
        </w:tc>
        <w:tc>
          <w:tcPr>
            <w:tcW w:w="1134" w:type="dxa"/>
          </w:tcPr>
          <w:p w14:paraId="62348993" w14:textId="77777777" w:rsidR="0088112C" w:rsidRPr="004D53EC" w:rsidRDefault="0088112C" w:rsidP="005760FF">
            <w:pPr>
              <w:pStyle w:val="TableParagraph"/>
              <w:spacing w:before="1"/>
              <w:rPr>
                <w:rFonts w:ascii="Arial MT"/>
                <w:sz w:val="16"/>
                <w:lang w:val="sq-AL"/>
              </w:rPr>
            </w:pPr>
            <w:r w:rsidRPr="004D53EC">
              <w:rPr>
                <w:spacing w:val="-4"/>
                <w:sz w:val="16"/>
                <w:lang w:val="sq-AL" w:bidi="sq-AL"/>
              </w:rPr>
              <w:t>87.2</w:t>
            </w:r>
          </w:p>
        </w:tc>
        <w:tc>
          <w:tcPr>
            <w:tcW w:w="1134" w:type="dxa"/>
          </w:tcPr>
          <w:p w14:paraId="148EC078" w14:textId="77777777" w:rsidR="0088112C" w:rsidRPr="004D53EC" w:rsidRDefault="0088112C" w:rsidP="005760FF">
            <w:pPr>
              <w:pStyle w:val="TableParagraph"/>
              <w:spacing w:before="1"/>
              <w:rPr>
                <w:rFonts w:ascii="Arial MT"/>
                <w:sz w:val="16"/>
                <w:lang w:val="sq-AL"/>
              </w:rPr>
            </w:pPr>
            <w:r w:rsidRPr="004D53EC">
              <w:rPr>
                <w:spacing w:val="-4"/>
                <w:sz w:val="16"/>
                <w:lang w:val="sq-AL" w:bidi="sq-AL"/>
              </w:rPr>
              <w:t>90.9</w:t>
            </w:r>
          </w:p>
        </w:tc>
      </w:tr>
      <w:tr w:rsidR="0088112C" w:rsidRPr="004D53EC" w14:paraId="1E4691C8" w14:textId="77777777" w:rsidTr="005760FF">
        <w:trPr>
          <w:trHeight w:val="222"/>
        </w:trPr>
        <w:tc>
          <w:tcPr>
            <w:tcW w:w="14176" w:type="dxa"/>
            <w:gridSpan w:val="8"/>
            <w:tcBorders>
              <w:left w:val="nil"/>
              <w:bottom w:val="nil"/>
              <w:right w:val="nil"/>
            </w:tcBorders>
          </w:tcPr>
          <w:p w14:paraId="4D179F49" w14:textId="77777777" w:rsidR="0088112C" w:rsidRPr="004D53EC" w:rsidRDefault="0088112C" w:rsidP="005760FF">
            <w:pPr>
              <w:pStyle w:val="TableParagraph"/>
              <w:ind w:left="0"/>
              <w:jc w:val="left"/>
              <w:rPr>
                <w:sz w:val="14"/>
                <w:lang w:val="sq-AL"/>
              </w:rPr>
            </w:pPr>
          </w:p>
        </w:tc>
      </w:tr>
      <w:tr w:rsidR="0088112C" w:rsidRPr="004D53EC" w14:paraId="321C1AA6" w14:textId="77777777" w:rsidTr="005760FF">
        <w:trPr>
          <w:trHeight w:val="222"/>
        </w:trPr>
        <w:tc>
          <w:tcPr>
            <w:tcW w:w="6804" w:type="dxa"/>
            <w:tcBorders>
              <w:top w:val="nil"/>
              <w:left w:val="nil"/>
            </w:tcBorders>
          </w:tcPr>
          <w:p w14:paraId="14536C77" w14:textId="77777777" w:rsidR="0088112C" w:rsidRPr="004D53EC" w:rsidRDefault="0088112C" w:rsidP="005760FF">
            <w:pPr>
              <w:pStyle w:val="TableParagraph"/>
              <w:spacing w:before="1"/>
              <w:ind w:left="115"/>
              <w:jc w:val="left"/>
              <w:rPr>
                <w:rFonts w:ascii="Arial"/>
                <w:b/>
                <w:sz w:val="16"/>
                <w:lang w:val="sq-AL"/>
              </w:rPr>
            </w:pPr>
            <w:r w:rsidRPr="004D53EC">
              <w:rPr>
                <w:b/>
                <w:spacing w:val="-2"/>
                <w:sz w:val="16"/>
                <w:lang w:val="sq-AL" w:bidi="sq-AL"/>
              </w:rPr>
              <w:t>Mjedisi</w:t>
            </w:r>
          </w:p>
        </w:tc>
        <w:tc>
          <w:tcPr>
            <w:tcW w:w="568" w:type="dxa"/>
          </w:tcPr>
          <w:p w14:paraId="5F74DDA8" w14:textId="77777777" w:rsidR="0088112C" w:rsidRPr="004D53EC" w:rsidRDefault="0088112C" w:rsidP="005760FF">
            <w:pPr>
              <w:pStyle w:val="TableParagraph"/>
              <w:spacing w:before="1"/>
              <w:ind w:left="11"/>
              <w:rPr>
                <w:rFonts w:ascii="Arial MT"/>
                <w:sz w:val="16"/>
                <w:lang w:val="sq-AL"/>
              </w:rPr>
            </w:pPr>
            <w:r w:rsidRPr="004D53EC">
              <w:rPr>
                <w:spacing w:val="-4"/>
                <w:sz w:val="16"/>
                <w:lang w:val="sq-AL" w:bidi="sq-AL"/>
              </w:rPr>
              <w:t>Shënime</w:t>
            </w:r>
          </w:p>
        </w:tc>
        <w:tc>
          <w:tcPr>
            <w:tcW w:w="1134" w:type="dxa"/>
          </w:tcPr>
          <w:p w14:paraId="21685A5D"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2010</w:t>
            </w:r>
          </w:p>
        </w:tc>
        <w:tc>
          <w:tcPr>
            <w:tcW w:w="1134" w:type="dxa"/>
          </w:tcPr>
          <w:p w14:paraId="3B5F5D94"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2017</w:t>
            </w:r>
          </w:p>
        </w:tc>
        <w:tc>
          <w:tcPr>
            <w:tcW w:w="1134" w:type="dxa"/>
          </w:tcPr>
          <w:p w14:paraId="5495CEA8"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2018</w:t>
            </w:r>
          </w:p>
        </w:tc>
        <w:tc>
          <w:tcPr>
            <w:tcW w:w="1134" w:type="dxa"/>
          </w:tcPr>
          <w:p w14:paraId="1225DF59"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2019</w:t>
            </w:r>
          </w:p>
        </w:tc>
        <w:tc>
          <w:tcPr>
            <w:tcW w:w="1134" w:type="dxa"/>
          </w:tcPr>
          <w:p w14:paraId="51F6046A"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2020</w:t>
            </w:r>
          </w:p>
        </w:tc>
        <w:tc>
          <w:tcPr>
            <w:tcW w:w="1134" w:type="dxa"/>
          </w:tcPr>
          <w:p w14:paraId="6614415B"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2021</w:t>
            </w:r>
          </w:p>
        </w:tc>
      </w:tr>
      <w:tr w:rsidR="0088112C" w:rsidRPr="004D53EC" w14:paraId="764726C2" w14:textId="77777777" w:rsidTr="005760FF">
        <w:trPr>
          <w:trHeight w:val="223"/>
        </w:trPr>
        <w:tc>
          <w:tcPr>
            <w:tcW w:w="6804" w:type="dxa"/>
          </w:tcPr>
          <w:p w14:paraId="7B371CEE"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*Indeksi i emetimit të gazit serrë, ekuivalent CO2 (1990 = 100)</w:t>
            </w:r>
          </w:p>
        </w:tc>
        <w:tc>
          <w:tcPr>
            <w:tcW w:w="568" w:type="dxa"/>
          </w:tcPr>
          <w:p w14:paraId="0C5DD35F" w14:textId="77777777" w:rsidR="0088112C" w:rsidRPr="004D53EC" w:rsidRDefault="0088112C" w:rsidP="005760FF">
            <w:pPr>
              <w:pStyle w:val="TableParagraph"/>
              <w:ind w:left="0"/>
              <w:jc w:val="left"/>
              <w:rPr>
                <w:sz w:val="14"/>
                <w:lang w:val="sq-AL"/>
              </w:rPr>
            </w:pPr>
          </w:p>
        </w:tc>
        <w:tc>
          <w:tcPr>
            <w:tcW w:w="1134" w:type="dxa"/>
          </w:tcPr>
          <w:p w14:paraId="06828F33"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59BC4708"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26FDDDE4"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74364173"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6079DFDF"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3E8E5B08"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r>
      <w:tr w:rsidR="0088112C" w:rsidRPr="004D53EC" w14:paraId="7C64FAE0" w14:textId="77777777" w:rsidTr="005760FF">
        <w:trPr>
          <w:trHeight w:val="396"/>
        </w:trPr>
        <w:tc>
          <w:tcPr>
            <w:tcW w:w="6804" w:type="dxa"/>
          </w:tcPr>
          <w:p w14:paraId="22A6CD0D"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Intensiteti i energjisë së ekonomisë (kg naftë ekuivalente për 1 000 euro PPB me çmime konstante të vitit 2015)</w:t>
            </w:r>
          </w:p>
          <w:p w14:paraId="741526D7" w14:textId="77777777" w:rsidR="0088112C" w:rsidRPr="004D53EC" w:rsidRDefault="0088112C" w:rsidP="005760FF">
            <w:pPr>
              <w:pStyle w:val="TableParagraph"/>
              <w:spacing w:before="15" w:line="178" w:lineRule="exact"/>
              <w:ind w:left="107"/>
              <w:jc w:val="left"/>
              <w:rPr>
                <w:rFonts w:ascii="Arial MT"/>
                <w:sz w:val="16"/>
                <w:lang w:val="sq-AL"/>
              </w:rPr>
            </w:pPr>
          </w:p>
        </w:tc>
        <w:tc>
          <w:tcPr>
            <w:tcW w:w="568" w:type="dxa"/>
          </w:tcPr>
          <w:p w14:paraId="6A7FEC01" w14:textId="77777777" w:rsidR="0088112C" w:rsidRPr="004D53EC" w:rsidRDefault="0088112C" w:rsidP="005760FF">
            <w:pPr>
              <w:pStyle w:val="TableParagraph"/>
              <w:ind w:left="0"/>
              <w:jc w:val="left"/>
              <w:rPr>
                <w:sz w:val="14"/>
                <w:lang w:val="sq-AL"/>
              </w:rPr>
            </w:pPr>
          </w:p>
        </w:tc>
        <w:tc>
          <w:tcPr>
            <w:tcW w:w="1134" w:type="dxa"/>
          </w:tcPr>
          <w:p w14:paraId="488DE3C4" w14:textId="77777777" w:rsidR="0088112C" w:rsidRPr="004D53EC" w:rsidRDefault="0088112C" w:rsidP="005760FF">
            <w:pPr>
              <w:pStyle w:val="TableParagraph"/>
              <w:spacing w:line="184" w:lineRule="exact"/>
              <w:ind w:right="3"/>
              <w:rPr>
                <w:rFonts w:ascii="Arial MT"/>
                <w:sz w:val="16"/>
                <w:lang w:val="sq-AL"/>
              </w:rPr>
            </w:pPr>
            <w:r w:rsidRPr="004D53EC">
              <w:rPr>
                <w:spacing w:val="-2"/>
                <w:sz w:val="16"/>
                <w:lang w:val="sq-AL" w:bidi="sq-AL"/>
              </w:rPr>
              <w:t>229.1</w:t>
            </w:r>
          </w:p>
        </w:tc>
        <w:tc>
          <w:tcPr>
            <w:tcW w:w="1134" w:type="dxa"/>
          </w:tcPr>
          <w:p w14:paraId="0667A448" w14:textId="77777777" w:rsidR="0088112C" w:rsidRPr="004D53EC" w:rsidRDefault="0088112C" w:rsidP="005760FF">
            <w:pPr>
              <w:pStyle w:val="TableParagraph"/>
              <w:spacing w:line="184" w:lineRule="exact"/>
              <w:ind w:right="3"/>
              <w:rPr>
                <w:rFonts w:ascii="Arial MT"/>
                <w:sz w:val="16"/>
                <w:lang w:val="sq-AL"/>
              </w:rPr>
            </w:pPr>
            <w:r w:rsidRPr="004D53EC">
              <w:rPr>
                <w:spacing w:val="-2"/>
                <w:sz w:val="16"/>
                <w:lang w:val="sq-AL" w:bidi="sq-AL"/>
              </w:rPr>
              <w:t>219.2</w:t>
            </w:r>
          </w:p>
        </w:tc>
        <w:tc>
          <w:tcPr>
            <w:tcW w:w="1134" w:type="dxa"/>
          </w:tcPr>
          <w:p w14:paraId="51161BF9" w14:textId="77777777" w:rsidR="0088112C" w:rsidRPr="004D53EC" w:rsidRDefault="0088112C" w:rsidP="005760FF">
            <w:pPr>
              <w:pStyle w:val="TableParagraph"/>
              <w:spacing w:line="184" w:lineRule="exact"/>
              <w:ind w:right="3"/>
              <w:rPr>
                <w:rFonts w:ascii="Arial MT"/>
                <w:sz w:val="16"/>
                <w:lang w:val="sq-AL"/>
              </w:rPr>
            </w:pPr>
            <w:r w:rsidRPr="004D53EC">
              <w:rPr>
                <w:spacing w:val="-2"/>
                <w:sz w:val="16"/>
                <w:lang w:val="sq-AL" w:bidi="sq-AL"/>
              </w:rPr>
              <w:t>209.4</w:t>
            </w:r>
          </w:p>
        </w:tc>
        <w:tc>
          <w:tcPr>
            <w:tcW w:w="1134" w:type="dxa"/>
          </w:tcPr>
          <w:p w14:paraId="583BF3AD" w14:textId="77777777" w:rsidR="0088112C" w:rsidRPr="004D53EC" w:rsidRDefault="0088112C" w:rsidP="005760FF">
            <w:pPr>
              <w:pStyle w:val="TableParagraph"/>
              <w:spacing w:line="184" w:lineRule="exact"/>
              <w:ind w:right="3"/>
              <w:rPr>
                <w:rFonts w:ascii="Arial MT"/>
                <w:sz w:val="16"/>
                <w:lang w:val="sq-AL"/>
              </w:rPr>
            </w:pPr>
            <w:r w:rsidRPr="004D53EC">
              <w:rPr>
                <w:spacing w:val="-2"/>
                <w:sz w:val="16"/>
                <w:lang w:val="sq-AL" w:bidi="sq-AL"/>
              </w:rPr>
              <w:t>204.2</w:t>
            </w:r>
          </w:p>
        </w:tc>
        <w:tc>
          <w:tcPr>
            <w:tcW w:w="1134" w:type="dxa"/>
          </w:tcPr>
          <w:p w14:paraId="0F0013FC" w14:textId="77777777" w:rsidR="0088112C" w:rsidRPr="004D53EC" w:rsidRDefault="0088112C" w:rsidP="005760FF">
            <w:pPr>
              <w:pStyle w:val="TableParagraph"/>
              <w:spacing w:line="184" w:lineRule="exact"/>
              <w:ind w:right="3"/>
              <w:rPr>
                <w:rFonts w:ascii="Arial MT"/>
                <w:sz w:val="16"/>
                <w:lang w:val="sq-AL"/>
              </w:rPr>
            </w:pPr>
            <w:r w:rsidRPr="004D53EC">
              <w:rPr>
                <w:spacing w:val="-2"/>
                <w:sz w:val="16"/>
                <w:lang w:val="sq-AL" w:bidi="sq-AL"/>
              </w:rPr>
              <w:t>196.3</w:t>
            </w:r>
          </w:p>
        </w:tc>
        <w:tc>
          <w:tcPr>
            <w:tcW w:w="1134" w:type="dxa"/>
          </w:tcPr>
          <w:p w14:paraId="110B5FC0"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r>
      <w:tr w:rsidR="0088112C" w:rsidRPr="004D53EC" w14:paraId="47BF4C2E" w14:textId="77777777" w:rsidTr="005760FF">
        <w:trPr>
          <w:trHeight w:val="222"/>
        </w:trPr>
        <w:tc>
          <w:tcPr>
            <w:tcW w:w="6804" w:type="dxa"/>
          </w:tcPr>
          <w:p w14:paraId="48F95112"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 xml:space="preserve">Energjia elektrike e prodhuar nga burimet e </w:t>
            </w:r>
            <w:proofErr w:type="spellStart"/>
            <w:r w:rsidRPr="004D53EC">
              <w:rPr>
                <w:sz w:val="16"/>
                <w:lang w:val="sq-AL" w:bidi="sq-AL"/>
              </w:rPr>
              <w:t>rinovueshme</w:t>
            </w:r>
            <w:proofErr w:type="spellEnd"/>
            <w:r w:rsidRPr="004D53EC">
              <w:rPr>
                <w:sz w:val="16"/>
                <w:lang w:val="sq-AL" w:bidi="sq-AL"/>
              </w:rPr>
              <w:t xml:space="preserve"> në raport me konsumin bruto të energjisë elektrike (%)</w:t>
            </w:r>
          </w:p>
        </w:tc>
        <w:tc>
          <w:tcPr>
            <w:tcW w:w="568" w:type="dxa"/>
          </w:tcPr>
          <w:p w14:paraId="1FA7F662" w14:textId="77777777" w:rsidR="0088112C" w:rsidRPr="004D53EC" w:rsidRDefault="0088112C" w:rsidP="005760FF">
            <w:pPr>
              <w:pStyle w:val="TableParagraph"/>
              <w:ind w:left="0"/>
              <w:jc w:val="left"/>
              <w:rPr>
                <w:sz w:val="14"/>
                <w:lang w:val="sq-AL"/>
              </w:rPr>
            </w:pPr>
          </w:p>
        </w:tc>
        <w:tc>
          <w:tcPr>
            <w:tcW w:w="1134" w:type="dxa"/>
          </w:tcPr>
          <w:p w14:paraId="09A3D516" w14:textId="77777777" w:rsidR="0088112C" w:rsidRPr="004D53EC" w:rsidRDefault="0088112C" w:rsidP="005760FF">
            <w:pPr>
              <w:pStyle w:val="TableParagraph"/>
              <w:spacing w:before="1"/>
              <w:rPr>
                <w:rFonts w:ascii="Arial MT"/>
                <w:sz w:val="16"/>
                <w:lang w:val="sq-AL"/>
              </w:rPr>
            </w:pPr>
            <w:r w:rsidRPr="004D53EC">
              <w:rPr>
                <w:spacing w:val="-4"/>
                <w:sz w:val="16"/>
                <w:lang w:val="sq-AL" w:bidi="sq-AL"/>
              </w:rPr>
              <w:t>74.6</w:t>
            </w:r>
          </w:p>
        </w:tc>
        <w:tc>
          <w:tcPr>
            <w:tcW w:w="1134" w:type="dxa"/>
          </w:tcPr>
          <w:p w14:paraId="6D326B68" w14:textId="77777777" w:rsidR="0088112C" w:rsidRPr="004D53EC" w:rsidRDefault="0088112C" w:rsidP="005760FF">
            <w:pPr>
              <w:pStyle w:val="TableParagraph"/>
              <w:spacing w:before="1"/>
              <w:rPr>
                <w:rFonts w:ascii="Arial MT"/>
                <w:sz w:val="16"/>
                <w:lang w:val="sq-AL"/>
              </w:rPr>
            </w:pPr>
            <w:r w:rsidRPr="004D53EC">
              <w:rPr>
                <w:spacing w:val="-4"/>
                <w:sz w:val="16"/>
                <w:lang w:val="sq-AL" w:bidi="sq-AL"/>
              </w:rPr>
              <w:t>91.0</w:t>
            </w:r>
          </w:p>
        </w:tc>
        <w:tc>
          <w:tcPr>
            <w:tcW w:w="1134" w:type="dxa"/>
          </w:tcPr>
          <w:p w14:paraId="424F5A62" w14:textId="77777777" w:rsidR="0088112C" w:rsidRPr="004D53EC" w:rsidRDefault="0088112C" w:rsidP="005760FF">
            <w:pPr>
              <w:pStyle w:val="TableParagraph"/>
              <w:spacing w:before="1"/>
              <w:rPr>
                <w:rFonts w:ascii="Arial MT"/>
                <w:sz w:val="16"/>
                <w:lang w:val="sq-AL"/>
              </w:rPr>
            </w:pPr>
            <w:r w:rsidRPr="004D53EC">
              <w:rPr>
                <w:spacing w:val="-4"/>
                <w:sz w:val="16"/>
                <w:lang w:val="sq-AL" w:bidi="sq-AL"/>
              </w:rPr>
              <w:t>92.5</w:t>
            </w:r>
          </w:p>
        </w:tc>
        <w:tc>
          <w:tcPr>
            <w:tcW w:w="1134" w:type="dxa"/>
          </w:tcPr>
          <w:p w14:paraId="794B4720" w14:textId="77777777" w:rsidR="0088112C" w:rsidRPr="004D53EC" w:rsidRDefault="0088112C" w:rsidP="005760FF">
            <w:pPr>
              <w:pStyle w:val="TableParagraph"/>
              <w:spacing w:before="1"/>
              <w:rPr>
                <w:rFonts w:ascii="Arial MT"/>
                <w:sz w:val="16"/>
                <w:lang w:val="sq-AL"/>
              </w:rPr>
            </w:pPr>
            <w:r w:rsidRPr="004D53EC">
              <w:rPr>
                <w:spacing w:val="-4"/>
                <w:sz w:val="16"/>
                <w:lang w:val="sq-AL" w:bidi="sq-AL"/>
              </w:rPr>
              <w:t>93.0</w:t>
            </w:r>
          </w:p>
        </w:tc>
        <w:tc>
          <w:tcPr>
            <w:tcW w:w="1134" w:type="dxa"/>
          </w:tcPr>
          <w:p w14:paraId="57F49B8C" w14:textId="77777777" w:rsidR="0088112C" w:rsidRPr="004D53EC" w:rsidRDefault="0088112C" w:rsidP="005760FF">
            <w:pPr>
              <w:pStyle w:val="TableParagraph"/>
              <w:spacing w:before="1"/>
              <w:ind w:right="3"/>
              <w:rPr>
                <w:rFonts w:ascii="Arial MT"/>
                <w:sz w:val="16"/>
                <w:lang w:val="sq-AL"/>
              </w:rPr>
            </w:pPr>
            <w:r w:rsidRPr="004D53EC">
              <w:rPr>
                <w:spacing w:val="-2"/>
                <w:sz w:val="16"/>
                <w:lang w:val="sq-AL" w:bidi="sq-AL"/>
              </w:rPr>
              <w:t>100.0</w:t>
            </w:r>
          </w:p>
        </w:tc>
        <w:tc>
          <w:tcPr>
            <w:tcW w:w="1134" w:type="dxa"/>
          </w:tcPr>
          <w:p w14:paraId="5E002CB0" w14:textId="77777777" w:rsidR="0088112C" w:rsidRPr="004D53EC" w:rsidRDefault="0088112C" w:rsidP="005760FF">
            <w:pPr>
              <w:pStyle w:val="TableParagraph"/>
              <w:spacing w:before="1"/>
              <w:rPr>
                <w:rFonts w:ascii="Arial MT"/>
                <w:sz w:val="16"/>
                <w:lang w:val="sq-AL"/>
              </w:rPr>
            </w:pPr>
            <w:r w:rsidRPr="004D53EC">
              <w:rPr>
                <w:spacing w:val="-4"/>
                <w:sz w:val="16"/>
                <w:lang w:val="sq-AL" w:bidi="sq-AL"/>
              </w:rPr>
              <w:t>94.4</w:t>
            </w:r>
          </w:p>
        </w:tc>
      </w:tr>
      <w:tr w:rsidR="0088112C" w:rsidRPr="004D53EC" w14:paraId="13EE90FF" w14:textId="77777777" w:rsidTr="005760FF">
        <w:trPr>
          <w:trHeight w:val="223"/>
        </w:trPr>
        <w:tc>
          <w:tcPr>
            <w:tcW w:w="6804" w:type="dxa"/>
          </w:tcPr>
          <w:p w14:paraId="10DA5E4D"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Pjesa e transportit rrugor tokësor të mallrave (bazuar në ton/km) (%)</w:t>
            </w:r>
          </w:p>
        </w:tc>
        <w:tc>
          <w:tcPr>
            <w:tcW w:w="568" w:type="dxa"/>
          </w:tcPr>
          <w:p w14:paraId="24605E6E" w14:textId="77777777" w:rsidR="0088112C" w:rsidRPr="004D53EC" w:rsidRDefault="0088112C" w:rsidP="005760FF">
            <w:pPr>
              <w:pStyle w:val="TableParagraph"/>
              <w:ind w:left="0"/>
              <w:jc w:val="left"/>
              <w:rPr>
                <w:sz w:val="14"/>
                <w:lang w:val="sq-AL"/>
              </w:rPr>
            </w:pPr>
          </w:p>
        </w:tc>
        <w:tc>
          <w:tcPr>
            <w:tcW w:w="1134" w:type="dxa"/>
          </w:tcPr>
          <w:p w14:paraId="20136D1E"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244DD27F"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58910742"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4ED066DC"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2C06F7BD"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225AE421"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r>
      <w:tr w:rsidR="0088112C" w:rsidRPr="004D53EC" w14:paraId="40E5A7FA" w14:textId="77777777" w:rsidTr="005760FF">
        <w:trPr>
          <w:trHeight w:val="222"/>
        </w:trPr>
        <w:tc>
          <w:tcPr>
            <w:tcW w:w="14176" w:type="dxa"/>
            <w:gridSpan w:val="8"/>
            <w:tcBorders>
              <w:left w:val="nil"/>
              <w:bottom w:val="nil"/>
              <w:right w:val="nil"/>
            </w:tcBorders>
          </w:tcPr>
          <w:p w14:paraId="423D334B" w14:textId="77777777" w:rsidR="0088112C" w:rsidRPr="004D53EC" w:rsidRDefault="0088112C" w:rsidP="005760FF">
            <w:pPr>
              <w:pStyle w:val="TableParagraph"/>
              <w:ind w:left="0"/>
              <w:jc w:val="left"/>
              <w:rPr>
                <w:sz w:val="14"/>
                <w:lang w:val="sq-AL"/>
              </w:rPr>
            </w:pPr>
          </w:p>
        </w:tc>
      </w:tr>
      <w:tr w:rsidR="0088112C" w:rsidRPr="004D53EC" w14:paraId="61276E10" w14:textId="77777777" w:rsidTr="005760FF">
        <w:trPr>
          <w:trHeight w:val="222"/>
        </w:trPr>
        <w:tc>
          <w:tcPr>
            <w:tcW w:w="6804" w:type="dxa"/>
            <w:tcBorders>
              <w:top w:val="nil"/>
              <w:left w:val="nil"/>
            </w:tcBorders>
          </w:tcPr>
          <w:p w14:paraId="4569F298" w14:textId="77777777" w:rsidR="0088112C" w:rsidRPr="004D53EC" w:rsidRDefault="0088112C" w:rsidP="005760FF">
            <w:pPr>
              <w:pStyle w:val="TableParagraph"/>
              <w:spacing w:before="1"/>
              <w:ind w:left="115"/>
              <w:jc w:val="left"/>
              <w:rPr>
                <w:rFonts w:ascii="Arial"/>
                <w:b/>
                <w:sz w:val="16"/>
                <w:lang w:val="sq-AL"/>
              </w:rPr>
            </w:pPr>
            <w:r w:rsidRPr="004D53EC">
              <w:rPr>
                <w:b/>
                <w:spacing w:val="-2"/>
                <w:sz w:val="16"/>
                <w:lang w:val="sq-AL" w:bidi="sq-AL"/>
              </w:rPr>
              <w:t>Energjia</w:t>
            </w:r>
          </w:p>
        </w:tc>
        <w:tc>
          <w:tcPr>
            <w:tcW w:w="568" w:type="dxa"/>
          </w:tcPr>
          <w:p w14:paraId="0C8C83B8" w14:textId="77777777" w:rsidR="0088112C" w:rsidRPr="004D53EC" w:rsidRDefault="0088112C" w:rsidP="005760FF">
            <w:pPr>
              <w:pStyle w:val="TableParagraph"/>
              <w:spacing w:before="1"/>
              <w:ind w:left="11"/>
              <w:rPr>
                <w:rFonts w:ascii="Arial MT"/>
                <w:sz w:val="16"/>
                <w:lang w:val="sq-AL"/>
              </w:rPr>
            </w:pPr>
            <w:r w:rsidRPr="004D53EC">
              <w:rPr>
                <w:spacing w:val="-4"/>
                <w:sz w:val="16"/>
                <w:lang w:val="sq-AL" w:bidi="sq-AL"/>
              </w:rPr>
              <w:t>Shënime</w:t>
            </w:r>
          </w:p>
        </w:tc>
        <w:tc>
          <w:tcPr>
            <w:tcW w:w="1134" w:type="dxa"/>
          </w:tcPr>
          <w:p w14:paraId="05A5DCCD"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2010</w:t>
            </w:r>
          </w:p>
        </w:tc>
        <w:tc>
          <w:tcPr>
            <w:tcW w:w="1134" w:type="dxa"/>
          </w:tcPr>
          <w:p w14:paraId="4714455E"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2017</w:t>
            </w:r>
          </w:p>
        </w:tc>
        <w:tc>
          <w:tcPr>
            <w:tcW w:w="1134" w:type="dxa"/>
          </w:tcPr>
          <w:p w14:paraId="6FB5F705"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2018</w:t>
            </w:r>
          </w:p>
        </w:tc>
        <w:tc>
          <w:tcPr>
            <w:tcW w:w="1134" w:type="dxa"/>
          </w:tcPr>
          <w:p w14:paraId="32D26CC9"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2019</w:t>
            </w:r>
          </w:p>
        </w:tc>
        <w:tc>
          <w:tcPr>
            <w:tcW w:w="1134" w:type="dxa"/>
          </w:tcPr>
          <w:p w14:paraId="4DA41922"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2020</w:t>
            </w:r>
          </w:p>
        </w:tc>
        <w:tc>
          <w:tcPr>
            <w:tcW w:w="1134" w:type="dxa"/>
          </w:tcPr>
          <w:p w14:paraId="2B651D72"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2021</w:t>
            </w:r>
          </w:p>
        </w:tc>
      </w:tr>
      <w:tr w:rsidR="0088112C" w:rsidRPr="004D53EC" w14:paraId="5C31DB20" w14:textId="77777777" w:rsidTr="005760FF">
        <w:trPr>
          <w:trHeight w:val="223"/>
        </w:trPr>
        <w:tc>
          <w:tcPr>
            <w:tcW w:w="6804" w:type="dxa"/>
          </w:tcPr>
          <w:p w14:paraId="40B638E0"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Prodhimi primar i të gjitha produkteve energjetike (në mijë ton naftë ekuivalent)</w:t>
            </w:r>
          </w:p>
        </w:tc>
        <w:tc>
          <w:tcPr>
            <w:tcW w:w="568" w:type="dxa"/>
          </w:tcPr>
          <w:p w14:paraId="29B0B3C8" w14:textId="77777777" w:rsidR="0088112C" w:rsidRPr="004D53EC" w:rsidRDefault="0088112C" w:rsidP="005760FF">
            <w:pPr>
              <w:pStyle w:val="TableParagraph"/>
              <w:ind w:left="0"/>
              <w:jc w:val="left"/>
              <w:rPr>
                <w:sz w:val="14"/>
                <w:lang w:val="sq-AL"/>
              </w:rPr>
            </w:pPr>
          </w:p>
        </w:tc>
        <w:tc>
          <w:tcPr>
            <w:tcW w:w="1134" w:type="dxa"/>
          </w:tcPr>
          <w:p w14:paraId="7AEDC14A"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1 620</w:t>
            </w:r>
          </w:p>
        </w:tc>
        <w:tc>
          <w:tcPr>
            <w:tcW w:w="1134" w:type="dxa"/>
          </w:tcPr>
          <w:p w14:paraId="0E1D3896"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1 642</w:t>
            </w:r>
          </w:p>
        </w:tc>
        <w:tc>
          <w:tcPr>
            <w:tcW w:w="1134" w:type="dxa"/>
          </w:tcPr>
          <w:p w14:paraId="121079FC"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2 015</w:t>
            </w:r>
          </w:p>
        </w:tc>
        <w:tc>
          <w:tcPr>
            <w:tcW w:w="1134" w:type="dxa"/>
          </w:tcPr>
          <w:p w14:paraId="1D246176"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1 736</w:t>
            </w:r>
          </w:p>
        </w:tc>
        <w:tc>
          <w:tcPr>
            <w:tcW w:w="1134" w:type="dxa"/>
          </w:tcPr>
          <w:p w14:paraId="17BBA617"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1 494</w:t>
            </w:r>
          </w:p>
        </w:tc>
        <w:tc>
          <w:tcPr>
            <w:tcW w:w="1134" w:type="dxa"/>
          </w:tcPr>
          <w:p w14:paraId="14DF7901"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1 823</w:t>
            </w:r>
          </w:p>
        </w:tc>
      </w:tr>
      <w:tr w:rsidR="0088112C" w:rsidRPr="004D53EC" w14:paraId="1CA0B9C8" w14:textId="77777777" w:rsidTr="005760FF">
        <w:trPr>
          <w:trHeight w:val="222"/>
        </w:trPr>
        <w:tc>
          <w:tcPr>
            <w:tcW w:w="6804" w:type="dxa"/>
          </w:tcPr>
          <w:p w14:paraId="7FB04A90"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Prodhimi primar i naftës bruto (në mijë ton naftë ekuivalent)</w:t>
            </w:r>
          </w:p>
        </w:tc>
        <w:tc>
          <w:tcPr>
            <w:tcW w:w="568" w:type="dxa"/>
          </w:tcPr>
          <w:p w14:paraId="292984C1" w14:textId="77777777" w:rsidR="0088112C" w:rsidRPr="004D53EC" w:rsidRDefault="0088112C" w:rsidP="005760FF">
            <w:pPr>
              <w:pStyle w:val="TableParagraph"/>
              <w:ind w:left="0"/>
              <w:jc w:val="left"/>
              <w:rPr>
                <w:sz w:val="14"/>
                <w:lang w:val="sq-AL"/>
              </w:rPr>
            </w:pPr>
          </w:p>
        </w:tc>
        <w:tc>
          <w:tcPr>
            <w:tcW w:w="1134" w:type="dxa"/>
          </w:tcPr>
          <w:p w14:paraId="38D69F21" w14:textId="77777777" w:rsidR="0088112C" w:rsidRPr="004D53EC" w:rsidRDefault="0088112C" w:rsidP="005760FF">
            <w:pPr>
              <w:pStyle w:val="TableParagraph"/>
              <w:spacing w:line="184" w:lineRule="exact"/>
              <w:ind w:right="1"/>
              <w:rPr>
                <w:rFonts w:ascii="Arial MT"/>
                <w:sz w:val="16"/>
                <w:lang w:val="sq-AL"/>
              </w:rPr>
            </w:pPr>
            <w:r w:rsidRPr="004D53EC">
              <w:rPr>
                <w:spacing w:val="-5"/>
                <w:sz w:val="16"/>
                <w:lang w:val="sq-AL" w:bidi="sq-AL"/>
              </w:rPr>
              <w:t>744</w:t>
            </w:r>
          </w:p>
        </w:tc>
        <w:tc>
          <w:tcPr>
            <w:tcW w:w="1134" w:type="dxa"/>
          </w:tcPr>
          <w:p w14:paraId="1CA3859D" w14:textId="77777777" w:rsidR="0088112C" w:rsidRPr="004D53EC" w:rsidRDefault="0088112C" w:rsidP="005760FF">
            <w:pPr>
              <w:pStyle w:val="TableParagraph"/>
              <w:spacing w:line="184" w:lineRule="exact"/>
              <w:ind w:right="1"/>
              <w:rPr>
                <w:rFonts w:ascii="Arial MT"/>
                <w:sz w:val="16"/>
                <w:lang w:val="sq-AL"/>
              </w:rPr>
            </w:pPr>
            <w:r w:rsidRPr="004D53EC">
              <w:rPr>
                <w:spacing w:val="-5"/>
                <w:sz w:val="16"/>
                <w:lang w:val="sq-AL" w:bidi="sq-AL"/>
              </w:rPr>
              <w:t>959</w:t>
            </w:r>
          </w:p>
        </w:tc>
        <w:tc>
          <w:tcPr>
            <w:tcW w:w="1134" w:type="dxa"/>
          </w:tcPr>
          <w:p w14:paraId="48499C98" w14:textId="77777777" w:rsidR="0088112C" w:rsidRPr="004D53EC" w:rsidRDefault="0088112C" w:rsidP="005760FF">
            <w:pPr>
              <w:pStyle w:val="TableParagraph"/>
              <w:spacing w:line="184" w:lineRule="exact"/>
              <w:ind w:right="1"/>
              <w:rPr>
                <w:rFonts w:ascii="Arial MT"/>
                <w:sz w:val="16"/>
                <w:lang w:val="sq-AL"/>
              </w:rPr>
            </w:pPr>
            <w:r w:rsidRPr="004D53EC">
              <w:rPr>
                <w:spacing w:val="-5"/>
                <w:sz w:val="16"/>
                <w:lang w:val="sq-AL" w:bidi="sq-AL"/>
              </w:rPr>
              <w:t>911</w:t>
            </w:r>
          </w:p>
        </w:tc>
        <w:tc>
          <w:tcPr>
            <w:tcW w:w="1134" w:type="dxa"/>
          </w:tcPr>
          <w:p w14:paraId="4B0954C6" w14:textId="77777777" w:rsidR="0088112C" w:rsidRPr="004D53EC" w:rsidRDefault="0088112C" w:rsidP="005760FF">
            <w:pPr>
              <w:pStyle w:val="TableParagraph"/>
              <w:spacing w:line="184" w:lineRule="exact"/>
              <w:ind w:right="3"/>
              <w:rPr>
                <w:rFonts w:ascii="Arial MT"/>
                <w:sz w:val="16"/>
                <w:lang w:val="sq-AL"/>
              </w:rPr>
            </w:pPr>
            <w:r w:rsidRPr="004D53EC">
              <w:rPr>
                <w:sz w:val="16"/>
                <w:lang w:val="sq-AL" w:bidi="sq-AL"/>
              </w:rPr>
              <w:t>1 005</w:t>
            </w:r>
          </w:p>
        </w:tc>
        <w:tc>
          <w:tcPr>
            <w:tcW w:w="1134" w:type="dxa"/>
          </w:tcPr>
          <w:p w14:paraId="40061CCD" w14:textId="77777777" w:rsidR="0088112C" w:rsidRPr="004D53EC" w:rsidRDefault="0088112C" w:rsidP="005760FF">
            <w:pPr>
              <w:pStyle w:val="TableParagraph"/>
              <w:spacing w:line="184" w:lineRule="exact"/>
              <w:ind w:right="1"/>
              <w:rPr>
                <w:rFonts w:ascii="Arial MT"/>
                <w:sz w:val="16"/>
                <w:lang w:val="sq-AL"/>
              </w:rPr>
            </w:pPr>
            <w:r w:rsidRPr="004D53EC">
              <w:rPr>
                <w:spacing w:val="-5"/>
                <w:sz w:val="16"/>
                <w:lang w:val="sq-AL" w:bidi="sq-AL"/>
              </w:rPr>
              <w:t>758</w:t>
            </w:r>
          </w:p>
        </w:tc>
        <w:tc>
          <w:tcPr>
            <w:tcW w:w="1134" w:type="dxa"/>
          </w:tcPr>
          <w:p w14:paraId="458BBB64" w14:textId="77777777" w:rsidR="0088112C" w:rsidRPr="004D53EC" w:rsidRDefault="0088112C" w:rsidP="005760FF">
            <w:pPr>
              <w:pStyle w:val="TableParagraph"/>
              <w:spacing w:line="184" w:lineRule="exact"/>
              <w:ind w:right="1"/>
              <w:rPr>
                <w:rFonts w:ascii="Arial MT"/>
                <w:sz w:val="16"/>
                <w:lang w:val="sq-AL"/>
              </w:rPr>
            </w:pPr>
            <w:r w:rsidRPr="004D53EC">
              <w:rPr>
                <w:spacing w:val="-5"/>
                <w:sz w:val="16"/>
                <w:lang w:val="sq-AL" w:bidi="sq-AL"/>
              </w:rPr>
              <w:t>712</w:t>
            </w:r>
          </w:p>
        </w:tc>
      </w:tr>
      <w:tr w:rsidR="0088112C" w:rsidRPr="004D53EC" w14:paraId="7DB8B6D7" w14:textId="77777777" w:rsidTr="005760FF">
        <w:trPr>
          <w:trHeight w:val="222"/>
        </w:trPr>
        <w:tc>
          <w:tcPr>
            <w:tcW w:w="6804" w:type="dxa"/>
          </w:tcPr>
          <w:p w14:paraId="5D03E7F3" w14:textId="6918A795" w:rsidR="0088112C" w:rsidRPr="004D53EC" w:rsidRDefault="0088112C" w:rsidP="005760FF">
            <w:pPr>
              <w:pStyle w:val="TableParagraph"/>
              <w:spacing w:before="1"/>
              <w:ind w:left="107"/>
              <w:jc w:val="left"/>
              <w:rPr>
                <w:rFonts w:ascii="Arial MT"/>
                <w:sz w:val="16"/>
                <w:lang w:val="sq-AL"/>
              </w:rPr>
            </w:pPr>
            <w:r w:rsidRPr="004D53EC">
              <w:rPr>
                <w:sz w:val="16"/>
                <w:lang w:val="sq-AL" w:bidi="sq-AL"/>
              </w:rPr>
              <w:t>Prodhimi primar i karburanteve të ngurta</w:t>
            </w:r>
            <w:r w:rsidR="004D53EC">
              <w:rPr>
                <w:sz w:val="16"/>
                <w:lang w:val="sq-AL" w:bidi="sq-AL"/>
              </w:rPr>
              <w:t xml:space="preserve"> </w:t>
            </w:r>
            <w:r w:rsidRPr="004D53EC">
              <w:rPr>
                <w:sz w:val="16"/>
                <w:lang w:val="sq-AL" w:bidi="sq-AL"/>
              </w:rPr>
              <w:t>(në mijë ton naftë ekuivalent)</w:t>
            </w:r>
          </w:p>
        </w:tc>
        <w:tc>
          <w:tcPr>
            <w:tcW w:w="568" w:type="dxa"/>
          </w:tcPr>
          <w:p w14:paraId="79E63B40" w14:textId="77777777" w:rsidR="0088112C" w:rsidRPr="004D53EC" w:rsidRDefault="0088112C" w:rsidP="005760FF">
            <w:pPr>
              <w:pStyle w:val="TableParagraph"/>
              <w:ind w:left="0"/>
              <w:jc w:val="left"/>
              <w:rPr>
                <w:sz w:val="14"/>
                <w:lang w:val="sq-AL"/>
              </w:rPr>
            </w:pPr>
          </w:p>
        </w:tc>
        <w:tc>
          <w:tcPr>
            <w:tcW w:w="1134" w:type="dxa"/>
          </w:tcPr>
          <w:p w14:paraId="107C0E9F" w14:textId="77777777" w:rsidR="0088112C" w:rsidRPr="004D53EC" w:rsidRDefault="0088112C" w:rsidP="005760FF">
            <w:pPr>
              <w:pStyle w:val="TableParagraph"/>
              <w:spacing w:before="1"/>
              <w:ind w:right="1"/>
              <w:rPr>
                <w:rFonts w:ascii="Arial MT"/>
                <w:sz w:val="16"/>
                <w:lang w:val="sq-AL"/>
              </w:rPr>
            </w:pPr>
            <w:r w:rsidRPr="004D53EC">
              <w:rPr>
                <w:spacing w:val="-10"/>
                <w:sz w:val="16"/>
                <w:lang w:val="sq-AL" w:bidi="sq-AL"/>
              </w:rPr>
              <w:t>2</w:t>
            </w:r>
          </w:p>
        </w:tc>
        <w:tc>
          <w:tcPr>
            <w:tcW w:w="1134" w:type="dxa"/>
          </w:tcPr>
          <w:p w14:paraId="0249B3B8" w14:textId="77777777" w:rsidR="0088112C" w:rsidRPr="004D53EC" w:rsidRDefault="0088112C" w:rsidP="005760FF">
            <w:pPr>
              <w:pStyle w:val="TableParagraph"/>
              <w:spacing w:before="1"/>
              <w:ind w:right="1"/>
              <w:rPr>
                <w:rFonts w:ascii="Arial MT"/>
                <w:sz w:val="16"/>
                <w:lang w:val="sq-AL"/>
              </w:rPr>
            </w:pPr>
            <w:r w:rsidRPr="004D53EC">
              <w:rPr>
                <w:spacing w:val="-5"/>
                <w:sz w:val="16"/>
                <w:lang w:val="sq-AL" w:bidi="sq-AL"/>
              </w:rPr>
              <w:t>76</w:t>
            </w:r>
          </w:p>
        </w:tc>
        <w:tc>
          <w:tcPr>
            <w:tcW w:w="1134" w:type="dxa"/>
          </w:tcPr>
          <w:p w14:paraId="60805808" w14:textId="77777777" w:rsidR="0088112C" w:rsidRPr="004D53EC" w:rsidRDefault="0088112C" w:rsidP="005760FF">
            <w:pPr>
              <w:pStyle w:val="TableParagraph"/>
              <w:spacing w:before="1"/>
              <w:ind w:right="1"/>
              <w:rPr>
                <w:rFonts w:ascii="Arial MT"/>
                <w:sz w:val="16"/>
                <w:lang w:val="sq-AL"/>
              </w:rPr>
            </w:pPr>
            <w:r w:rsidRPr="004D53EC">
              <w:rPr>
                <w:spacing w:val="-5"/>
                <w:sz w:val="16"/>
                <w:lang w:val="sq-AL" w:bidi="sq-AL"/>
              </w:rPr>
              <w:t>161</w:t>
            </w:r>
          </w:p>
        </w:tc>
        <w:tc>
          <w:tcPr>
            <w:tcW w:w="1134" w:type="dxa"/>
          </w:tcPr>
          <w:p w14:paraId="36BE21F8" w14:textId="77777777" w:rsidR="0088112C" w:rsidRPr="004D53EC" w:rsidRDefault="0088112C" w:rsidP="005760FF">
            <w:pPr>
              <w:pStyle w:val="TableParagraph"/>
              <w:spacing w:before="1"/>
              <w:ind w:right="1"/>
              <w:rPr>
                <w:rFonts w:ascii="Arial MT"/>
                <w:sz w:val="16"/>
                <w:lang w:val="sq-AL"/>
              </w:rPr>
            </w:pPr>
            <w:r w:rsidRPr="004D53EC">
              <w:rPr>
                <w:spacing w:val="-5"/>
                <w:sz w:val="16"/>
                <w:lang w:val="sq-AL" w:bidi="sq-AL"/>
              </w:rPr>
              <w:t>52</w:t>
            </w:r>
          </w:p>
        </w:tc>
        <w:tc>
          <w:tcPr>
            <w:tcW w:w="1134" w:type="dxa"/>
          </w:tcPr>
          <w:p w14:paraId="372A09A0" w14:textId="77777777" w:rsidR="0088112C" w:rsidRPr="004D53EC" w:rsidRDefault="0088112C" w:rsidP="005760FF">
            <w:pPr>
              <w:pStyle w:val="TableParagraph"/>
              <w:spacing w:before="1"/>
              <w:ind w:right="1"/>
              <w:rPr>
                <w:rFonts w:ascii="Arial MT"/>
                <w:sz w:val="16"/>
                <w:lang w:val="sq-AL"/>
              </w:rPr>
            </w:pPr>
            <w:r w:rsidRPr="004D53EC">
              <w:rPr>
                <w:spacing w:val="-5"/>
                <w:sz w:val="16"/>
                <w:lang w:val="sq-AL" w:bidi="sq-AL"/>
              </w:rPr>
              <w:t>69</w:t>
            </w:r>
          </w:p>
        </w:tc>
        <w:tc>
          <w:tcPr>
            <w:tcW w:w="1134" w:type="dxa"/>
          </w:tcPr>
          <w:p w14:paraId="62C0137E" w14:textId="77777777" w:rsidR="0088112C" w:rsidRPr="004D53EC" w:rsidRDefault="0088112C" w:rsidP="005760FF">
            <w:pPr>
              <w:pStyle w:val="TableParagraph"/>
              <w:spacing w:before="1"/>
              <w:ind w:right="1"/>
              <w:rPr>
                <w:rFonts w:ascii="Arial MT"/>
                <w:sz w:val="16"/>
                <w:lang w:val="sq-AL"/>
              </w:rPr>
            </w:pPr>
            <w:r w:rsidRPr="004D53EC">
              <w:rPr>
                <w:spacing w:val="-5"/>
                <w:sz w:val="16"/>
                <w:lang w:val="sq-AL" w:bidi="sq-AL"/>
              </w:rPr>
              <w:t>131</w:t>
            </w:r>
          </w:p>
        </w:tc>
      </w:tr>
      <w:tr w:rsidR="0088112C" w:rsidRPr="004D53EC" w14:paraId="6B239BB2" w14:textId="77777777" w:rsidTr="005760FF">
        <w:trPr>
          <w:trHeight w:val="223"/>
        </w:trPr>
        <w:tc>
          <w:tcPr>
            <w:tcW w:w="6804" w:type="dxa"/>
          </w:tcPr>
          <w:p w14:paraId="324B4FCA" w14:textId="033E91E3" w:rsidR="0088112C" w:rsidRPr="004D53EC" w:rsidRDefault="0088112C" w:rsidP="005760FF">
            <w:pPr>
              <w:pStyle w:val="TableParagraph"/>
              <w:spacing w:before="1"/>
              <w:ind w:left="107"/>
              <w:jc w:val="left"/>
              <w:rPr>
                <w:rFonts w:ascii="Arial MT"/>
                <w:sz w:val="16"/>
                <w:lang w:val="sq-AL"/>
              </w:rPr>
            </w:pPr>
            <w:r w:rsidRPr="004D53EC">
              <w:rPr>
                <w:sz w:val="16"/>
                <w:lang w:val="sq-AL" w:bidi="sq-AL"/>
              </w:rPr>
              <w:t>Prodhimi primar i gazit</w:t>
            </w:r>
            <w:r w:rsidR="004D53EC">
              <w:rPr>
                <w:sz w:val="16"/>
                <w:lang w:val="sq-AL" w:bidi="sq-AL"/>
              </w:rPr>
              <w:t xml:space="preserve"> </w:t>
            </w:r>
            <w:r w:rsidRPr="004D53EC">
              <w:rPr>
                <w:sz w:val="16"/>
                <w:lang w:val="sq-AL" w:bidi="sq-AL"/>
              </w:rPr>
              <w:t>(në mijë ton naftë ekuivalent)</w:t>
            </w:r>
          </w:p>
        </w:tc>
        <w:tc>
          <w:tcPr>
            <w:tcW w:w="568" w:type="dxa"/>
          </w:tcPr>
          <w:p w14:paraId="0E40D1A0" w14:textId="77777777" w:rsidR="0088112C" w:rsidRPr="004D53EC" w:rsidRDefault="0088112C" w:rsidP="005760FF">
            <w:pPr>
              <w:pStyle w:val="TableParagraph"/>
              <w:ind w:left="0"/>
              <w:jc w:val="left"/>
              <w:rPr>
                <w:sz w:val="14"/>
                <w:lang w:val="sq-AL"/>
              </w:rPr>
            </w:pPr>
          </w:p>
        </w:tc>
        <w:tc>
          <w:tcPr>
            <w:tcW w:w="1134" w:type="dxa"/>
          </w:tcPr>
          <w:p w14:paraId="67B6A769" w14:textId="77777777" w:rsidR="0088112C" w:rsidRPr="004D53EC" w:rsidRDefault="0088112C" w:rsidP="005760FF">
            <w:pPr>
              <w:pStyle w:val="TableParagraph"/>
              <w:spacing w:before="1"/>
              <w:ind w:right="1"/>
              <w:rPr>
                <w:rFonts w:ascii="Arial MT"/>
                <w:sz w:val="16"/>
                <w:lang w:val="sq-AL"/>
              </w:rPr>
            </w:pPr>
            <w:r w:rsidRPr="004D53EC">
              <w:rPr>
                <w:spacing w:val="-5"/>
                <w:sz w:val="16"/>
                <w:lang w:val="sq-AL" w:bidi="sq-AL"/>
              </w:rPr>
              <w:t>12</w:t>
            </w:r>
          </w:p>
        </w:tc>
        <w:tc>
          <w:tcPr>
            <w:tcW w:w="1134" w:type="dxa"/>
          </w:tcPr>
          <w:p w14:paraId="65416180" w14:textId="77777777" w:rsidR="0088112C" w:rsidRPr="004D53EC" w:rsidRDefault="0088112C" w:rsidP="005760FF">
            <w:pPr>
              <w:pStyle w:val="TableParagraph"/>
              <w:spacing w:before="1"/>
              <w:ind w:right="1"/>
              <w:rPr>
                <w:rFonts w:ascii="Arial MT"/>
                <w:sz w:val="16"/>
                <w:lang w:val="sq-AL"/>
              </w:rPr>
            </w:pPr>
            <w:r w:rsidRPr="004D53EC">
              <w:rPr>
                <w:spacing w:val="-5"/>
                <w:sz w:val="16"/>
                <w:lang w:val="sq-AL" w:bidi="sq-AL"/>
              </w:rPr>
              <w:t>37</w:t>
            </w:r>
          </w:p>
        </w:tc>
        <w:tc>
          <w:tcPr>
            <w:tcW w:w="1134" w:type="dxa"/>
          </w:tcPr>
          <w:p w14:paraId="18465D18" w14:textId="77777777" w:rsidR="0088112C" w:rsidRPr="004D53EC" w:rsidRDefault="0088112C" w:rsidP="005760FF">
            <w:pPr>
              <w:pStyle w:val="TableParagraph"/>
              <w:spacing w:before="1"/>
              <w:ind w:right="1"/>
              <w:rPr>
                <w:rFonts w:ascii="Arial MT"/>
                <w:sz w:val="16"/>
                <w:lang w:val="sq-AL"/>
              </w:rPr>
            </w:pPr>
            <w:r w:rsidRPr="004D53EC">
              <w:rPr>
                <w:spacing w:val="-5"/>
                <w:sz w:val="16"/>
                <w:lang w:val="sq-AL" w:bidi="sq-AL"/>
              </w:rPr>
              <w:t>32</w:t>
            </w:r>
          </w:p>
        </w:tc>
        <w:tc>
          <w:tcPr>
            <w:tcW w:w="1134" w:type="dxa"/>
          </w:tcPr>
          <w:p w14:paraId="5E6E2348" w14:textId="77777777" w:rsidR="0088112C" w:rsidRPr="004D53EC" w:rsidRDefault="0088112C" w:rsidP="005760FF">
            <w:pPr>
              <w:pStyle w:val="TableParagraph"/>
              <w:spacing w:before="1"/>
              <w:ind w:right="1"/>
              <w:rPr>
                <w:rFonts w:ascii="Arial MT"/>
                <w:sz w:val="16"/>
                <w:lang w:val="sq-AL"/>
              </w:rPr>
            </w:pPr>
            <w:r w:rsidRPr="004D53EC">
              <w:rPr>
                <w:spacing w:val="-5"/>
                <w:sz w:val="16"/>
                <w:lang w:val="sq-AL" w:bidi="sq-AL"/>
              </w:rPr>
              <w:t>58</w:t>
            </w:r>
          </w:p>
        </w:tc>
        <w:tc>
          <w:tcPr>
            <w:tcW w:w="1134" w:type="dxa"/>
          </w:tcPr>
          <w:p w14:paraId="424C5886" w14:textId="77777777" w:rsidR="0088112C" w:rsidRPr="004D53EC" w:rsidRDefault="0088112C" w:rsidP="005760FF">
            <w:pPr>
              <w:pStyle w:val="TableParagraph"/>
              <w:spacing w:before="1"/>
              <w:ind w:right="1"/>
              <w:rPr>
                <w:rFonts w:ascii="Arial MT"/>
                <w:sz w:val="16"/>
                <w:lang w:val="sq-AL"/>
              </w:rPr>
            </w:pPr>
            <w:r w:rsidRPr="004D53EC">
              <w:rPr>
                <w:spacing w:val="-5"/>
                <w:sz w:val="16"/>
                <w:lang w:val="sq-AL" w:bidi="sq-AL"/>
              </w:rPr>
              <w:t>41</w:t>
            </w:r>
          </w:p>
        </w:tc>
        <w:tc>
          <w:tcPr>
            <w:tcW w:w="1134" w:type="dxa"/>
          </w:tcPr>
          <w:p w14:paraId="05ECDE95" w14:textId="77777777" w:rsidR="0088112C" w:rsidRPr="004D53EC" w:rsidRDefault="0088112C" w:rsidP="005760FF">
            <w:pPr>
              <w:pStyle w:val="TableParagraph"/>
              <w:spacing w:before="1"/>
              <w:ind w:right="1"/>
              <w:rPr>
                <w:rFonts w:ascii="Arial MT"/>
                <w:sz w:val="16"/>
                <w:lang w:val="sq-AL"/>
              </w:rPr>
            </w:pPr>
            <w:r w:rsidRPr="004D53EC">
              <w:rPr>
                <w:spacing w:val="-5"/>
                <w:sz w:val="16"/>
                <w:lang w:val="sq-AL" w:bidi="sq-AL"/>
              </w:rPr>
              <w:t>44</w:t>
            </w:r>
          </w:p>
        </w:tc>
      </w:tr>
      <w:tr w:rsidR="0088112C" w:rsidRPr="004D53EC" w14:paraId="2B68A87A" w14:textId="77777777" w:rsidTr="005760FF">
        <w:trPr>
          <w:trHeight w:val="222"/>
        </w:trPr>
        <w:tc>
          <w:tcPr>
            <w:tcW w:w="6804" w:type="dxa"/>
          </w:tcPr>
          <w:p w14:paraId="5018E3E3" w14:textId="559A4D92"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Importi neto i të gjitha produkteve energjetike</w:t>
            </w:r>
            <w:r w:rsidR="004D53EC">
              <w:rPr>
                <w:sz w:val="16"/>
                <w:lang w:val="sq-AL" w:bidi="sq-AL"/>
              </w:rPr>
              <w:t xml:space="preserve"> </w:t>
            </w:r>
            <w:r w:rsidRPr="004D53EC">
              <w:rPr>
                <w:sz w:val="16"/>
                <w:lang w:val="sq-AL" w:bidi="sq-AL"/>
              </w:rPr>
              <w:t>(në mijë ton naftë ekuivalent)</w:t>
            </w:r>
          </w:p>
        </w:tc>
        <w:tc>
          <w:tcPr>
            <w:tcW w:w="568" w:type="dxa"/>
          </w:tcPr>
          <w:p w14:paraId="65EB6EC7" w14:textId="77777777" w:rsidR="0088112C" w:rsidRPr="004D53EC" w:rsidRDefault="0088112C" w:rsidP="005760FF">
            <w:pPr>
              <w:pStyle w:val="TableParagraph"/>
              <w:ind w:left="0"/>
              <w:jc w:val="left"/>
              <w:rPr>
                <w:sz w:val="14"/>
                <w:lang w:val="sq-AL"/>
              </w:rPr>
            </w:pPr>
          </w:p>
        </w:tc>
        <w:tc>
          <w:tcPr>
            <w:tcW w:w="1134" w:type="dxa"/>
          </w:tcPr>
          <w:p w14:paraId="1405B70A" w14:textId="77777777" w:rsidR="0088112C" w:rsidRPr="004D53EC" w:rsidRDefault="0088112C" w:rsidP="005760FF">
            <w:pPr>
              <w:pStyle w:val="TableParagraph"/>
              <w:spacing w:line="184" w:lineRule="exact"/>
              <w:ind w:right="2"/>
              <w:rPr>
                <w:rFonts w:ascii="Arial MT"/>
                <w:sz w:val="16"/>
                <w:lang w:val="sq-AL"/>
              </w:rPr>
            </w:pPr>
            <w:r w:rsidRPr="004D53EC">
              <w:rPr>
                <w:sz w:val="16"/>
                <w:lang w:val="sq-AL" w:bidi="sq-AL"/>
              </w:rPr>
              <w:t>622 s</w:t>
            </w:r>
          </w:p>
        </w:tc>
        <w:tc>
          <w:tcPr>
            <w:tcW w:w="1134" w:type="dxa"/>
          </w:tcPr>
          <w:p w14:paraId="3A4BBFF1" w14:textId="77777777" w:rsidR="0088112C" w:rsidRPr="004D53EC" w:rsidRDefault="0088112C" w:rsidP="005760FF">
            <w:pPr>
              <w:pStyle w:val="TableParagraph"/>
              <w:spacing w:line="184" w:lineRule="exact"/>
              <w:ind w:right="2"/>
              <w:rPr>
                <w:rFonts w:ascii="Arial MT"/>
                <w:sz w:val="16"/>
                <w:lang w:val="sq-AL"/>
              </w:rPr>
            </w:pPr>
            <w:r w:rsidRPr="004D53EC">
              <w:rPr>
                <w:sz w:val="16"/>
                <w:lang w:val="sq-AL" w:bidi="sq-AL"/>
              </w:rPr>
              <w:t>920 s</w:t>
            </w:r>
          </w:p>
        </w:tc>
        <w:tc>
          <w:tcPr>
            <w:tcW w:w="1134" w:type="dxa"/>
          </w:tcPr>
          <w:p w14:paraId="070F5B11" w14:textId="77777777" w:rsidR="0088112C" w:rsidRPr="004D53EC" w:rsidRDefault="0088112C" w:rsidP="005760FF">
            <w:pPr>
              <w:pStyle w:val="TableParagraph"/>
              <w:spacing w:line="184" w:lineRule="exact"/>
              <w:ind w:right="2"/>
              <w:rPr>
                <w:rFonts w:ascii="Arial MT"/>
                <w:sz w:val="16"/>
                <w:lang w:val="sq-AL"/>
              </w:rPr>
            </w:pPr>
            <w:r w:rsidRPr="004D53EC">
              <w:rPr>
                <w:sz w:val="16"/>
                <w:lang w:val="sq-AL" w:bidi="sq-AL"/>
              </w:rPr>
              <w:t>503 s</w:t>
            </w:r>
          </w:p>
        </w:tc>
        <w:tc>
          <w:tcPr>
            <w:tcW w:w="1134" w:type="dxa"/>
          </w:tcPr>
          <w:p w14:paraId="73255ED5" w14:textId="77777777" w:rsidR="0088112C" w:rsidRPr="004D53EC" w:rsidRDefault="0088112C" w:rsidP="005760FF">
            <w:pPr>
              <w:pStyle w:val="TableParagraph"/>
              <w:spacing w:line="184" w:lineRule="exact"/>
              <w:ind w:right="2"/>
              <w:rPr>
                <w:rFonts w:ascii="Arial MT"/>
                <w:sz w:val="16"/>
                <w:lang w:val="sq-AL"/>
              </w:rPr>
            </w:pPr>
            <w:r w:rsidRPr="004D53EC">
              <w:rPr>
                <w:sz w:val="16"/>
                <w:lang w:val="sq-AL" w:bidi="sq-AL"/>
              </w:rPr>
              <w:t>753 s</w:t>
            </w:r>
          </w:p>
        </w:tc>
        <w:tc>
          <w:tcPr>
            <w:tcW w:w="1134" w:type="dxa"/>
          </w:tcPr>
          <w:p w14:paraId="7BB41267" w14:textId="77777777" w:rsidR="0088112C" w:rsidRPr="004D53EC" w:rsidRDefault="0088112C" w:rsidP="005760FF">
            <w:pPr>
              <w:pStyle w:val="TableParagraph"/>
              <w:spacing w:line="184" w:lineRule="exact"/>
              <w:ind w:right="2"/>
              <w:rPr>
                <w:rFonts w:ascii="Arial MT"/>
                <w:sz w:val="16"/>
                <w:lang w:val="sq-AL"/>
              </w:rPr>
            </w:pPr>
            <w:r w:rsidRPr="004D53EC">
              <w:rPr>
                <w:sz w:val="16"/>
                <w:lang w:val="sq-AL" w:bidi="sq-AL"/>
              </w:rPr>
              <w:t>793 s</w:t>
            </w:r>
          </w:p>
        </w:tc>
        <w:tc>
          <w:tcPr>
            <w:tcW w:w="1134" w:type="dxa"/>
          </w:tcPr>
          <w:p w14:paraId="4632F187" w14:textId="77777777" w:rsidR="0088112C" w:rsidRPr="004D53EC" w:rsidRDefault="0088112C" w:rsidP="005760FF">
            <w:pPr>
              <w:pStyle w:val="TableParagraph"/>
              <w:spacing w:line="184" w:lineRule="exact"/>
              <w:ind w:right="2"/>
              <w:rPr>
                <w:rFonts w:ascii="Arial MT"/>
                <w:sz w:val="16"/>
                <w:lang w:val="sq-AL"/>
              </w:rPr>
            </w:pPr>
            <w:r w:rsidRPr="004D53EC">
              <w:rPr>
                <w:sz w:val="16"/>
                <w:lang w:val="sq-AL" w:bidi="sq-AL"/>
              </w:rPr>
              <w:t>553 s</w:t>
            </w:r>
          </w:p>
        </w:tc>
      </w:tr>
      <w:tr w:rsidR="0088112C" w:rsidRPr="004D53EC" w14:paraId="0417D9DE" w14:textId="77777777" w:rsidTr="005760FF">
        <w:trPr>
          <w:trHeight w:val="222"/>
        </w:trPr>
        <w:tc>
          <w:tcPr>
            <w:tcW w:w="6804" w:type="dxa"/>
          </w:tcPr>
          <w:p w14:paraId="69142164"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Konsumi bruto i energjisë së brendshme (në mijë ton naftë ekuivalent)</w:t>
            </w:r>
          </w:p>
        </w:tc>
        <w:tc>
          <w:tcPr>
            <w:tcW w:w="568" w:type="dxa"/>
          </w:tcPr>
          <w:p w14:paraId="4451E7B3" w14:textId="77777777" w:rsidR="0088112C" w:rsidRPr="004D53EC" w:rsidRDefault="0088112C" w:rsidP="005760FF">
            <w:pPr>
              <w:pStyle w:val="TableParagraph"/>
              <w:ind w:left="0"/>
              <w:jc w:val="left"/>
              <w:rPr>
                <w:sz w:val="14"/>
                <w:lang w:val="sq-AL"/>
              </w:rPr>
            </w:pPr>
          </w:p>
        </w:tc>
        <w:tc>
          <w:tcPr>
            <w:tcW w:w="1134" w:type="dxa"/>
          </w:tcPr>
          <w:p w14:paraId="153286DC"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2 152</w:t>
            </w:r>
          </w:p>
        </w:tc>
        <w:tc>
          <w:tcPr>
            <w:tcW w:w="1134" w:type="dxa"/>
          </w:tcPr>
          <w:p w14:paraId="4E6C6EAD"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2 375</w:t>
            </w:r>
          </w:p>
        </w:tc>
        <w:tc>
          <w:tcPr>
            <w:tcW w:w="1134" w:type="dxa"/>
          </w:tcPr>
          <w:p w14:paraId="30DECB00"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2 366</w:t>
            </w:r>
          </w:p>
        </w:tc>
        <w:tc>
          <w:tcPr>
            <w:tcW w:w="1134" w:type="dxa"/>
          </w:tcPr>
          <w:p w14:paraId="6E1E84E8"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2 355</w:t>
            </w:r>
          </w:p>
        </w:tc>
        <w:tc>
          <w:tcPr>
            <w:tcW w:w="1134" w:type="dxa"/>
          </w:tcPr>
          <w:p w14:paraId="23DDA42E"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2 183</w:t>
            </w:r>
          </w:p>
        </w:tc>
        <w:tc>
          <w:tcPr>
            <w:tcW w:w="1134" w:type="dxa"/>
          </w:tcPr>
          <w:p w14:paraId="08F041C5"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2 298</w:t>
            </w:r>
          </w:p>
        </w:tc>
      </w:tr>
      <w:tr w:rsidR="0088112C" w:rsidRPr="004D53EC" w14:paraId="275DFC2A" w14:textId="77777777" w:rsidTr="005760FF">
        <w:trPr>
          <w:trHeight w:val="223"/>
        </w:trPr>
        <w:tc>
          <w:tcPr>
            <w:tcW w:w="6804" w:type="dxa"/>
          </w:tcPr>
          <w:p w14:paraId="220DCF13"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Prodhimi bruto i energjisë elektrike (</w:t>
            </w:r>
            <w:proofErr w:type="spellStart"/>
            <w:r w:rsidRPr="004D53EC">
              <w:rPr>
                <w:sz w:val="16"/>
                <w:lang w:val="sq-AL" w:bidi="sq-AL"/>
              </w:rPr>
              <w:t>GWh</w:t>
            </w:r>
            <w:proofErr w:type="spellEnd"/>
            <w:r w:rsidRPr="004D53EC">
              <w:rPr>
                <w:sz w:val="16"/>
                <w:lang w:val="sq-AL" w:bidi="sq-AL"/>
              </w:rPr>
              <w:t>)</w:t>
            </w:r>
          </w:p>
        </w:tc>
        <w:tc>
          <w:tcPr>
            <w:tcW w:w="568" w:type="dxa"/>
          </w:tcPr>
          <w:p w14:paraId="06CDD2F0" w14:textId="77777777" w:rsidR="0088112C" w:rsidRPr="004D53EC" w:rsidRDefault="0088112C" w:rsidP="005760FF">
            <w:pPr>
              <w:pStyle w:val="TableParagraph"/>
              <w:ind w:left="0"/>
              <w:jc w:val="left"/>
              <w:rPr>
                <w:sz w:val="14"/>
                <w:lang w:val="sq-AL"/>
              </w:rPr>
            </w:pPr>
          </w:p>
        </w:tc>
        <w:tc>
          <w:tcPr>
            <w:tcW w:w="1134" w:type="dxa"/>
          </w:tcPr>
          <w:p w14:paraId="2121FC29"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7 568</w:t>
            </w:r>
          </w:p>
        </w:tc>
        <w:tc>
          <w:tcPr>
            <w:tcW w:w="1134" w:type="dxa"/>
          </w:tcPr>
          <w:p w14:paraId="2FD36280"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4 526</w:t>
            </w:r>
          </w:p>
        </w:tc>
        <w:tc>
          <w:tcPr>
            <w:tcW w:w="1134" w:type="dxa"/>
          </w:tcPr>
          <w:p w14:paraId="5B76856A"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8 553</w:t>
            </w:r>
          </w:p>
        </w:tc>
        <w:tc>
          <w:tcPr>
            <w:tcW w:w="1134" w:type="dxa"/>
          </w:tcPr>
          <w:p w14:paraId="6CE92732"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5 206</w:t>
            </w:r>
          </w:p>
        </w:tc>
        <w:tc>
          <w:tcPr>
            <w:tcW w:w="1134" w:type="dxa"/>
          </w:tcPr>
          <w:p w14:paraId="47919463"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5 313</w:t>
            </w:r>
          </w:p>
        </w:tc>
        <w:tc>
          <w:tcPr>
            <w:tcW w:w="1134" w:type="dxa"/>
          </w:tcPr>
          <w:p w14:paraId="36F6711B" w14:textId="77777777" w:rsidR="0088112C" w:rsidRPr="004D53EC" w:rsidRDefault="0088112C" w:rsidP="005760FF">
            <w:pPr>
              <w:pStyle w:val="TableParagraph"/>
              <w:spacing w:before="1"/>
              <w:ind w:right="3"/>
              <w:rPr>
                <w:rFonts w:ascii="Arial MT"/>
                <w:sz w:val="16"/>
                <w:lang w:val="sq-AL"/>
              </w:rPr>
            </w:pPr>
            <w:r w:rsidRPr="004D53EC">
              <w:rPr>
                <w:sz w:val="16"/>
                <w:lang w:val="sq-AL" w:bidi="sq-AL"/>
              </w:rPr>
              <w:t>8 963</w:t>
            </w:r>
          </w:p>
        </w:tc>
      </w:tr>
      <w:tr w:rsidR="0088112C" w:rsidRPr="004D53EC" w14:paraId="17852754" w14:textId="77777777" w:rsidTr="005760FF">
        <w:trPr>
          <w:trHeight w:val="222"/>
        </w:trPr>
        <w:tc>
          <w:tcPr>
            <w:tcW w:w="14176" w:type="dxa"/>
            <w:gridSpan w:val="8"/>
            <w:tcBorders>
              <w:left w:val="nil"/>
              <w:bottom w:val="nil"/>
              <w:right w:val="nil"/>
            </w:tcBorders>
          </w:tcPr>
          <w:p w14:paraId="5B9FAB8D" w14:textId="77777777" w:rsidR="0088112C" w:rsidRPr="004D53EC" w:rsidRDefault="0088112C" w:rsidP="005760FF">
            <w:pPr>
              <w:pStyle w:val="TableParagraph"/>
              <w:ind w:left="0"/>
              <w:jc w:val="left"/>
              <w:rPr>
                <w:sz w:val="14"/>
                <w:lang w:val="sq-AL"/>
              </w:rPr>
            </w:pPr>
          </w:p>
        </w:tc>
      </w:tr>
      <w:tr w:rsidR="0088112C" w:rsidRPr="004D53EC" w14:paraId="373DFA1A" w14:textId="77777777" w:rsidTr="005760FF">
        <w:trPr>
          <w:trHeight w:val="222"/>
        </w:trPr>
        <w:tc>
          <w:tcPr>
            <w:tcW w:w="6804" w:type="dxa"/>
            <w:tcBorders>
              <w:top w:val="nil"/>
              <w:left w:val="nil"/>
            </w:tcBorders>
          </w:tcPr>
          <w:p w14:paraId="6A427297" w14:textId="77777777" w:rsidR="0088112C" w:rsidRPr="004D53EC" w:rsidRDefault="0088112C" w:rsidP="005760FF">
            <w:pPr>
              <w:pStyle w:val="TableParagraph"/>
              <w:spacing w:before="1"/>
              <w:ind w:left="115"/>
              <w:jc w:val="left"/>
              <w:rPr>
                <w:rFonts w:ascii="Arial"/>
                <w:b/>
                <w:sz w:val="16"/>
                <w:lang w:val="sq-AL"/>
              </w:rPr>
            </w:pPr>
            <w:r w:rsidRPr="004D53EC">
              <w:rPr>
                <w:b/>
                <w:spacing w:val="-2"/>
                <w:sz w:val="16"/>
                <w:lang w:val="sq-AL" w:bidi="sq-AL"/>
              </w:rPr>
              <w:t>Bujqësia</w:t>
            </w:r>
          </w:p>
        </w:tc>
        <w:tc>
          <w:tcPr>
            <w:tcW w:w="568" w:type="dxa"/>
          </w:tcPr>
          <w:p w14:paraId="12330A16" w14:textId="77777777" w:rsidR="0088112C" w:rsidRPr="004D53EC" w:rsidRDefault="0088112C" w:rsidP="005760FF">
            <w:pPr>
              <w:pStyle w:val="TableParagraph"/>
              <w:spacing w:before="1"/>
              <w:ind w:left="11"/>
              <w:rPr>
                <w:rFonts w:ascii="Arial MT"/>
                <w:sz w:val="16"/>
                <w:lang w:val="sq-AL"/>
              </w:rPr>
            </w:pPr>
            <w:r w:rsidRPr="004D53EC">
              <w:rPr>
                <w:spacing w:val="-4"/>
                <w:sz w:val="16"/>
                <w:lang w:val="sq-AL" w:bidi="sq-AL"/>
              </w:rPr>
              <w:t>Shënime</w:t>
            </w:r>
          </w:p>
        </w:tc>
        <w:tc>
          <w:tcPr>
            <w:tcW w:w="1134" w:type="dxa"/>
          </w:tcPr>
          <w:p w14:paraId="4B16B1CD"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2010</w:t>
            </w:r>
          </w:p>
        </w:tc>
        <w:tc>
          <w:tcPr>
            <w:tcW w:w="1134" w:type="dxa"/>
          </w:tcPr>
          <w:p w14:paraId="40AFEE13"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2017</w:t>
            </w:r>
          </w:p>
        </w:tc>
        <w:tc>
          <w:tcPr>
            <w:tcW w:w="1134" w:type="dxa"/>
          </w:tcPr>
          <w:p w14:paraId="384D1842"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2018</w:t>
            </w:r>
          </w:p>
        </w:tc>
        <w:tc>
          <w:tcPr>
            <w:tcW w:w="1134" w:type="dxa"/>
          </w:tcPr>
          <w:p w14:paraId="00A86F27"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2019</w:t>
            </w:r>
          </w:p>
        </w:tc>
        <w:tc>
          <w:tcPr>
            <w:tcW w:w="1134" w:type="dxa"/>
          </w:tcPr>
          <w:p w14:paraId="58BCD01B"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2020</w:t>
            </w:r>
          </w:p>
        </w:tc>
        <w:tc>
          <w:tcPr>
            <w:tcW w:w="1134" w:type="dxa"/>
          </w:tcPr>
          <w:p w14:paraId="5E888AB4" w14:textId="77777777" w:rsidR="0088112C" w:rsidRPr="004D53EC" w:rsidRDefault="0088112C" w:rsidP="005760FF">
            <w:pPr>
              <w:pStyle w:val="TableParagraph"/>
              <w:spacing w:before="1"/>
              <w:ind w:right="1"/>
              <w:rPr>
                <w:rFonts w:ascii="Arial MT"/>
                <w:sz w:val="16"/>
                <w:lang w:val="sq-AL"/>
              </w:rPr>
            </w:pPr>
            <w:r w:rsidRPr="004D53EC">
              <w:rPr>
                <w:spacing w:val="-4"/>
                <w:sz w:val="16"/>
                <w:lang w:val="sq-AL" w:bidi="sq-AL"/>
              </w:rPr>
              <w:t>2021</w:t>
            </w:r>
          </w:p>
        </w:tc>
      </w:tr>
      <w:tr w:rsidR="0088112C" w:rsidRPr="004D53EC" w14:paraId="24920563" w14:textId="77777777" w:rsidTr="005760FF">
        <w:trPr>
          <w:trHeight w:val="223"/>
        </w:trPr>
        <w:tc>
          <w:tcPr>
            <w:tcW w:w="6804" w:type="dxa"/>
          </w:tcPr>
          <w:p w14:paraId="5FB081B3"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Indeksi i vëllimit të prodhimit bujqësor të mallrave dhe shërbimeve (me çmimet e prodhuesve) (2010 = 100)</w:t>
            </w:r>
          </w:p>
        </w:tc>
        <w:tc>
          <w:tcPr>
            <w:tcW w:w="568" w:type="dxa"/>
          </w:tcPr>
          <w:p w14:paraId="116C8A18" w14:textId="77777777" w:rsidR="0088112C" w:rsidRPr="004D53EC" w:rsidRDefault="0088112C" w:rsidP="005760FF">
            <w:pPr>
              <w:pStyle w:val="TableParagraph"/>
              <w:ind w:left="0"/>
              <w:jc w:val="left"/>
              <w:rPr>
                <w:sz w:val="14"/>
                <w:lang w:val="sq-AL"/>
              </w:rPr>
            </w:pPr>
          </w:p>
        </w:tc>
        <w:tc>
          <w:tcPr>
            <w:tcW w:w="1134" w:type="dxa"/>
          </w:tcPr>
          <w:p w14:paraId="0BFA7AF0"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234AEFDA"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0CE04D8C"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140BB50D"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202D6840"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09051F64"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r>
      <w:tr w:rsidR="0088112C" w:rsidRPr="004D53EC" w14:paraId="55D4492A" w14:textId="77777777" w:rsidTr="005760FF">
        <w:trPr>
          <w:trHeight w:val="222"/>
        </w:trPr>
        <w:tc>
          <w:tcPr>
            <w:tcW w:w="6804" w:type="dxa"/>
          </w:tcPr>
          <w:p w14:paraId="10E57A70"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Sipërfaqe bujqësore e shfrytëzuar (në mijë hektarë)</w:t>
            </w:r>
          </w:p>
        </w:tc>
        <w:tc>
          <w:tcPr>
            <w:tcW w:w="568" w:type="dxa"/>
          </w:tcPr>
          <w:p w14:paraId="4E96DB80" w14:textId="77777777" w:rsidR="0088112C" w:rsidRPr="004D53EC" w:rsidRDefault="0088112C" w:rsidP="005760FF">
            <w:pPr>
              <w:pStyle w:val="TableParagraph"/>
              <w:ind w:left="0"/>
              <w:jc w:val="left"/>
              <w:rPr>
                <w:sz w:val="14"/>
                <w:lang w:val="sq-AL"/>
              </w:rPr>
            </w:pPr>
          </w:p>
        </w:tc>
        <w:tc>
          <w:tcPr>
            <w:tcW w:w="1134" w:type="dxa"/>
          </w:tcPr>
          <w:p w14:paraId="0C6F9BEA" w14:textId="77777777" w:rsidR="0088112C" w:rsidRPr="004D53EC" w:rsidRDefault="0088112C" w:rsidP="005760FF">
            <w:pPr>
              <w:pStyle w:val="TableParagraph"/>
              <w:spacing w:line="184" w:lineRule="exact"/>
              <w:ind w:right="2"/>
              <w:rPr>
                <w:rFonts w:ascii="Arial MT"/>
                <w:sz w:val="16"/>
                <w:lang w:val="sq-AL"/>
              </w:rPr>
            </w:pPr>
            <w:r w:rsidRPr="004D53EC">
              <w:rPr>
                <w:sz w:val="16"/>
                <w:lang w:val="sq-AL" w:bidi="sq-AL"/>
              </w:rPr>
              <w:t>1 200.9</w:t>
            </w:r>
          </w:p>
        </w:tc>
        <w:tc>
          <w:tcPr>
            <w:tcW w:w="1134" w:type="dxa"/>
          </w:tcPr>
          <w:p w14:paraId="30BD0E64" w14:textId="77777777" w:rsidR="0088112C" w:rsidRPr="004D53EC" w:rsidRDefault="0088112C" w:rsidP="005760FF">
            <w:pPr>
              <w:pStyle w:val="TableParagraph"/>
              <w:spacing w:line="184" w:lineRule="exact"/>
              <w:ind w:right="2"/>
              <w:rPr>
                <w:rFonts w:ascii="Arial MT"/>
                <w:sz w:val="16"/>
                <w:lang w:val="sq-AL"/>
              </w:rPr>
            </w:pPr>
            <w:r w:rsidRPr="004D53EC">
              <w:rPr>
                <w:sz w:val="16"/>
                <w:lang w:val="sq-AL" w:bidi="sq-AL"/>
              </w:rPr>
              <w:t>1 174.1</w:t>
            </w:r>
          </w:p>
        </w:tc>
        <w:tc>
          <w:tcPr>
            <w:tcW w:w="1134" w:type="dxa"/>
          </w:tcPr>
          <w:p w14:paraId="5FDDD683" w14:textId="77777777" w:rsidR="0088112C" w:rsidRPr="004D53EC" w:rsidRDefault="0088112C" w:rsidP="005760FF">
            <w:pPr>
              <w:pStyle w:val="TableParagraph"/>
              <w:spacing w:line="184" w:lineRule="exact"/>
              <w:ind w:right="2"/>
              <w:rPr>
                <w:rFonts w:ascii="Arial MT"/>
                <w:sz w:val="16"/>
                <w:lang w:val="sq-AL"/>
              </w:rPr>
            </w:pPr>
            <w:r w:rsidRPr="004D53EC">
              <w:rPr>
                <w:sz w:val="16"/>
                <w:lang w:val="sq-AL" w:bidi="sq-AL"/>
              </w:rPr>
              <w:t>1 174.0</w:t>
            </w:r>
          </w:p>
        </w:tc>
        <w:tc>
          <w:tcPr>
            <w:tcW w:w="1134" w:type="dxa"/>
          </w:tcPr>
          <w:p w14:paraId="5C7B44AB" w14:textId="77777777" w:rsidR="0088112C" w:rsidRPr="004D53EC" w:rsidRDefault="0088112C" w:rsidP="005760FF">
            <w:pPr>
              <w:pStyle w:val="TableParagraph"/>
              <w:spacing w:line="184" w:lineRule="exact"/>
              <w:ind w:right="2"/>
              <w:rPr>
                <w:rFonts w:ascii="Arial MT"/>
                <w:sz w:val="16"/>
                <w:lang w:val="sq-AL"/>
              </w:rPr>
            </w:pPr>
            <w:r w:rsidRPr="004D53EC">
              <w:rPr>
                <w:sz w:val="16"/>
                <w:lang w:val="sq-AL" w:bidi="sq-AL"/>
              </w:rPr>
              <w:t>1 174.1</w:t>
            </w:r>
          </w:p>
        </w:tc>
        <w:tc>
          <w:tcPr>
            <w:tcW w:w="1134" w:type="dxa"/>
          </w:tcPr>
          <w:p w14:paraId="00062F3D" w14:textId="77777777" w:rsidR="0088112C" w:rsidRPr="004D53EC" w:rsidRDefault="0088112C" w:rsidP="005760FF">
            <w:pPr>
              <w:pStyle w:val="TableParagraph"/>
              <w:spacing w:line="184" w:lineRule="exact"/>
              <w:ind w:right="2"/>
              <w:rPr>
                <w:rFonts w:ascii="Arial MT"/>
                <w:sz w:val="16"/>
                <w:lang w:val="sq-AL"/>
              </w:rPr>
            </w:pPr>
            <w:r w:rsidRPr="004D53EC">
              <w:rPr>
                <w:sz w:val="16"/>
                <w:lang w:val="sq-AL" w:bidi="sq-AL"/>
              </w:rPr>
              <w:t>1 165.7</w:t>
            </w:r>
          </w:p>
        </w:tc>
        <w:tc>
          <w:tcPr>
            <w:tcW w:w="1134" w:type="dxa"/>
          </w:tcPr>
          <w:p w14:paraId="084EE5D8" w14:textId="77777777" w:rsidR="0088112C" w:rsidRPr="004D53EC" w:rsidRDefault="0088112C" w:rsidP="005760FF">
            <w:pPr>
              <w:pStyle w:val="TableParagraph"/>
              <w:spacing w:line="184" w:lineRule="exact"/>
              <w:ind w:right="2"/>
              <w:rPr>
                <w:rFonts w:ascii="Arial MT"/>
                <w:sz w:val="16"/>
                <w:lang w:val="sq-AL"/>
              </w:rPr>
            </w:pPr>
            <w:r w:rsidRPr="004D53EC">
              <w:rPr>
                <w:sz w:val="16"/>
                <w:lang w:val="sq-AL" w:bidi="sq-AL"/>
              </w:rPr>
              <w:t>1 165.6</w:t>
            </w:r>
          </w:p>
        </w:tc>
      </w:tr>
      <w:tr w:rsidR="0088112C" w:rsidRPr="004D53EC" w14:paraId="3F3858E0" w14:textId="77777777" w:rsidTr="005760FF">
        <w:trPr>
          <w:trHeight w:val="222"/>
        </w:trPr>
        <w:tc>
          <w:tcPr>
            <w:tcW w:w="6804" w:type="dxa"/>
          </w:tcPr>
          <w:p w14:paraId="4C07B282"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Numri i bagëtive: gjedh të gjalla (një mijë krerë, fundi i periudhës)</w:t>
            </w:r>
          </w:p>
        </w:tc>
        <w:tc>
          <w:tcPr>
            <w:tcW w:w="568" w:type="dxa"/>
          </w:tcPr>
          <w:p w14:paraId="5E57FC37" w14:textId="77777777" w:rsidR="0088112C" w:rsidRPr="004D53EC" w:rsidRDefault="0088112C" w:rsidP="005760FF">
            <w:pPr>
              <w:pStyle w:val="TableParagraph"/>
              <w:ind w:left="0"/>
              <w:jc w:val="left"/>
              <w:rPr>
                <w:sz w:val="14"/>
                <w:lang w:val="sq-AL"/>
              </w:rPr>
            </w:pPr>
          </w:p>
        </w:tc>
        <w:tc>
          <w:tcPr>
            <w:tcW w:w="1134" w:type="dxa"/>
          </w:tcPr>
          <w:p w14:paraId="7073C5C2"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2476A661" w14:textId="77777777" w:rsidR="0088112C" w:rsidRPr="004D53EC" w:rsidRDefault="0088112C" w:rsidP="005760FF">
            <w:pPr>
              <w:pStyle w:val="TableParagraph"/>
              <w:spacing w:before="1"/>
              <w:ind w:right="3"/>
              <w:rPr>
                <w:rFonts w:ascii="Arial MT"/>
                <w:sz w:val="16"/>
                <w:lang w:val="sq-AL"/>
              </w:rPr>
            </w:pPr>
            <w:r w:rsidRPr="004D53EC">
              <w:rPr>
                <w:spacing w:val="-2"/>
                <w:sz w:val="16"/>
                <w:lang w:val="sq-AL" w:bidi="sq-AL"/>
              </w:rPr>
              <w:t>475.2</w:t>
            </w:r>
          </w:p>
        </w:tc>
        <w:tc>
          <w:tcPr>
            <w:tcW w:w="1134" w:type="dxa"/>
          </w:tcPr>
          <w:p w14:paraId="76D9974D" w14:textId="77777777" w:rsidR="0088112C" w:rsidRPr="004D53EC" w:rsidRDefault="0088112C" w:rsidP="005760FF">
            <w:pPr>
              <w:pStyle w:val="TableParagraph"/>
              <w:spacing w:before="1"/>
              <w:ind w:right="3"/>
              <w:rPr>
                <w:rFonts w:ascii="Arial MT"/>
                <w:sz w:val="16"/>
                <w:lang w:val="sq-AL"/>
              </w:rPr>
            </w:pPr>
            <w:r w:rsidRPr="004D53EC">
              <w:rPr>
                <w:spacing w:val="-2"/>
                <w:sz w:val="16"/>
                <w:lang w:val="sq-AL" w:bidi="sq-AL"/>
              </w:rPr>
              <w:t>467.3</w:t>
            </w:r>
          </w:p>
        </w:tc>
        <w:tc>
          <w:tcPr>
            <w:tcW w:w="1134" w:type="dxa"/>
          </w:tcPr>
          <w:p w14:paraId="148E4A6E" w14:textId="77777777" w:rsidR="0088112C" w:rsidRPr="004D53EC" w:rsidRDefault="0088112C" w:rsidP="005760FF">
            <w:pPr>
              <w:pStyle w:val="TableParagraph"/>
              <w:spacing w:before="1"/>
              <w:ind w:right="3"/>
              <w:rPr>
                <w:rFonts w:ascii="Arial MT"/>
                <w:sz w:val="16"/>
                <w:lang w:val="sq-AL"/>
              </w:rPr>
            </w:pPr>
            <w:r w:rsidRPr="004D53EC">
              <w:rPr>
                <w:spacing w:val="-2"/>
                <w:sz w:val="16"/>
                <w:lang w:val="sq-AL" w:bidi="sq-AL"/>
              </w:rPr>
              <w:t>415.6</w:t>
            </w:r>
          </w:p>
        </w:tc>
        <w:tc>
          <w:tcPr>
            <w:tcW w:w="1134" w:type="dxa"/>
          </w:tcPr>
          <w:p w14:paraId="31CA0F57" w14:textId="77777777" w:rsidR="0088112C" w:rsidRPr="004D53EC" w:rsidRDefault="0088112C" w:rsidP="005760FF">
            <w:pPr>
              <w:pStyle w:val="TableParagraph"/>
              <w:spacing w:before="1"/>
              <w:ind w:right="3"/>
              <w:rPr>
                <w:rFonts w:ascii="Arial MT"/>
                <w:sz w:val="16"/>
                <w:lang w:val="sq-AL"/>
              </w:rPr>
            </w:pPr>
            <w:r w:rsidRPr="004D53EC">
              <w:rPr>
                <w:spacing w:val="-2"/>
                <w:sz w:val="16"/>
                <w:lang w:val="sq-AL" w:bidi="sq-AL"/>
              </w:rPr>
              <w:t>362.6</w:t>
            </w:r>
          </w:p>
        </w:tc>
        <w:tc>
          <w:tcPr>
            <w:tcW w:w="1134" w:type="dxa"/>
          </w:tcPr>
          <w:p w14:paraId="2FBB4AFB" w14:textId="77777777" w:rsidR="0088112C" w:rsidRPr="004D53EC" w:rsidRDefault="0088112C" w:rsidP="005760FF">
            <w:pPr>
              <w:pStyle w:val="TableParagraph"/>
              <w:spacing w:before="1"/>
              <w:ind w:right="3"/>
              <w:rPr>
                <w:rFonts w:ascii="Arial MT"/>
                <w:sz w:val="16"/>
                <w:lang w:val="sq-AL"/>
              </w:rPr>
            </w:pPr>
            <w:r w:rsidRPr="004D53EC">
              <w:rPr>
                <w:spacing w:val="-2"/>
                <w:sz w:val="16"/>
                <w:lang w:val="sq-AL" w:bidi="sq-AL"/>
              </w:rPr>
              <w:t>336.8</w:t>
            </w:r>
          </w:p>
        </w:tc>
      </w:tr>
      <w:tr w:rsidR="0088112C" w:rsidRPr="004D53EC" w14:paraId="229C83D0" w14:textId="77777777" w:rsidTr="005760FF">
        <w:trPr>
          <w:trHeight w:val="223"/>
        </w:trPr>
        <w:tc>
          <w:tcPr>
            <w:tcW w:w="6804" w:type="dxa"/>
          </w:tcPr>
          <w:p w14:paraId="6FB64D1C"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Numri i bagëtive: derr i gjallë (një mijë krerë, fundi i periudhës)</w:t>
            </w:r>
          </w:p>
        </w:tc>
        <w:tc>
          <w:tcPr>
            <w:tcW w:w="568" w:type="dxa"/>
          </w:tcPr>
          <w:p w14:paraId="3FB90CCE" w14:textId="77777777" w:rsidR="0088112C" w:rsidRPr="004D53EC" w:rsidRDefault="0088112C" w:rsidP="005760FF">
            <w:pPr>
              <w:pStyle w:val="TableParagraph"/>
              <w:ind w:left="0"/>
              <w:jc w:val="left"/>
              <w:rPr>
                <w:sz w:val="14"/>
                <w:lang w:val="sq-AL"/>
              </w:rPr>
            </w:pPr>
          </w:p>
        </w:tc>
        <w:tc>
          <w:tcPr>
            <w:tcW w:w="1134" w:type="dxa"/>
          </w:tcPr>
          <w:p w14:paraId="392D0863"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0FA797BB" w14:textId="77777777" w:rsidR="0088112C" w:rsidRPr="004D53EC" w:rsidRDefault="0088112C" w:rsidP="005760FF">
            <w:pPr>
              <w:pStyle w:val="TableParagraph"/>
              <w:spacing w:before="1"/>
              <w:ind w:right="3"/>
              <w:rPr>
                <w:rFonts w:ascii="Arial MT"/>
                <w:sz w:val="16"/>
                <w:lang w:val="sq-AL"/>
              </w:rPr>
            </w:pPr>
            <w:r w:rsidRPr="004D53EC">
              <w:rPr>
                <w:spacing w:val="-2"/>
                <w:sz w:val="16"/>
                <w:lang w:val="sq-AL" w:bidi="sq-AL"/>
              </w:rPr>
              <w:t>180.1</w:t>
            </w:r>
          </w:p>
        </w:tc>
        <w:tc>
          <w:tcPr>
            <w:tcW w:w="1134" w:type="dxa"/>
          </w:tcPr>
          <w:p w14:paraId="2B74ABA4" w14:textId="77777777" w:rsidR="0088112C" w:rsidRPr="004D53EC" w:rsidRDefault="0088112C" w:rsidP="005760FF">
            <w:pPr>
              <w:pStyle w:val="TableParagraph"/>
              <w:spacing w:before="1"/>
              <w:ind w:right="3"/>
              <w:rPr>
                <w:rFonts w:ascii="Arial MT"/>
                <w:sz w:val="16"/>
                <w:lang w:val="sq-AL"/>
              </w:rPr>
            </w:pPr>
            <w:r w:rsidRPr="004D53EC">
              <w:rPr>
                <w:spacing w:val="-2"/>
                <w:sz w:val="16"/>
                <w:lang w:val="sq-AL" w:bidi="sq-AL"/>
              </w:rPr>
              <w:t>184.1</w:t>
            </w:r>
          </w:p>
        </w:tc>
        <w:tc>
          <w:tcPr>
            <w:tcW w:w="1134" w:type="dxa"/>
          </w:tcPr>
          <w:p w14:paraId="35E969BA" w14:textId="77777777" w:rsidR="0088112C" w:rsidRPr="004D53EC" w:rsidRDefault="0088112C" w:rsidP="005760FF">
            <w:pPr>
              <w:pStyle w:val="TableParagraph"/>
              <w:spacing w:before="1"/>
              <w:ind w:right="3"/>
              <w:rPr>
                <w:rFonts w:ascii="Arial MT"/>
                <w:sz w:val="16"/>
                <w:lang w:val="sq-AL"/>
              </w:rPr>
            </w:pPr>
            <w:r w:rsidRPr="004D53EC">
              <w:rPr>
                <w:spacing w:val="-2"/>
                <w:sz w:val="16"/>
                <w:lang w:val="sq-AL" w:bidi="sq-AL"/>
              </w:rPr>
              <w:t>183.9</w:t>
            </w:r>
          </w:p>
        </w:tc>
        <w:tc>
          <w:tcPr>
            <w:tcW w:w="1134" w:type="dxa"/>
          </w:tcPr>
          <w:p w14:paraId="5689D26B" w14:textId="77777777" w:rsidR="0088112C" w:rsidRPr="004D53EC" w:rsidRDefault="0088112C" w:rsidP="005760FF">
            <w:pPr>
              <w:pStyle w:val="TableParagraph"/>
              <w:spacing w:before="1"/>
              <w:ind w:right="3"/>
              <w:rPr>
                <w:rFonts w:ascii="Arial MT"/>
                <w:sz w:val="16"/>
                <w:lang w:val="sq-AL"/>
              </w:rPr>
            </w:pPr>
            <w:r w:rsidRPr="004D53EC">
              <w:rPr>
                <w:spacing w:val="-2"/>
                <w:sz w:val="16"/>
                <w:lang w:val="sq-AL" w:bidi="sq-AL"/>
              </w:rPr>
              <w:t>158.4</w:t>
            </w:r>
          </w:p>
        </w:tc>
        <w:tc>
          <w:tcPr>
            <w:tcW w:w="1134" w:type="dxa"/>
          </w:tcPr>
          <w:p w14:paraId="005A4883" w14:textId="77777777" w:rsidR="0088112C" w:rsidRPr="004D53EC" w:rsidRDefault="0088112C" w:rsidP="005760FF">
            <w:pPr>
              <w:pStyle w:val="TableParagraph"/>
              <w:spacing w:before="1"/>
              <w:ind w:right="3"/>
              <w:rPr>
                <w:rFonts w:ascii="Arial MT"/>
                <w:sz w:val="16"/>
                <w:lang w:val="sq-AL"/>
              </w:rPr>
            </w:pPr>
            <w:r w:rsidRPr="004D53EC">
              <w:rPr>
                <w:spacing w:val="-2"/>
                <w:sz w:val="16"/>
                <w:lang w:val="sq-AL" w:bidi="sq-AL"/>
              </w:rPr>
              <w:t>159.2</w:t>
            </w:r>
          </w:p>
        </w:tc>
      </w:tr>
      <w:tr w:rsidR="0088112C" w:rsidRPr="004D53EC" w14:paraId="6C1897E3" w14:textId="77777777" w:rsidTr="005760FF">
        <w:trPr>
          <w:trHeight w:val="222"/>
        </w:trPr>
        <w:tc>
          <w:tcPr>
            <w:tcW w:w="6804" w:type="dxa"/>
          </w:tcPr>
          <w:p w14:paraId="69797B35"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Numri i bagëtive: dele të gjalla dhe dhi të gjalla (një mijë krerë, fundi i periudhës)</w:t>
            </w:r>
          </w:p>
        </w:tc>
        <w:tc>
          <w:tcPr>
            <w:tcW w:w="568" w:type="dxa"/>
          </w:tcPr>
          <w:p w14:paraId="747894C4" w14:textId="77777777" w:rsidR="0088112C" w:rsidRPr="004D53EC" w:rsidRDefault="0088112C" w:rsidP="005760FF">
            <w:pPr>
              <w:pStyle w:val="TableParagraph"/>
              <w:ind w:left="0"/>
              <w:jc w:val="left"/>
              <w:rPr>
                <w:sz w:val="14"/>
                <w:lang w:val="sq-AL"/>
              </w:rPr>
            </w:pPr>
          </w:p>
        </w:tc>
        <w:tc>
          <w:tcPr>
            <w:tcW w:w="1134" w:type="dxa"/>
          </w:tcPr>
          <w:p w14:paraId="50F00E5A"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246362F2" w14:textId="77777777" w:rsidR="0088112C" w:rsidRPr="004D53EC" w:rsidRDefault="0088112C" w:rsidP="005760FF">
            <w:pPr>
              <w:pStyle w:val="TableParagraph"/>
              <w:spacing w:line="184" w:lineRule="exact"/>
              <w:ind w:right="2"/>
              <w:rPr>
                <w:rFonts w:ascii="Arial MT"/>
                <w:sz w:val="16"/>
                <w:lang w:val="sq-AL"/>
              </w:rPr>
            </w:pPr>
            <w:r w:rsidRPr="004D53EC">
              <w:rPr>
                <w:sz w:val="16"/>
                <w:lang w:val="sq-AL" w:bidi="sq-AL"/>
              </w:rPr>
              <w:t>2 858.6 s</w:t>
            </w:r>
          </w:p>
        </w:tc>
        <w:tc>
          <w:tcPr>
            <w:tcW w:w="1134" w:type="dxa"/>
          </w:tcPr>
          <w:p w14:paraId="13D7A600" w14:textId="77777777" w:rsidR="0088112C" w:rsidRPr="004D53EC" w:rsidRDefault="0088112C" w:rsidP="005760FF">
            <w:pPr>
              <w:pStyle w:val="TableParagraph"/>
              <w:spacing w:line="184" w:lineRule="exact"/>
              <w:ind w:right="2"/>
              <w:rPr>
                <w:rFonts w:ascii="Arial MT"/>
                <w:sz w:val="16"/>
                <w:lang w:val="sq-AL"/>
              </w:rPr>
            </w:pPr>
            <w:r w:rsidRPr="004D53EC">
              <w:rPr>
                <w:sz w:val="16"/>
                <w:lang w:val="sq-AL" w:bidi="sq-AL"/>
              </w:rPr>
              <w:t>2 781.0 s</w:t>
            </w:r>
          </w:p>
        </w:tc>
        <w:tc>
          <w:tcPr>
            <w:tcW w:w="1134" w:type="dxa"/>
          </w:tcPr>
          <w:p w14:paraId="5307F76F" w14:textId="77777777" w:rsidR="0088112C" w:rsidRPr="004D53EC" w:rsidRDefault="0088112C" w:rsidP="005760FF">
            <w:pPr>
              <w:pStyle w:val="TableParagraph"/>
              <w:spacing w:line="184" w:lineRule="exact"/>
              <w:ind w:right="2"/>
              <w:rPr>
                <w:rFonts w:ascii="Arial MT"/>
                <w:sz w:val="16"/>
                <w:lang w:val="sq-AL"/>
              </w:rPr>
            </w:pPr>
            <w:r w:rsidRPr="004D53EC">
              <w:rPr>
                <w:sz w:val="16"/>
                <w:lang w:val="sq-AL" w:bidi="sq-AL"/>
              </w:rPr>
              <w:t>2 621.2 s</w:t>
            </w:r>
          </w:p>
        </w:tc>
        <w:tc>
          <w:tcPr>
            <w:tcW w:w="1134" w:type="dxa"/>
          </w:tcPr>
          <w:p w14:paraId="73AC4852" w14:textId="77777777" w:rsidR="0088112C" w:rsidRPr="004D53EC" w:rsidRDefault="0088112C" w:rsidP="005760FF">
            <w:pPr>
              <w:pStyle w:val="TableParagraph"/>
              <w:spacing w:line="184" w:lineRule="exact"/>
              <w:ind w:right="2"/>
              <w:rPr>
                <w:rFonts w:ascii="Arial MT"/>
                <w:sz w:val="16"/>
                <w:lang w:val="sq-AL"/>
              </w:rPr>
            </w:pPr>
            <w:r w:rsidRPr="004D53EC">
              <w:rPr>
                <w:sz w:val="16"/>
                <w:lang w:val="sq-AL" w:bidi="sq-AL"/>
              </w:rPr>
              <w:t>2 332.2 s</w:t>
            </w:r>
          </w:p>
        </w:tc>
        <w:tc>
          <w:tcPr>
            <w:tcW w:w="1134" w:type="dxa"/>
          </w:tcPr>
          <w:p w14:paraId="335F5A51" w14:textId="77777777" w:rsidR="0088112C" w:rsidRPr="004D53EC" w:rsidRDefault="0088112C" w:rsidP="005760FF">
            <w:pPr>
              <w:pStyle w:val="TableParagraph"/>
              <w:spacing w:line="184" w:lineRule="exact"/>
              <w:ind w:right="2"/>
              <w:rPr>
                <w:rFonts w:ascii="Arial MT"/>
                <w:sz w:val="16"/>
                <w:lang w:val="sq-AL"/>
              </w:rPr>
            </w:pPr>
            <w:r w:rsidRPr="004D53EC">
              <w:rPr>
                <w:sz w:val="16"/>
                <w:lang w:val="sq-AL" w:bidi="sq-AL"/>
              </w:rPr>
              <w:t>2 255.8 s</w:t>
            </w:r>
          </w:p>
        </w:tc>
      </w:tr>
      <w:tr w:rsidR="0088112C" w:rsidRPr="004D53EC" w14:paraId="5DD76AD4" w14:textId="77777777" w:rsidTr="005760FF">
        <w:trPr>
          <w:trHeight w:val="222"/>
        </w:trPr>
        <w:tc>
          <w:tcPr>
            <w:tcW w:w="6804" w:type="dxa"/>
          </w:tcPr>
          <w:p w14:paraId="0687BDBA"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 xml:space="preserve">Qumështi i papërpunuar i </w:t>
            </w:r>
            <w:proofErr w:type="spellStart"/>
            <w:r w:rsidRPr="004D53EC">
              <w:rPr>
                <w:sz w:val="16"/>
                <w:lang w:val="sq-AL" w:bidi="sq-AL"/>
              </w:rPr>
              <w:t>disponueshëm</w:t>
            </w:r>
            <w:proofErr w:type="spellEnd"/>
            <w:r w:rsidRPr="004D53EC">
              <w:rPr>
                <w:sz w:val="16"/>
                <w:lang w:val="sq-AL" w:bidi="sq-AL"/>
              </w:rPr>
              <w:t xml:space="preserve"> në ferma (në mijë tonë)</w:t>
            </w:r>
          </w:p>
        </w:tc>
        <w:tc>
          <w:tcPr>
            <w:tcW w:w="568" w:type="dxa"/>
          </w:tcPr>
          <w:p w14:paraId="20864F88" w14:textId="77777777" w:rsidR="0088112C" w:rsidRPr="004D53EC" w:rsidRDefault="0088112C" w:rsidP="005760FF">
            <w:pPr>
              <w:pStyle w:val="TableParagraph"/>
              <w:ind w:left="0"/>
              <w:jc w:val="left"/>
              <w:rPr>
                <w:sz w:val="14"/>
                <w:lang w:val="sq-AL"/>
              </w:rPr>
            </w:pPr>
          </w:p>
        </w:tc>
        <w:tc>
          <w:tcPr>
            <w:tcW w:w="1134" w:type="dxa"/>
          </w:tcPr>
          <w:p w14:paraId="5BA5C868"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020619DF"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3F1B3C8E"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12EEE470"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71BE66CA"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307A45E0"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r>
      <w:tr w:rsidR="0088112C" w:rsidRPr="004D53EC" w14:paraId="38232C9B" w14:textId="77777777" w:rsidTr="005760FF">
        <w:trPr>
          <w:trHeight w:val="223"/>
        </w:trPr>
        <w:tc>
          <w:tcPr>
            <w:tcW w:w="6804" w:type="dxa"/>
          </w:tcPr>
          <w:p w14:paraId="2C2A39A8"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lastRenderedPageBreak/>
              <w:t>Prodhimi i kulturave të korra: drithëra (përfshirë orizin) (mijë tonë)</w:t>
            </w:r>
          </w:p>
        </w:tc>
        <w:tc>
          <w:tcPr>
            <w:tcW w:w="568" w:type="dxa"/>
          </w:tcPr>
          <w:p w14:paraId="6AF2B86C" w14:textId="77777777" w:rsidR="0088112C" w:rsidRPr="004D53EC" w:rsidRDefault="0088112C" w:rsidP="005760FF">
            <w:pPr>
              <w:pStyle w:val="TableParagraph"/>
              <w:ind w:left="0"/>
              <w:jc w:val="left"/>
              <w:rPr>
                <w:sz w:val="14"/>
                <w:lang w:val="sq-AL"/>
              </w:rPr>
            </w:pPr>
          </w:p>
        </w:tc>
        <w:tc>
          <w:tcPr>
            <w:tcW w:w="1134" w:type="dxa"/>
          </w:tcPr>
          <w:p w14:paraId="7C99F1A1"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38D7AAFE"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44C7B5B4" w14:textId="77777777" w:rsidR="0088112C" w:rsidRPr="004D53EC" w:rsidRDefault="0088112C" w:rsidP="005760FF">
            <w:pPr>
              <w:pStyle w:val="TableParagraph"/>
              <w:spacing w:before="1"/>
              <w:ind w:right="3"/>
              <w:rPr>
                <w:rFonts w:ascii="Arial MT"/>
                <w:sz w:val="16"/>
                <w:lang w:val="sq-AL"/>
              </w:rPr>
            </w:pPr>
            <w:r w:rsidRPr="004D53EC">
              <w:rPr>
                <w:spacing w:val="-2"/>
                <w:sz w:val="16"/>
                <w:lang w:val="sq-AL" w:bidi="sq-AL"/>
              </w:rPr>
              <w:t>678.2</w:t>
            </w:r>
          </w:p>
        </w:tc>
        <w:tc>
          <w:tcPr>
            <w:tcW w:w="1134" w:type="dxa"/>
          </w:tcPr>
          <w:p w14:paraId="3C9295A7" w14:textId="77777777" w:rsidR="0088112C" w:rsidRPr="004D53EC" w:rsidRDefault="0088112C" w:rsidP="005760FF">
            <w:pPr>
              <w:pStyle w:val="TableParagraph"/>
              <w:spacing w:before="1"/>
              <w:ind w:right="3"/>
              <w:rPr>
                <w:rFonts w:ascii="Arial MT"/>
                <w:sz w:val="16"/>
                <w:lang w:val="sq-AL"/>
              </w:rPr>
            </w:pPr>
            <w:r w:rsidRPr="004D53EC">
              <w:rPr>
                <w:spacing w:val="-2"/>
                <w:sz w:val="16"/>
                <w:lang w:val="sq-AL" w:bidi="sq-AL"/>
              </w:rPr>
              <w:t>666.1</w:t>
            </w:r>
          </w:p>
        </w:tc>
        <w:tc>
          <w:tcPr>
            <w:tcW w:w="1134" w:type="dxa"/>
          </w:tcPr>
          <w:p w14:paraId="5E840AA6" w14:textId="77777777" w:rsidR="0088112C" w:rsidRPr="004D53EC" w:rsidRDefault="0088112C" w:rsidP="005760FF">
            <w:pPr>
              <w:pStyle w:val="TableParagraph"/>
              <w:spacing w:before="1"/>
              <w:ind w:right="3"/>
              <w:rPr>
                <w:rFonts w:ascii="Arial MT"/>
                <w:sz w:val="16"/>
                <w:lang w:val="sq-AL"/>
              </w:rPr>
            </w:pPr>
            <w:r w:rsidRPr="004D53EC">
              <w:rPr>
                <w:spacing w:val="-2"/>
                <w:sz w:val="16"/>
                <w:lang w:val="sq-AL" w:bidi="sq-AL"/>
              </w:rPr>
              <w:t>684.0</w:t>
            </w:r>
          </w:p>
        </w:tc>
        <w:tc>
          <w:tcPr>
            <w:tcW w:w="1134" w:type="dxa"/>
          </w:tcPr>
          <w:p w14:paraId="0A995A20" w14:textId="77777777" w:rsidR="0088112C" w:rsidRPr="004D53EC" w:rsidRDefault="0088112C" w:rsidP="005760FF">
            <w:pPr>
              <w:pStyle w:val="TableParagraph"/>
              <w:spacing w:before="1"/>
              <w:ind w:right="3"/>
              <w:rPr>
                <w:rFonts w:ascii="Arial MT"/>
                <w:sz w:val="16"/>
                <w:lang w:val="sq-AL"/>
              </w:rPr>
            </w:pPr>
            <w:r w:rsidRPr="004D53EC">
              <w:rPr>
                <w:spacing w:val="-2"/>
                <w:sz w:val="16"/>
                <w:lang w:val="sq-AL" w:bidi="sq-AL"/>
              </w:rPr>
              <w:t>691.4</w:t>
            </w:r>
          </w:p>
        </w:tc>
      </w:tr>
      <w:tr w:rsidR="0088112C" w:rsidRPr="004D53EC" w14:paraId="4E8ED1EC" w14:textId="77777777" w:rsidTr="005760FF">
        <w:trPr>
          <w:trHeight w:val="222"/>
        </w:trPr>
        <w:tc>
          <w:tcPr>
            <w:tcW w:w="6804" w:type="dxa"/>
          </w:tcPr>
          <w:p w14:paraId="38730BE1" w14:textId="77777777" w:rsidR="0088112C" w:rsidRPr="004D53EC" w:rsidRDefault="0088112C" w:rsidP="005760FF">
            <w:pPr>
              <w:pStyle w:val="TableParagraph"/>
              <w:spacing w:line="184" w:lineRule="exact"/>
              <w:ind w:left="107"/>
              <w:jc w:val="left"/>
              <w:rPr>
                <w:rFonts w:ascii="Arial MT"/>
                <w:sz w:val="16"/>
                <w:lang w:val="sq-AL"/>
              </w:rPr>
            </w:pPr>
            <w:r w:rsidRPr="004D53EC">
              <w:rPr>
                <w:sz w:val="16"/>
                <w:lang w:val="sq-AL" w:bidi="sq-AL"/>
              </w:rPr>
              <w:t>Prodhimi i kulturave të korra: panxhar sheqeri (në mijë tonë)</w:t>
            </w:r>
          </w:p>
        </w:tc>
        <w:tc>
          <w:tcPr>
            <w:tcW w:w="568" w:type="dxa"/>
          </w:tcPr>
          <w:p w14:paraId="309B7AD9" w14:textId="77777777" w:rsidR="0088112C" w:rsidRPr="004D53EC" w:rsidRDefault="0088112C" w:rsidP="005760FF">
            <w:pPr>
              <w:pStyle w:val="TableParagraph"/>
              <w:ind w:left="0"/>
              <w:jc w:val="left"/>
              <w:rPr>
                <w:sz w:val="14"/>
                <w:lang w:val="sq-AL"/>
              </w:rPr>
            </w:pPr>
          </w:p>
        </w:tc>
        <w:tc>
          <w:tcPr>
            <w:tcW w:w="1134" w:type="dxa"/>
          </w:tcPr>
          <w:p w14:paraId="57C4B4F1" w14:textId="77777777" w:rsidR="0088112C" w:rsidRPr="004D53EC" w:rsidRDefault="0088112C" w:rsidP="005760FF">
            <w:pPr>
              <w:pStyle w:val="TableParagraph"/>
              <w:spacing w:line="184" w:lineRule="exact"/>
              <w:rPr>
                <w:rFonts w:ascii="Arial MT"/>
                <w:sz w:val="16"/>
                <w:lang w:val="sq-AL"/>
              </w:rPr>
            </w:pPr>
            <w:r w:rsidRPr="004D53EC">
              <w:rPr>
                <w:spacing w:val="-10"/>
                <w:sz w:val="16"/>
                <w:lang w:val="sq-AL" w:bidi="sq-AL"/>
              </w:rPr>
              <w:t>:</w:t>
            </w:r>
          </w:p>
        </w:tc>
        <w:tc>
          <w:tcPr>
            <w:tcW w:w="1134" w:type="dxa"/>
          </w:tcPr>
          <w:p w14:paraId="305E60C9" w14:textId="77777777" w:rsidR="0088112C" w:rsidRPr="004D53EC" w:rsidRDefault="0088112C" w:rsidP="005760FF">
            <w:pPr>
              <w:pStyle w:val="TableParagraph"/>
              <w:spacing w:line="184" w:lineRule="exact"/>
              <w:rPr>
                <w:rFonts w:ascii="Arial MT"/>
                <w:sz w:val="16"/>
                <w:lang w:val="sq-AL"/>
              </w:rPr>
            </w:pPr>
            <w:r w:rsidRPr="004D53EC">
              <w:rPr>
                <w:spacing w:val="-5"/>
                <w:sz w:val="16"/>
                <w:lang w:val="sq-AL" w:bidi="sq-AL"/>
              </w:rPr>
              <w:t>0.0</w:t>
            </w:r>
          </w:p>
        </w:tc>
        <w:tc>
          <w:tcPr>
            <w:tcW w:w="1134" w:type="dxa"/>
          </w:tcPr>
          <w:p w14:paraId="2FB3D3B1"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27.5</w:t>
            </w:r>
          </w:p>
        </w:tc>
        <w:tc>
          <w:tcPr>
            <w:tcW w:w="1134" w:type="dxa"/>
          </w:tcPr>
          <w:p w14:paraId="20CCEA85"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30.7</w:t>
            </w:r>
          </w:p>
        </w:tc>
        <w:tc>
          <w:tcPr>
            <w:tcW w:w="1134" w:type="dxa"/>
          </w:tcPr>
          <w:p w14:paraId="704DB326"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27.0</w:t>
            </w:r>
          </w:p>
        </w:tc>
        <w:tc>
          <w:tcPr>
            <w:tcW w:w="1134" w:type="dxa"/>
          </w:tcPr>
          <w:p w14:paraId="6FDEB9E7" w14:textId="77777777" w:rsidR="0088112C" w:rsidRPr="004D53EC" w:rsidRDefault="0088112C" w:rsidP="005760FF">
            <w:pPr>
              <w:pStyle w:val="TableParagraph"/>
              <w:spacing w:line="184" w:lineRule="exact"/>
              <w:rPr>
                <w:rFonts w:ascii="Arial MT"/>
                <w:sz w:val="16"/>
                <w:lang w:val="sq-AL"/>
              </w:rPr>
            </w:pPr>
            <w:r w:rsidRPr="004D53EC">
              <w:rPr>
                <w:spacing w:val="-4"/>
                <w:sz w:val="16"/>
                <w:lang w:val="sq-AL" w:bidi="sq-AL"/>
              </w:rPr>
              <w:t>24.4</w:t>
            </w:r>
          </w:p>
        </w:tc>
      </w:tr>
      <w:tr w:rsidR="0088112C" w:rsidRPr="004D53EC" w14:paraId="026AF102" w14:textId="77777777" w:rsidTr="005760FF">
        <w:trPr>
          <w:trHeight w:val="222"/>
        </w:trPr>
        <w:tc>
          <w:tcPr>
            <w:tcW w:w="6804" w:type="dxa"/>
          </w:tcPr>
          <w:p w14:paraId="58182014" w14:textId="77777777" w:rsidR="0088112C" w:rsidRPr="004D53EC" w:rsidRDefault="0088112C" w:rsidP="005760FF">
            <w:pPr>
              <w:pStyle w:val="TableParagraph"/>
              <w:spacing w:before="1"/>
              <w:ind w:left="107"/>
              <w:jc w:val="left"/>
              <w:rPr>
                <w:rFonts w:ascii="Arial MT"/>
                <w:sz w:val="16"/>
                <w:lang w:val="sq-AL"/>
              </w:rPr>
            </w:pPr>
            <w:r w:rsidRPr="004D53EC">
              <w:rPr>
                <w:sz w:val="16"/>
                <w:lang w:val="sq-AL" w:bidi="sq-AL"/>
              </w:rPr>
              <w:t>Prodhimi i kulturave të korra: perime (në mijë tonë)</w:t>
            </w:r>
          </w:p>
        </w:tc>
        <w:tc>
          <w:tcPr>
            <w:tcW w:w="568" w:type="dxa"/>
          </w:tcPr>
          <w:p w14:paraId="309374D6" w14:textId="77777777" w:rsidR="0088112C" w:rsidRPr="004D53EC" w:rsidRDefault="0088112C" w:rsidP="005760FF">
            <w:pPr>
              <w:pStyle w:val="TableParagraph"/>
              <w:ind w:left="0"/>
              <w:jc w:val="left"/>
              <w:rPr>
                <w:sz w:val="14"/>
                <w:lang w:val="sq-AL"/>
              </w:rPr>
            </w:pPr>
          </w:p>
        </w:tc>
        <w:tc>
          <w:tcPr>
            <w:tcW w:w="1134" w:type="dxa"/>
          </w:tcPr>
          <w:p w14:paraId="23F5F9DB"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2E7EFE4F"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58EED592"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5D8416B5"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2F680156"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c>
          <w:tcPr>
            <w:tcW w:w="1134" w:type="dxa"/>
          </w:tcPr>
          <w:p w14:paraId="44080314" w14:textId="77777777" w:rsidR="0088112C" w:rsidRPr="004D53EC" w:rsidRDefault="0088112C" w:rsidP="005760FF">
            <w:pPr>
              <w:pStyle w:val="TableParagraph"/>
              <w:spacing w:before="1"/>
              <w:rPr>
                <w:rFonts w:ascii="Arial MT"/>
                <w:sz w:val="16"/>
                <w:lang w:val="sq-AL"/>
              </w:rPr>
            </w:pPr>
            <w:r w:rsidRPr="004D53EC">
              <w:rPr>
                <w:spacing w:val="-10"/>
                <w:sz w:val="16"/>
                <w:lang w:val="sq-AL" w:bidi="sq-AL"/>
              </w:rPr>
              <w:t>:</w:t>
            </w:r>
          </w:p>
        </w:tc>
      </w:tr>
    </w:tbl>
    <w:p w14:paraId="5BAC8BED" w14:textId="77777777" w:rsidR="0088112C" w:rsidRPr="004D53EC" w:rsidRDefault="0088112C" w:rsidP="0088112C">
      <w:pPr>
        <w:pStyle w:val="BodyText"/>
        <w:spacing w:before="33"/>
        <w:ind w:left="0" w:right="0"/>
        <w:jc w:val="left"/>
        <w:rPr>
          <w:sz w:val="16"/>
          <w:lang w:val="sq-AL"/>
        </w:rPr>
      </w:pPr>
    </w:p>
    <w:p w14:paraId="0580F7C4" w14:textId="77777777" w:rsidR="0088112C" w:rsidRPr="004D53EC" w:rsidRDefault="0088112C" w:rsidP="0088112C">
      <w:pPr>
        <w:ind w:left="140"/>
        <w:rPr>
          <w:rFonts w:ascii="Arial"/>
          <w:b/>
          <w:sz w:val="16"/>
          <w:lang w:val="sq-AL"/>
        </w:rPr>
      </w:pPr>
      <w:r w:rsidRPr="004D53EC">
        <w:rPr>
          <w:b/>
          <w:sz w:val="16"/>
          <w:lang w:val="sq-AL" w:bidi="sq-AL"/>
        </w:rPr>
        <w:t xml:space="preserve">Burimi: </w:t>
      </w:r>
      <w:proofErr w:type="spellStart"/>
      <w:r w:rsidRPr="004D53EC">
        <w:rPr>
          <w:b/>
          <w:sz w:val="16"/>
          <w:lang w:val="sq-AL" w:bidi="sq-AL"/>
        </w:rPr>
        <w:t>Eurostat</w:t>
      </w:r>
      <w:proofErr w:type="spellEnd"/>
      <w:r w:rsidRPr="004D53EC">
        <w:rPr>
          <w:b/>
          <w:sz w:val="16"/>
          <w:lang w:val="sq-AL" w:bidi="sq-AL"/>
        </w:rPr>
        <w:t xml:space="preserve"> dhe autoritetet statistikore shqiptare</w:t>
      </w:r>
    </w:p>
    <w:p w14:paraId="3FADDD90" w14:textId="77777777" w:rsidR="0088112C" w:rsidRPr="004D53EC" w:rsidRDefault="0088112C" w:rsidP="0088112C">
      <w:pPr>
        <w:pStyle w:val="BodyText"/>
        <w:spacing w:before="0" w:after="1"/>
        <w:ind w:left="0" w:right="0"/>
        <w:jc w:val="left"/>
        <w:rPr>
          <w:rFonts w:ascii="Arial"/>
          <w:b/>
          <w:sz w:val="19"/>
          <w:lang w:val="sq-AL"/>
        </w:rPr>
      </w:pPr>
    </w:p>
    <w:tbl>
      <w:tblPr>
        <w:tblW w:w="0" w:type="auto"/>
        <w:tblInd w:w="773" w:type="dxa"/>
        <w:tblLayout w:type="fixed"/>
        <w:tblCellMar>
          <w:left w:w="0" w:type="dxa"/>
          <w:right w:w="0" w:type="dxa"/>
        </w:tblCellMar>
        <w:tblLook w:val="01E0" w:firstRow="1" w:lastRow="1" w:firstColumn="1" w:lastColumn="1" w:noHBand="0" w:noVBand="0"/>
      </w:tblPr>
      <w:tblGrid>
        <w:gridCol w:w="11930"/>
      </w:tblGrid>
      <w:tr w:rsidR="0088112C" w:rsidRPr="004D53EC" w14:paraId="53463150" w14:textId="77777777" w:rsidTr="005760FF">
        <w:trPr>
          <w:trHeight w:val="188"/>
        </w:trPr>
        <w:tc>
          <w:tcPr>
            <w:tcW w:w="11930" w:type="dxa"/>
          </w:tcPr>
          <w:p w14:paraId="0C19C278" w14:textId="77777777" w:rsidR="0088112C" w:rsidRPr="004D53EC" w:rsidRDefault="0088112C" w:rsidP="005760FF">
            <w:pPr>
              <w:pStyle w:val="TableParagraph"/>
              <w:spacing w:line="169" w:lineRule="exact"/>
              <w:ind w:left="50"/>
              <w:jc w:val="left"/>
              <w:rPr>
                <w:rFonts w:ascii="Arial MT"/>
                <w:sz w:val="16"/>
                <w:lang w:val="sq-AL"/>
              </w:rPr>
            </w:pPr>
            <w:r w:rsidRPr="004D53EC">
              <w:rPr>
                <w:sz w:val="16"/>
                <w:lang w:val="sq-AL" w:bidi="sq-AL"/>
              </w:rPr>
              <w:t xml:space="preserve">: = jo i </w:t>
            </w:r>
            <w:proofErr w:type="spellStart"/>
            <w:r w:rsidRPr="004D53EC">
              <w:rPr>
                <w:sz w:val="16"/>
                <w:lang w:val="sq-AL" w:bidi="sq-AL"/>
              </w:rPr>
              <w:t>disponueshëm</w:t>
            </w:r>
            <w:proofErr w:type="spellEnd"/>
          </w:p>
        </w:tc>
      </w:tr>
      <w:tr w:rsidR="0088112C" w:rsidRPr="004D53EC" w14:paraId="64EC95FA" w14:textId="77777777" w:rsidTr="005760FF">
        <w:trPr>
          <w:trHeight w:val="198"/>
        </w:trPr>
        <w:tc>
          <w:tcPr>
            <w:tcW w:w="11930" w:type="dxa"/>
          </w:tcPr>
          <w:p w14:paraId="46DE9AFC" w14:textId="77777777" w:rsidR="0088112C" w:rsidRPr="004D53EC" w:rsidRDefault="0088112C" w:rsidP="005760FF">
            <w:pPr>
              <w:pStyle w:val="TableParagraph"/>
              <w:spacing w:before="5" w:line="174" w:lineRule="exact"/>
              <w:ind w:left="50"/>
              <w:jc w:val="left"/>
              <w:rPr>
                <w:rFonts w:ascii="Arial MT"/>
                <w:sz w:val="16"/>
                <w:lang w:val="sq-AL"/>
              </w:rPr>
            </w:pPr>
            <w:r w:rsidRPr="004D53EC">
              <w:rPr>
                <w:sz w:val="16"/>
                <w:lang w:val="sq-AL" w:bidi="sq-AL"/>
              </w:rPr>
              <w:t>d = përkufizimi ndryshon</w:t>
            </w:r>
          </w:p>
        </w:tc>
      </w:tr>
      <w:tr w:rsidR="0088112C" w:rsidRPr="004D53EC" w14:paraId="0B7E9EFC" w14:textId="77777777" w:rsidTr="005760FF">
        <w:trPr>
          <w:trHeight w:val="198"/>
        </w:trPr>
        <w:tc>
          <w:tcPr>
            <w:tcW w:w="11930" w:type="dxa"/>
          </w:tcPr>
          <w:p w14:paraId="63428F41" w14:textId="77777777" w:rsidR="0088112C" w:rsidRPr="004D53EC" w:rsidRDefault="0088112C" w:rsidP="005760FF">
            <w:pPr>
              <w:pStyle w:val="TableParagraph"/>
              <w:spacing w:before="4" w:line="174" w:lineRule="exact"/>
              <w:ind w:left="50"/>
              <w:jc w:val="left"/>
              <w:rPr>
                <w:rFonts w:ascii="Arial MT"/>
                <w:sz w:val="16"/>
                <w:lang w:val="sq-AL"/>
              </w:rPr>
            </w:pPr>
            <w:r w:rsidRPr="004D53EC">
              <w:rPr>
                <w:sz w:val="16"/>
                <w:lang w:val="sq-AL" w:bidi="sq-AL"/>
              </w:rPr>
              <w:t xml:space="preserve">e = vlera e parashikuar </w:t>
            </w:r>
            <w:r w:rsidRPr="004D53EC">
              <w:rPr>
                <w:sz w:val="16"/>
                <w:lang w:val="sq-AL" w:bidi="sq-AL"/>
              </w:rPr>
              <w:br/>
            </w:r>
          </w:p>
        </w:tc>
      </w:tr>
      <w:tr w:rsidR="0088112C" w:rsidRPr="004D53EC" w14:paraId="60503BFE" w14:textId="77777777" w:rsidTr="005760FF">
        <w:trPr>
          <w:trHeight w:val="198"/>
        </w:trPr>
        <w:tc>
          <w:tcPr>
            <w:tcW w:w="11930" w:type="dxa"/>
          </w:tcPr>
          <w:p w14:paraId="13A5F261" w14:textId="77777777" w:rsidR="0088112C" w:rsidRPr="004D53EC" w:rsidRDefault="0088112C" w:rsidP="005760FF">
            <w:pPr>
              <w:pStyle w:val="TableParagraph"/>
              <w:spacing w:before="5" w:line="174" w:lineRule="exact"/>
              <w:ind w:left="50"/>
              <w:jc w:val="left"/>
              <w:rPr>
                <w:rFonts w:ascii="Arial MT"/>
                <w:sz w:val="16"/>
                <w:lang w:val="sq-AL"/>
              </w:rPr>
            </w:pPr>
            <w:r w:rsidRPr="004D53EC">
              <w:rPr>
                <w:sz w:val="16"/>
                <w:lang w:val="sq-AL" w:bidi="sq-AL"/>
              </w:rPr>
              <w:t xml:space="preserve">f = parashikimi </w:t>
            </w:r>
            <w:r w:rsidRPr="004D53EC">
              <w:rPr>
                <w:sz w:val="16"/>
                <w:lang w:val="sq-AL" w:bidi="sq-AL"/>
              </w:rPr>
              <w:br/>
            </w:r>
          </w:p>
        </w:tc>
      </w:tr>
      <w:tr w:rsidR="0088112C" w:rsidRPr="004D53EC" w14:paraId="6CFE8681" w14:textId="77777777" w:rsidTr="005760FF">
        <w:trPr>
          <w:trHeight w:val="198"/>
        </w:trPr>
        <w:tc>
          <w:tcPr>
            <w:tcW w:w="11930" w:type="dxa"/>
          </w:tcPr>
          <w:p w14:paraId="011A676E" w14:textId="77777777" w:rsidR="0088112C" w:rsidRPr="004D53EC" w:rsidRDefault="0088112C" w:rsidP="005760FF">
            <w:pPr>
              <w:pStyle w:val="TableParagraph"/>
              <w:spacing w:before="4" w:line="174" w:lineRule="exact"/>
              <w:ind w:left="50"/>
              <w:jc w:val="left"/>
              <w:rPr>
                <w:rFonts w:ascii="Arial MT"/>
                <w:sz w:val="16"/>
                <w:lang w:val="sq-AL"/>
              </w:rPr>
            </w:pPr>
            <w:r w:rsidRPr="004D53EC">
              <w:rPr>
                <w:sz w:val="16"/>
                <w:lang w:val="sq-AL" w:bidi="sq-AL"/>
              </w:rPr>
              <w:t xml:space="preserve">p = provizore </w:t>
            </w:r>
            <w:r w:rsidRPr="004D53EC">
              <w:rPr>
                <w:sz w:val="16"/>
                <w:lang w:val="sq-AL" w:bidi="sq-AL"/>
              </w:rPr>
              <w:br/>
            </w:r>
          </w:p>
        </w:tc>
      </w:tr>
      <w:tr w:rsidR="0088112C" w:rsidRPr="004D53EC" w14:paraId="3626836F" w14:textId="77777777" w:rsidTr="005760FF">
        <w:trPr>
          <w:trHeight w:val="198"/>
        </w:trPr>
        <w:tc>
          <w:tcPr>
            <w:tcW w:w="11930" w:type="dxa"/>
          </w:tcPr>
          <w:p w14:paraId="7B7AEEC2" w14:textId="77777777" w:rsidR="0088112C" w:rsidRPr="004D53EC" w:rsidRDefault="0088112C" w:rsidP="005760FF">
            <w:pPr>
              <w:pStyle w:val="TableParagraph"/>
              <w:spacing w:before="5" w:line="174" w:lineRule="exact"/>
              <w:ind w:left="50"/>
              <w:jc w:val="left"/>
              <w:rPr>
                <w:rFonts w:ascii="Arial MT"/>
                <w:sz w:val="16"/>
                <w:lang w:val="sq-AL"/>
              </w:rPr>
            </w:pPr>
            <w:r w:rsidRPr="004D53EC">
              <w:rPr>
                <w:sz w:val="16"/>
                <w:lang w:val="sq-AL" w:bidi="sq-AL"/>
              </w:rPr>
              <w:t xml:space="preserve">s = parashikim i </w:t>
            </w:r>
            <w:proofErr w:type="spellStart"/>
            <w:r w:rsidRPr="004D53EC">
              <w:rPr>
                <w:sz w:val="16"/>
                <w:lang w:val="sq-AL" w:bidi="sq-AL"/>
              </w:rPr>
              <w:t>Eurostat</w:t>
            </w:r>
            <w:proofErr w:type="spellEnd"/>
          </w:p>
        </w:tc>
      </w:tr>
      <w:tr w:rsidR="0088112C" w:rsidRPr="0032048B" w14:paraId="568852B2" w14:textId="77777777" w:rsidTr="005760FF">
        <w:trPr>
          <w:trHeight w:val="387"/>
        </w:trPr>
        <w:tc>
          <w:tcPr>
            <w:tcW w:w="11930" w:type="dxa"/>
          </w:tcPr>
          <w:p w14:paraId="7F1A4A93" w14:textId="77777777" w:rsidR="0088112C" w:rsidRPr="004D53EC" w:rsidRDefault="0088112C" w:rsidP="0032048B">
            <w:pPr>
              <w:pStyle w:val="TableParagraph"/>
              <w:spacing w:before="4"/>
              <w:ind w:left="50"/>
              <w:jc w:val="left"/>
              <w:rPr>
                <w:sz w:val="16"/>
                <w:lang w:val="sq-AL" w:bidi="sq-AL"/>
              </w:rPr>
            </w:pPr>
            <w:r w:rsidRPr="004D53EC">
              <w:rPr>
                <w:sz w:val="16"/>
                <w:lang w:val="sq-AL" w:bidi="sq-AL"/>
              </w:rPr>
              <w:t>w= të dhënat e ofruara nga autoriteti kombëtar i statistikave dhe nën përgjegjësinë e tij; të publikuara "siç janë" dhe pa asnjë siguri në lidhje me cilësinë e tyre dhe respektimin e metodologjisë statistikore të BE-së</w:t>
            </w:r>
            <w:r w:rsidR="0032048B" w:rsidRPr="004D53EC">
              <w:rPr>
                <w:sz w:val="16"/>
                <w:lang w:val="sq-AL" w:bidi="sq-AL"/>
              </w:rPr>
              <w:t xml:space="preserve"> </w:t>
            </w:r>
          </w:p>
          <w:p w14:paraId="5EA1F2D2" w14:textId="77777777" w:rsidR="0032048B" w:rsidRPr="004D53EC" w:rsidRDefault="0032048B" w:rsidP="0032048B">
            <w:pPr>
              <w:pStyle w:val="TableParagraph"/>
              <w:spacing w:before="4"/>
              <w:ind w:left="50"/>
              <w:jc w:val="left"/>
              <w:rPr>
                <w:rFonts w:ascii="Arial MT"/>
                <w:sz w:val="16"/>
                <w:lang w:val="sq-AL"/>
              </w:rPr>
            </w:pPr>
          </w:p>
          <w:p w14:paraId="05ED4E31" w14:textId="77777777" w:rsidR="0032048B" w:rsidRPr="004D53EC" w:rsidRDefault="0032048B" w:rsidP="0032048B">
            <w:pPr>
              <w:pStyle w:val="BodyText"/>
              <w:spacing w:before="9"/>
              <w:ind w:left="0" w:right="0"/>
              <w:jc w:val="left"/>
              <w:rPr>
                <w:rFonts w:ascii="Arial"/>
                <w:b/>
                <w:sz w:val="5"/>
                <w:lang w:val="sq-AL"/>
              </w:rPr>
            </w:pPr>
          </w:p>
          <w:tbl>
            <w:tblPr>
              <w:tblW w:w="0" w:type="auto"/>
              <w:tblInd w:w="325" w:type="dxa"/>
              <w:tblLayout w:type="fixed"/>
              <w:tblCellMar>
                <w:left w:w="0" w:type="dxa"/>
                <w:right w:w="0" w:type="dxa"/>
              </w:tblCellMar>
              <w:tblLook w:val="01E0" w:firstRow="1" w:lastRow="1" w:firstColumn="1" w:lastColumn="1" w:noHBand="0" w:noVBand="0"/>
            </w:tblPr>
            <w:tblGrid>
              <w:gridCol w:w="389"/>
              <w:gridCol w:w="13059"/>
            </w:tblGrid>
            <w:tr w:rsidR="0032048B" w:rsidRPr="004D53EC" w14:paraId="54442C62" w14:textId="77777777" w:rsidTr="00AB10E6">
              <w:trPr>
                <w:trHeight w:val="707"/>
              </w:trPr>
              <w:tc>
                <w:tcPr>
                  <w:tcW w:w="389" w:type="dxa"/>
                </w:tcPr>
                <w:p w14:paraId="7BDD507D" w14:textId="77777777" w:rsidR="0032048B" w:rsidRPr="004D53EC" w:rsidRDefault="0032048B" w:rsidP="0032048B">
                  <w:pPr>
                    <w:pStyle w:val="TableParagraph"/>
                    <w:ind w:left="0"/>
                    <w:jc w:val="left"/>
                    <w:rPr>
                      <w:sz w:val="14"/>
                      <w:lang w:val="sq-AL"/>
                    </w:rPr>
                  </w:pPr>
                </w:p>
              </w:tc>
              <w:tc>
                <w:tcPr>
                  <w:tcW w:w="13059" w:type="dxa"/>
                </w:tcPr>
                <w:p w14:paraId="7465CF6E" w14:textId="77777777" w:rsidR="0032048B" w:rsidRPr="004D53EC" w:rsidRDefault="0032048B" w:rsidP="0032048B">
                  <w:pPr>
                    <w:pStyle w:val="TableParagraph"/>
                    <w:spacing w:line="178" w:lineRule="exact"/>
                    <w:ind w:left="179"/>
                    <w:jc w:val="left"/>
                    <w:rPr>
                      <w:rFonts w:ascii="Arial MT"/>
                      <w:sz w:val="16"/>
                      <w:lang w:val="sq-AL"/>
                    </w:rPr>
                  </w:pPr>
                  <w:r w:rsidRPr="004D53EC">
                    <w:rPr>
                      <w:sz w:val="16"/>
                      <w:lang w:val="sq-AL" w:bidi="sq-AL"/>
                    </w:rPr>
                    <w:t>* = Treguesi i Evropës 2020</w:t>
                  </w:r>
                </w:p>
                <w:p w14:paraId="00D3B144" w14:textId="77777777" w:rsidR="0032048B" w:rsidRPr="004D53EC" w:rsidRDefault="0032048B" w:rsidP="0032048B">
                  <w:pPr>
                    <w:pStyle w:val="TableParagraph"/>
                    <w:spacing w:before="16"/>
                    <w:ind w:left="179"/>
                    <w:jc w:val="left"/>
                    <w:rPr>
                      <w:rFonts w:ascii="Arial MT"/>
                      <w:sz w:val="16"/>
                      <w:lang w:val="sq-AL"/>
                    </w:rPr>
                  </w:pPr>
                  <w:r w:rsidRPr="004D53EC">
                    <w:rPr>
                      <w:sz w:val="16"/>
                      <w:lang w:val="sq-AL" w:bidi="sq-AL"/>
                    </w:rPr>
                    <w:t>** = Treguesi i procedurës së zhbalancimit makroekonomik (PZHM)</w:t>
                  </w:r>
                </w:p>
              </w:tc>
            </w:tr>
            <w:tr w:rsidR="0032048B" w:rsidRPr="004D53EC" w14:paraId="286968E9" w14:textId="77777777" w:rsidTr="00AB10E6">
              <w:trPr>
                <w:trHeight w:val="517"/>
              </w:trPr>
              <w:tc>
                <w:tcPr>
                  <w:tcW w:w="389" w:type="dxa"/>
                </w:tcPr>
                <w:p w14:paraId="56678BA9" w14:textId="77777777" w:rsidR="0032048B" w:rsidRPr="004D53EC" w:rsidRDefault="0032048B" w:rsidP="0032048B">
                  <w:pPr>
                    <w:pStyle w:val="TableParagraph"/>
                    <w:ind w:left="0"/>
                    <w:jc w:val="left"/>
                    <w:rPr>
                      <w:sz w:val="14"/>
                      <w:lang w:val="sq-AL"/>
                    </w:rPr>
                  </w:pPr>
                </w:p>
              </w:tc>
              <w:tc>
                <w:tcPr>
                  <w:tcW w:w="13059" w:type="dxa"/>
                </w:tcPr>
                <w:p w14:paraId="5D65B273" w14:textId="77777777" w:rsidR="0032048B" w:rsidRPr="004D53EC" w:rsidRDefault="0032048B" w:rsidP="0032048B">
                  <w:pPr>
                    <w:pStyle w:val="TableParagraph"/>
                    <w:spacing w:before="138"/>
                    <w:ind w:left="0"/>
                    <w:jc w:val="left"/>
                    <w:rPr>
                      <w:rFonts w:ascii="Arial"/>
                      <w:b/>
                      <w:sz w:val="16"/>
                      <w:lang w:val="sq-AL"/>
                    </w:rPr>
                  </w:pPr>
                </w:p>
                <w:p w14:paraId="217BE0BD" w14:textId="77777777" w:rsidR="0032048B" w:rsidRPr="004D53EC" w:rsidRDefault="0032048B" w:rsidP="0032048B">
                  <w:pPr>
                    <w:pStyle w:val="TableParagraph"/>
                    <w:spacing w:before="1" w:line="174" w:lineRule="exact"/>
                    <w:ind w:left="108"/>
                    <w:jc w:val="left"/>
                    <w:rPr>
                      <w:rFonts w:ascii="Arial MT"/>
                      <w:sz w:val="16"/>
                      <w:lang w:val="sq-AL"/>
                    </w:rPr>
                  </w:pPr>
                  <w:r w:rsidRPr="004D53EC">
                    <w:rPr>
                      <w:spacing w:val="-2"/>
                      <w:sz w:val="16"/>
                      <w:lang w:val="sq-AL" w:bidi="sq-AL"/>
                    </w:rPr>
                    <w:t>Shënime në fund të faqes:</w:t>
                  </w:r>
                </w:p>
              </w:tc>
            </w:tr>
            <w:tr w:rsidR="0032048B" w:rsidRPr="004D53EC" w14:paraId="44E829F0" w14:textId="77777777" w:rsidTr="00AB10E6">
              <w:trPr>
                <w:trHeight w:val="198"/>
              </w:trPr>
              <w:tc>
                <w:tcPr>
                  <w:tcW w:w="389" w:type="dxa"/>
                </w:tcPr>
                <w:p w14:paraId="6EEA7999" w14:textId="77777777" w:rsidR="0032048B" w:rsidRPr="004D53EC" w:rsidRDefault="0032048B" w:rsidP="0032048B">
                  <w:pPr>
                    <w:pStyle w:val="TableParagraph"/>
                    <w:spacing w:before="5" w:line="174" w:lineRule="exact"/>
                    <w:ind w:left="30"/>
                    <w:rPr>
                      <w:rFonts w:ascii="Arial MT"/>
                      <w:sz w:val="16"/>
                      <w:lang w:val="sq-AL"/>
                    </w:rPr>
                  </w:pPr>
                  <w:r w:rsidRPr="004D53EC">
                    <w:rPr>
                      <w:spacing w:val="-5"/>
                      <w:sz w:val="16"/>
                      <w:lang w:val="sq-AL" w:bidi="sq-AL"/>
                    </w:rPr>
                    <w:t>1)</w:t>
                  </w:r>
                </w:p>
              </w:tc>
              <w:tc>
                <w:tcPr>
                  <w:tcW w:w="13059" w:type="dxa"/>
                </w:tcPr>
                <w:p w14:paraId="3447E34F" w14:textId="77777777" w:rsidR="0032048B" w:rsidRPr="004D53EC" w:rsidRDefault="0032048B" w:rsidP="0032048B">
                  <w:pPr>
                    <w:pStyle w:val="TableParagraph"/>
                    <w:spacing w:before="5" w:line="174" w:lineRule="exact"/>
                    <w:ind w:left="108"/>
                    <w:jc w:val="left"/>
                    <w:rPr>
                      <w:rFonts w:ascii="Arial MT"/>
                      <w:sz w:val="16"/>
                      <w:lang w:val="sq-AL"/>
                    </w:rPr>
                  </w:pPr>
                  <w:r w:rsidRPr="004D53EC">
                    <w:rPr>
                      <w:sz w:val="16"/>
                      <w:lang w:val="sq-AL" w:bidi="sq-AL"/>
                    </w:rPr>
                    <w:t>Veprimtaria B_D</w:t>
                  </w:r>
                </w:p>
              </w:tc>
            </w:tr>
            <w:tr w:rsidR="0032048B" w:rsidRPr="004D53EC" w14:paraId="05E1D7CA" w14:textId="77777777" w:rsidTr="00AB10E6">
              <w:trPr>
                <w:trHeight w:val="198"/>
              </w:trPr>
              <w:tc>
                <w:tcPr>
                  <w:tcW w:w="389" w:type="dxa"/>
                </w:tcPr>
                <w:p w14:paraId="199DA6AB" w14:textId="77777777" w:rsidR="0032048B" w:rsidRPr="004D53EC" w:rsidRDefault="0032048B" w:rsidP="0032048B">
                  <w:pPr>
                    <w:pStyle w:val="TableParagraph"/>
                    <w:spacing w:before="4" w:line="174" w:lineRule="exact"/>
                    <w:ind w:left="30"/>
                    <w:rPr>
                      <w:rFonts w:ascii="Arial MT"/>
                      <w:sz w:val="16"/>
                      <w:lang w:val="sq-AL"/>
                    </w:rPr>
                  </w:pPr>
                  <w:r w:rsidRPr="004D53EC">
                    <w:rPr>
                      <w:spacing w:val="-5"/>
                      <w:sz w:val="16"/>
                      <w:lang w:val="sq-AL" w:bidi="sq-AL"/>
                    </w:rPr>
                    <w:t>2)</w:t>
                  </w:r>
                </w:p>
              </w:tc>
              <w:tc>
                <w:tcPr>
                  <w:tcW w:w="13059" w:type="dxa"/>
                </w:tcPr>
                <w:p w14:paraId="500FB6BA" w14:textId="668310F4" w:rsidR="0032048B" w:rsidRPr="004D53EC" w:rsidRDefault="0032048B" w:rsidP="0032048B">
                  <w:pPr>
                    <w:pStyle w:val="TableParagraph"/>
                    <w:spacing w:before="4" w:line="174" w:lineRule="exact"/>
                    <w:ind w:left="108"/>
                    <w:jc w:val="left"/>
                    <w:rPr>
                      <w:rFonts w:ascii="Arial MT"/>
                      <w:sz w:val="16"/>
                      <w:lang w:val="sq-AL"/>
                    </w:rPr>
                  </w:pPr>
                  <w:r w:rsidRPr="004D53EC">
                    <w:rPr>
                      <w:sz w:val="16"/>
                      <w:lang w:val="sq-AL" w:bidi="sq-AL"/>
                    </w:rPr>
                    <w:t>Bazuar në NACE Rev.2</w:t>
                  </w:r>
                  <w:r w:rsidR="004D53EC">
                    <w:rPr>
                      <w:sz w:val="16"/>
                      <w:lang w:val="sq-AL" w:bidi="sq-AL"/>
                    </w:rPr>
                    <w:t xml:space="preserve"> </w:t>
                  </w:r>
                  <w:r w:rsidRPr="004D53EC">
                    <w:rPr>
                      <w:sz w:val="16"/>
                      <w:lang w:val="sq-AL" w:bidi="sq-AL"/>
                    </w:rPr>
                    <w:t xml:space="preserve"> Mbulohen Ndarjet 05 deri 82 dhe 95.</w:t>
                  </w:r>
                </w:p>
              </w:tc>
            </w:tr>
            <w:tr w:rsidR="0032048B" w:rsidRPr="004D53EC" w14:paraId="66249F43" w14:textId="77777777" w:rsidTr="00AB10E6">
              <w:trPr>
                <w:trHeight w:val="397"/>
              </w:trPr>
              <w:tc>
                <w:tcPr>
                  <w:tcW w:w="389" w:type="dxa"/>
                </w:tcPr>
                <w:p w14:paraId="4420082B" w14:textId="77777777" w:rsidR="0032048B" w:rsidRPr="004D53EC" w:rsidRDefault="0032048B" w:rsidP="0032048B">
                  <w:pPr>
                    <w:pStyle w:val="TableParagraph"/>
                    <w:spacing w:before="5"/>
                    <w:ind w:left="30"/>
                    <w:rPr>
                      <w:rFonts w:ascii="Arial MT"/>
                      <w:sz w:val="16"/>
                      <w:lang w:val="sq-AL"/>
                    </w:rPr>
                  </w:pPr>
                  <w:r w:rsidRPr="004D53EC">
                    <w:rPr>
                      <w:spacing w:val="-5"/>
                      <w:sz w:val="16"/>
                      <w:lang w:val="sq-AL" w:bidi="sq-AL"/>
                    </w:rPr>
                    <w:t>3)</w:t>
                  </w:r>
                </w:p>
              </w:tc>
              <w:tc>
                <w:tcPr>
                  <w:tcW w:w="13059" w:type="dxa"/>
                </w:tcPr>
                <w:p w14:paraId="1BE644C5" w14:textId="01CB4F41" w:rsidR="0032048B" w:rsidRPr="004D53EC" w:rsidRDefault="0032048B" w:rsidP="0032048B">
                  <w:pPr>
                    <w:pStyle w:val="TableParagraph"/>
                    <w:spacing w:before="5"/>
                    <w:ind w:left="108"/>
                    <w:jc w:val="left"/>
                    <w:rPr>
                      <w:rFonts w:ascii="Arial MT"/>
                      <w:sz w:val="16"/>
                      <w:lang w:val="sq-AL"/>
                    </w:rPr>
                  </w:pPr>
                  <w:r w:rsidRPr="004D53EC">
                    <w:rPr>
                      <w:sz w:val="16"/>
                      <w:lang w:val="sq-AL" w:bidi="sq-AL"/>
                    </w:rPr>
                    <w:t>Një Direktivë i bëri disa fermerë pjesë të Regjistrit Statistikor të Bizneseve (RSB).</w:t>
                  </w:r>
                  <w:r w:rsidR="004D53EC">
                    <w:rPr>
                      <w:sz w:val="16"/>
                      <w:lang w:val="sq-AL" w:bidi="sq-AL"/>
                    </w:rPr>
                    <w:t xml:space="preserve"> </w:t>
                  </w:r>
                  <w:r w:rsidRPr="004D53EC">
                    <w:rPr>
                      <w:sz w:val="16"/>
                      <w:lang w:val="sq-AL" w:bidi="sq-AL"/>
                    </w:rPr>
                    <w:t>Reforma e ndërmarrë nga Qeveria Shqiptare për reduktimin e ekonomisë joformale, si dhe regjistrimin e fermerëve, solli si rezultat që në BSB të mbahen</w:t>
                  </w:r>
                </w:p>
                <w:p w14:paraId="6BE909AA" w14:textId="3C4CFCDF" w:rsidR="0032048B" w:rsidRPr="004D53EC" w:rsidRDefault="0032048B" w:rsidP="0032048B">
                  <w:pPr>
                    <w:pStyle w:val="TableParagraph"/>
                    <w:spacing w:before="14" w:line="174" w:lineRule="exact"/>
                    <w:ind w:left="108"/>
                    <w:jc w:val="left"/>
                    <w:rPr>
                      <w:rFonts w:ascii="Arial MT"/>
                      <w:sz w:val="16"/>
                      <w:lang w:val="sq-AL"/>
                    </w:rPr>
                  </w:pPr>
                  <w:r w:rsidRPr="004D53EC">
                    <w:rPr>
                      <w:sz w:val="16"/>
                      <w:lang w:val="sq-AL" w:bidi="sq-AL"/>
                    </w:rPr>
                    <w:t>ndërmarrjet e regjistruara vetëm brenda vitit dhe jo atë të krijuara rishtas.</w:t>
                  </w:r>
                  <w:r w:rsidR="004D53EC">
                    <w:rPr>
                      <w:sz w:val="16"/>
                      <w:lang w:val="sq-AL" w:bidi="sq-AL"/>
                    </w:rPr>
                    <w:t xml:space="preserve"> </w:t>
                  </w:r>
                  <w:r w:rsidRPr="004D53EC">
                    <w:rPr>
                      <w:sz w:val="16"/>
                      <w:lang w:val="sq-AL" w:bidi="sq-AL"/>
                    </w:rPr>
                    <w:t>Si rezultat, norma e lindshmërisë nuk mund të llogaritet nga këto të dhëna.</w:t>
                  </w:r>
                </w:p>
              </w:tc>
            </w:tr>
            <w:tr w:rsidR="0032048B" w:rsidRPr="004D53EC" w14:paraId="03BEA0A3" w14:textId="77777777" w:rsidTr="00AB10E6">
              <w:trPr>
                <w:trHeight w:val="198"/>
              </w:trPr>
              <w:tc>
                <w:tcPr>
                  <w:tcW w:w="389" w:type="dxa"/>
                </w:tcPr>
                <w:p w14:paraId="25FECBBF" w14:textId="77777777" w:rsidR="0032048B" w:rsidRPr="004D53EC" w:rsidRDefault="0032048B" w:rsidP="0032048B">
                  <w:pPr>
                    <w:pStyle w:val="TableParagraph"/>
                    <w:spacing w:before="5" w:line="174" w:lineRule="exact"/>
                    <w:ind w:left="30"/>
                    <w:rPr>
                      <w:rFonts w:ascii="Arial MT"/>
                      <w:sz w:val="16"/>
                      <w:lang w:val="sq-AL"/>
                    </w:rPr>
                  </w:pPr>
                  <w:r w:rsidRPr="004D53EC">
                    <w:rPr>
                      <w:spacing w:val="-5"/>
                      <w:sz w:val="16"/>
                      <w:lang w:val="sq-AL" w:bidi="sq-AL"/>
                    </w:rPr>
                    <w:t>4)</w:t>
                  </w:r>
                </w:p>
              </w:tc>
              <w:tc>
                <w:tcPr>
                  <w:tcW w:w="13059" w:type="dxa"/>
                </w:tcPr>
                <w:p w14:paraId="3ADB2246" w14:textId="77777777" w:rsidR="0032048B" w:rsidRPr="004D53EC" w:rsidRDefault="0032048B" w:rsidP="0032048B">
                  <w:pPr>
                    <w:pStyle w:val="TableParagraph"/>
                    <w:spacing w:before="5" w:line="174" w:lineRule="exact"/>
                    <w:ind w:left="108"/>
                    <w:jc w:val="left"/>
                    <w:rPr>
                      <w:rFonts w:ascii="Arial MT"/>
                      <w:sz w:val="16"/>
                      <w:lang w:val="sq-AL"/>
                    </w:rPr>
                  </w:pPr>
                  <w:r w:rsidRPr="004D53EC">
                    <w:rPr>
                      <w:sz w:val="16"/>
                      <w:lang w:val="sq-AL" w:bidi="sq-AL"/>
                    </w:rPr>
                    <w:t>Parashikimet e Ministrisë së Financave dhe Ekonomisë</w:t>
                  </w:r>
                </w:p>
              </w:tc>
            </w:tr>
            <w:tr w:rsidR="0032048B" w:rsidRPr="004D53EC" w14:paraId="5F160CEF" w14:textId="77777777" w:rsidTr="00AB10E6">
              <w:trPr>
                <w:trHeight w:val="197"/>
              </w:trPr>
              <w:tc>
                <w:tcPr>
                  <w:tcW w:w="389" w:type="dxa"/>
                </w:tcPr>
                <w:p w14:paraId="43255273" w14:textId="77777777" w:rsidR="0032048B" w:rsidRPr="004D53EC" w:rsidRDefault="0032048B" w:rsidP="0032048B">
                  <w:pPr>
                    <w:pStyle w:val="TableParagraph"/>
                    <w:spacing w:before="4" w:line="174" w:lineRule="exact"/>
                    <w:ind w:left="30"/>
                    <w:rPr>
                      <w:rFonts w:ascii="Arial MT"/>
                      <w:sz w:val="16"/>
                      <w:lang w:val="sq-AL"/>
                    </w:rPr>
                  </w:pPr>
                  <w:r w:rsidRPr="004D53EC">
                    <w:rPr>
                      <w:spacing w:val="-5"/>
                      <w:sz w:val="16"/>
                      <w:lang w:val="sq-AL" w:bidi="sq-AL"/>
                    </w:rPr>
                    <w:t>5)</w:t>
                  </w:r>
                </w:p>
              </w:tc>
              <w:tc>
                <w:tcPr>
                  <w:tcW w:w="13059" w:type="dxa"/>
                </w:tcPr>
                <w:p w14:paraId="09D8D953" w14:textId="77777777" w:rsidR="0032048B" w:rsidRPr="004D53EC" w:rsidRDefault="0032048B" w:rsidP="0032048B">
                  <w:pPr>
                    <w:pStyle w:val="TableParagraph"/>
                    <w:spacing w:before="4" w:line="174" w:lineRule="exact"/>
                    <w:ind w:left="108"/>
                    <w:jc w:val="left"/>
                    <w:rPr>
                      <w:rFonts w:ascii="Arial MT" w:hAnsi="Arial MT"/>
                      <w:sz w:val="16"/>
                      <w:lang w:val="sq-AL"/>
                    </w:rPr>
                  </w:pPr>
                  <w:r w:rsidRPr="004D53EC">
                    <w:rPr>
                      <w:sz w:val="16"/>
                      <w:lang w:val="sq-AL" w:bidi="sq-AL"/>
                    </w:rPr>
                    <w:t xml:space="preserve">Mesatarja vjetore e normës </w:t>
                  </w:r>
                  <w:proofErr w:type="spellStart"/>
                  <w:r w:rsidRPr="004D53EC">
                    <w:rPr>
                      <w:sz w:val="16"/>
                      <w:lang w:val="sq-AL" w:bidi="sq-AL"/>
                    </w:rPr>
                    <w:t>Tribor</w:t>
                  </w:r>
                  <w:proofErr w:type="spellEnd"/>
                  <w:r w:rsidRPr="004D53EC">
                    <w:rPr>
                      <w:sz w:val="16"/>
                      <w:lang w:val="sq-AL" w:bidi="sq-AL"/>
                    </w:rPr>
                    <w:t xml:space="preserve"> – norma </w:t>
                  </w:r>
                  <w:proofErr w:type="spellStart"/>
                  <w:r w:rsidRPr="004D53EC">
                    <w:rPr>
                      <w:sz w:val="16"/>
                      <w:lang w:val="sq-AL" w:bidi="sq-AL"/>
                    </w:rPr>
                    <w:t>ndërbankare</w:t>
                  </w:r>
                  <w:proofErr w:type="spellEnd"/>
                  <w:r w:rsidRPr="004D53EC">
                    <w:rPr>
                      <w:sz w:val="16"/>
                      <w:lang w:val="sq-AL" w:bidi="sq-AL"/>
                    </w:rPr>
                    <w:t xml:space="preserve"> për kreditë afatshkurtra.</w:t>
                  </w:r>
                </w:p>
              </w:tc>
            </w:tr>
            <w:tr w:rsidR="0032048B" w:rsidRPr="004D53EC" w14:paraId="5254C5B2" w14:textId="77777777" w:rsidTr="00AB10E6">
              <w:trPr>
                <w:trHeight w:val="198"/>
              </w:trPr>
              <w:tc>
                <w:tcPr>
                  <w:tcW w:w="389" w:type="dxa"/>
                </w:tcPr>
                <w:p w14:paraId="6BFB071C" w14:textId="77777777" w:rsidR="0032048B" w:rsidRPr="004D53EC" w:rsidRDefault="0032048B" w:rsidP="0032048B">
                  <w:pPr>
                    <w:pStyle w:val="TableParagraph"/>
                    <w:spacing w:before="4" w:line="174" w:lineRule="exact"/>
                    <w:ind w:left="30"/>
                    <w:rPr>
                      <w:rFonts w:ascii="Arial MT"/>
                      <w:sz w:val="16"/>
                      <w:lang w:val="sq-AL"/>
                    </w:rPr>
                  </w:pPr>
                  <w:r w:rsidRPr="004D53EC">
                    <w:rPr>
                      <w:spacing w:val="-5"/>
                      <w:sz w:val="16"/>
                      <w:lang w:val="sq-AL" w:bidi="sq-AL"/>
                    </w:rPr>
                    <w:t>6)</w:t>
                  </w:r>
                </w:p>
              </w:tc>
              <w:tc>
                <w:tcPr>
                  <w:tcW w:w="13059" w:type="dxa"/>
                </w:tcPr>
                <w:p w14:paraId="184CB8A8" w14:textId="77777777" w:rsidR="0032048B" w:rsidRPr="004D53EC" w:rsidRDefault="0032048B" w:rsidP="0032048B">
                  <w:pPr>
                    <w:pStyle w:val="TableParagraph"/>
                    <w:spacing w:before="4" w:line="174" w:lineRule="exact"/>
                    <w:ind w:left="108"/>
                    <w:jc w:val="left"/>
                    <w:rPr>
                      <w:rFonts w:ascii="Arial MT"/>
                      <w:sz w:val="16"/>
                      <w:lang w:val="sq-AL"/>
                    </w:rPr>
                  </w:pPr>
                  <w:r w:rsidRPr="004D53EC">
                    <w:rPr>
                      <w:sz w:val="16"/>
                      <w:lang w:val="sq-AL" w:bidi="sq-AL"/>
                    </w:rPr>
                    <w:t xml:space="preserve">Norma mesatare e </w:t>
                  </w:r>
                  <w:proofErr w:type="spellStart"/>
                  <w:r w:rsidRPr="004D53EC">
                    <w:rPr>
                      <w:sz w:val="16"/>
                      <w:lang w:val="sq-AL" w:bidi="sq-AL"/>
                    </w:rPr>
                    <w:t>ponderuar</w:t>
                  </w:r>
                  <w:proofErr w:type="spellEnd"/>
                  <w:r w:rsidRPr="004D53EC">
                    <w:rPr>
                      <w:sz w:val="16"/>
                      <w:lang w:val="sq-AL" w:bidi="sq-AL"/>
                    </w:rPr>
                    <w:t xml:space="preserve"> e aplikuar për kreditë e reja 12-mujore gjatë muajit përkatës, me </w:t>
                  </w:r>
                  <w:proofErr w:type="spellStart"/>
                  <w:r w:rsidRPr="004D53EC">
                    <w:rPr>
                      <w:sz w:val="16"/>
                      <w:lang w:val="sq-AL" w:bidi="sq-AL"/>
                    </w:rPr>
                    <w:t>maturim</w:t>
                  </w:r>
                  <w:proofErr w:type="spellEnd"/>
                  <w:r w:rsidRPr="004D53EC">
                    <w:rPr>
                      <w:sz w:val="16"/>
                      <w:lang w:val="sq-AL" w:bidi="sq-AL"/>
                    </w:rPr>
                    <w:t xml:space="preserve"> 12-mujor.</w:t>
                  </w:r>
                </w:p>
              </w:tc>
            </w:tr>
            <w:tr w:rsidR="0032048B" w:rsidRPr="004D53EC" w14:paraId="119789D4" w14:textId="77777777" w:rsidTr="00AB10E6">
              <w:trPr>
                <w:trHeight w:val="198"/>
              </w:trPr>
              <w:tc>
                <w:tcPr>
                  <w:tcW w:w="389" w:type="dxa"/>
                </w:tcPr>
                <w:p w14:paraId="19310E24" w14:textId="77777777" w:rsidR="0032048B" w:rsidRPr="004D53EC" w:rsidRDefault="0032048B" w:rsidP="0032048B">
                  <w:pPr>
                    <w:pStyle w:val="TableParagraph"/>
                    <w:spacing w:before="5" w:line="174" w:lineRule="exact"/>
                    <w:ind w:left="30"/>
                    <w:rPr>
                      <w:rFonts w:ascii="Arial MT"/>
                      <w:sz w:val="16"/>
                      <w:lang w:val="sq-AL"/>
                    </w:rPr>
                  </w:pPr>
                  <w:r w:rsidRPr="004D53EC">
                    <w:rPr>
                      <w:spacing w:val="-5"/>
                      <w:sz w:val="16"/>
                      <w:lang w:val="sq-AL" w:bidi="sq-AL"/>
                    </w:rPr>
                    <w:t>7)</w:t>
                  </w:r>
                </w:p>
              </w:tc>
              <w:tc>
                <w:tcPr>
                  <w:tcW w:w="13059" w:type="dxa"/>
                </w:tcPr>
                <w:p w14:paraId="09F831B4" w14:textId="77777777" w:rsidR="0032048B" w:rsidRPr="004D53EC" w:rsidRDefault="0032048B" w:rsidP="0032048B">
                  <w:pPr>
                    <w:pStyle w:val="TableParagraph"/>
                    <w:spacing w:before="5" w:line="174" w:lineRule="exact"/>
                    <w:ind w:left="108"/>
                    <w:jc w:val="left"/>
                    <w:rPr>
                      <w:rFonts w:ascii="Arial MT"/>
                      <w:sz w:val="16"/>
                      <w:lang w:val="sq-AL"/>
                    </w:rPr>
                  </w:pPr>
                  <w:r w:rsidRPr="004D53EC">
                    <w:rPr>
                      <w:sz w:val="16"/>
                      <w:lang w:val="sq-AL" w:bidi="sq-AL"/>
                    </w:rPr>
                    <w:t xml:space="preserve">Norma e interesit të depozitave përfaqëson normën mesatare të </w:t>
                  </w:r>
                  <w:proofErr w:type="spellStart"/>
                  <w:r w:rsidRPr="004D53EC">
                    <w:rPr>
                      <w:sz w:val="16"/>
                      <w:lang w:val="sq-AL" w:bidi="sq-AL"/>
                    </w:rPr>
                    <w:t>ponderuar</w:t>
                  </w:r>
                  <w:proofErr w:type="spellEnd"/>
                  <w:r w:rsidRPr="004D53EC">
                    <w:rPr>
                      <w:sz w:val="16"/>
                      <w:lang w:val="sq-AL" w:bidi="sq-AL"/>
                    </w:rPr>
                    <w:t xml:space="preserve"> për depozitat e pranuara rishtazi gjatë muajit përkatës, me </w:t>
                  </w:r>
                  <w:proofErr w:type="spellStart"/>
                  <w:r w:rsidRPr="004D53EC">
                    <w:rPr>
                      <w:sz w:val="16"/>
                      <w:lang w:val="sq-AL" w:bidi="sq-AL"/>
                    </w:rPr>
                    <w:t>maturim</w:t>
                  </w:r>
                  <w:proofErr w:type="spellEnd"/>
                  <w:r w:rsidRPr="004D53EC">
                    <w:rPr>
                      <w:sz w:val="16"/>
                      <w:lang w:val="sq-AL" w:bidi="sq-AL"/>
                    </w:rPr>
                    <w:t xml:space="preserve"> 12-mujor.</w:t>
                  </w:r>
                </w:p>
              </w:tc>
            </w:tr>
            <w:tr w:rsidR="0032048B" w:rsidRPr="004D53EC" w14:paraId="1DD0C847" w14:textId="77777777" w:rsidTr="00AB10E6">
              <w:trPr>
                <w:trHeight w:val="198"/>
              </w:trPr>
              <w:tc>
                <w:tcPr>
                  <w:tcW w:w="389" w:type="dxa"/>
                </w:tcPr>
                <w:p w14:paraId="7D8F4FC5" w14:textId="77777777" w:rsidR="0032048B" w:rsidRPr="004D53EC" w:rsidRDefault="0032048B" w:rsidP="0032048B">
                  <w:pPr>
                    <w:pStyle w:val="TableParagraph"/>
                    <w:spacing w:before="4" w:line="174" w:lineRule="exact"/>
                    <w:ind w:left="30"/>
                    <w:rPr>
                      <w:rFonts w:ascii="Arial MT"/>
                      <w:sz w:val="16"/>
                      <w:lang w:val="sq-AL"/>
                    </w:rPr>
                  </w:pPr>
                  <w:r w:rsidRPr="004D53EC">
                    <w:rPr>
                      <w:spacing w:val="-5"/>
                      <w:sz w:val="16"/>
                      <w:lang w:val="sq-AL" w:bidi="sq-AL"/>
                    </w:rPr>
                    <w:t>8)</w:t>
                  </w:r>
                </w:p>
              </w:tc>
              <w:tc>
                <w:tcPr>
                  <w:tcW w:w="13059" w:type="dxa"/>
                </w:tcPr>
                <w:p w14:paraId="7DF43CE3" w14:textId="77777777" w:rsidR="0032048B" w:rsidRPr="004D53EC" w:rsidRDefault="0032048B" w:rsidP="0032048B">
                  <w:pPr>
                    <w:pStyle w:val="TableParagraph"/>
                    <w:spacing w:before="4" w:line="174" w:lineRule="exact"/>
                    <w:ind w:left="108"/>
                    <w:jc w:val="left"/>
                    <w:rPr>
                      <w:rFonts w:ascii="Arial MT"/>
                      <w:sz w:val="16"/>
                      <w:lang w:val="sq-AL"/>
                    </w:rPr>
                  </w:pPr>
                  <w:r w:rsidRPr="004D53EC">
                    <w:rPr>
                      <w:sz w:val="16"/>
                      <w:lang w:val="sq-AL" w:bidi="sq-AL"/>
                    </w:rPr>
                    <w:t>Vetëm sektori publik.</w:t>
                  </w:r>
                </w:p>
              </w:tc>
            </w:tr>
            <w:tr w:rsidR="0032048B" w:rsidRPr="004D53EC" w14:paraId="0C1B3A46" w14:textId="77777777" w:rsidTr="00AB10E6">
              <w:trPr>
                <w:trHeight w:val="198"/>
              </w:trPr>
              <w:tc>
                <w:tcPr>
                  <w:tcW w:w="389" w:type="dxa"/>
                </w:tcPr>
                <w:p w14:paraId="6DA0105A" w14:textId="77777777" w:rsidR="0032048B" w:rsidRPr="004D53EC" w:rsidRDefault="0032048B" w:rsidP="0032048B">
                  <w:pPr>
                    <w:pStyle w:val="TableParagraph"/>
                    <w:spacing w:before="5" w:line="174" w:lineRule="exact"/>
                    <w:ind w:left="30"/>
                    <w:rPr>
                      <w:rFonts w:ascii="Arial MT"/>
                      <w:sz w:val="16"/>
                      <w:lang w:val="sq-AL"/>
                    </w:rPr>
                  </w:pPr>
                  <w:r w:rsidRPr="004D53EC">
                    <w:rPr>
                      <w:spacing w:val="-5"/>
                      <w:sz w:val="16"/>
                      <w:lang w:val="sq-AL" w:bidi="sq-AL"/>
                    </w:rPr>
                    <w:t>9)</w:t>
                  </w:r>
                </w:p>
              </w:tc>
              <w:tc>
                <w:tcPr>
                  <w:tcW w:w="13059" w:type="dxa"/>
                </w:tcPr>
                <w:p w14:paraId="30A02E41" w14:textId="77777777" w:rsidR="0032048B" w:rsidRPr="004D53EC" w:rsidRDefault="0032048B" w:rsidP="0032048B">
                  <w:pPr>
                    <w:pStyle w:val="TableParagraph"/>
                    <w:spacing w:before="5" w:line="174" w:lineRule="exact"/>
                    <w:ind w:left="108"/>
                    <w:jc w:val="left"/>
                    <w:rPr>
                      <w:rFonts w:ascii="Arial MT"/>
                      <w:sz w:val="16"/>
                      <w:lang w:val="sq-AL"/>
                    </w:rPr>
                  </w:pPr>
                  <w:r w:rsidRPr="004D53EC">
                    <w:rPr>
                      <w:sz w:val="16"/>
                      <w:lang w:val="sq-AL" w:bidi="sq-AL"/>
                    </w:rPr>
                    <w:t>Burimi i informacionit: Burimi i informacionit: Drejtoria e Përgjithshme e Tatimeve, kontribuuesit e sigurimeve shoqërore; Përllogaritja e INSTAT</w:t>
                  </w:r>
                </w:p>
              </w:tc>
            </w:tr>
            <w:tr w:rsidR="0032048B" w:rsidRPr="0032048B" w14:paraId="61842AF5" w14:textId="77777777" w:rsidTr="00AB10E6">
              <w:trPr>
                <w:trHeight w:val="188"/>
              </w:trPr>
              <w:tc>
                <w:tcPr>
                  <w:tcW w:w="389" w:type="dxa"/>
                </w:tcPr>
                <w:p w14:paraId="0B974DEC" w14:textId="77777777" w:rsidR="0032048B" w:rsidRPr="004D53EC" w:rsidRDefault="0032048B" w:rsidP="0032048B">
                  <w:pPr>
                    <w:pStyle w:val="TableParagraph"/>
                    <w:spacing w:before="4" w:line="164" w:lineRule="exact"/>
                    <w:ind w:left="30" w:right="86"/>
                    <w:rPr>
                      <w:rFonts w:ascii="Arial MT"/>
                      <w:sz w:val="16"/>
                      <w:lang w:val="sq-AL"/>
                    </w:rPr>
                  </w:pPr>
                  <w:r w:rsidRPr="004D53EC">
                    <w:rPr>
                      <w:spacing w:val="-5"/>
                      <w:sz w:val="16"/>
                      <w:lang w:val="sq-AL" w:bidi="sq-AL"/>
                    </w:rPr>
                    <w:t>10)</w:t>
                  </w:r>
                </w:p>
              </w:tc>
              <w:tc>
                <w:tcPr>
                  <w:tcW w:w="13059" w:type="dxa"/>
                </w:tcPr>
                <w:p w14:paraId="46951CF1" w14:textId="77777777" w:rsidR="0032048B" w:rsidRPr="0032048B" w:rsidRDefault="0032048B" w:rsidP="0032048B">
                  <w:pPr>
                    <w:pStyle w:val="TableParagraph"/>
                    <w:spacing w:before="4" w:line="164" w:lineRule="exact"/>
                    <w:ind w:left="108"/>
                    <w:jc w:val="left"/>
                    <w:rPr>
                      <w:rFonts w:ascii="Arial MT"/>
                      <w:sz w:val="16"/>
                      <w:lang w:val="sq-AL"/>
                    </w:rPr>
                  </w:pPr>
                  <w:r w:rsidRPr="004D53EC">
                    <w:rPr>
                      <w:sz w:val="16"/>
                      <w:lang w:val="sq-AL" w:bidi="sq-AL"/>
                    </w:rPr>
                    <w:t>Të dhënat janë përditësuar sipas të dhënave mesatare të popullsisë për vitin 2020.</w:t>
                  </w:r>
                </w:p>
              </w:tc>
            </w:tr>
          </w:tbl>
          <w:p w14:paraId="2670D7F1" w14:textId="77777777" w:rsidR="0032048B" w:rsidRPr="0032048B" w:rsidRDefault="0032048B" w:rsidP="0032048B">
            <w:pPr>
              <w:rPr>
                <w:lang w:val="sq-AL"/>
              </w:rPr>
            </w:pPr>
          </w:p>
          <w:p w14:paraId="5218F158" w14:textId="77777777" w:rsidR="0032048B" w:rsidRPr="0032048B" w:rsidRDefault="0032048B" w:rsidP="0032048B">
            <w:pPr>
              <w:rPr>
                <w:lang w:val="sq-AL"/>
              </w:rPr>
            </w:pPr>
          </w:p>
          <w:p w14:paraId="05923F05" w14:textId="448DF737" w:rsidR="0032048B" w:rsidRPr="0032048B" w:rsidRDefault="0032048B" w:rsidP="0032048B">
            <w:pPr>
              <w:pStyle w:val="TableParagraph"/>
              <w:spacing w:before="4"/>
              <w:ind w:left="50"/>
              <w:jc w:val="left"/>
              <w:rPr>
                <w:rFonts w:ascii="Arial MT"/>
                <w:sz w:val="16"/>
                <w:lang w:val="sq-AL"/>
              </w:rPr>
            </w:pPr>
          </w:p>
        </w:tc>
      </w:tr>
      <w:bookmarkEnd w:id="0"/>
    </w:tbl>
    <w:p w14:paraId="55DAC4C7" w14:textId="77F6B6B2" w:rsidR="00E71C37" w:rsidRPr="0032048B" w:rsidRDefault="00E71C37" w:rsidP="0032048B">
      <w:pPr>
        <w:spacing w:line="164" w:lineRule="exact"/>
        <w:rPr>
          <w:lang w:val="sq-AL"/>
        </w:rPr>
      </w:pPr>
    </w:p>
    <w:sectPr w:rsidR="00E71C37" w:rsidRPr="0032048B" w:rsidSect="0032048B">
      <w:footerReference w:type="default" r:id="rId21"/>
      <w:pgSz w:w="15840" w:h="12240" w:orient="landscape"/>
      <w:pgMar w:top="1380" w:right="140" w:bottom="1200" w:left="1300" w:header="0" w:footer="10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DC8E9" w14:textId="77777777" w:rsidR="008D2BE8" w:rsidRDefault="008D2BE8">
      <w:r>
        <w:separator/>
      </w:r>
    </w:p>
  </w:endnote>
  <w:endnote w:type="continuationSeparator" w:id="0">
    <w:p w14:paraId="4D916276" w14:textId="77777777" w:rsidR="008D2BE8" w:rsidRDefault="008D2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default"/>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B1BC9" w14:textId="77777777" w:rsidR="00892C0E" w:rsidRDefault="00892C0E">
    <w:pPr>
      <w:pStyle w:val="TOC3"/>
      <w:spacing w:before="0" w:line="14" w:lineRule="auto"/>
      <w:ind w:left="0"/>
      <w:rPr>
        <w:sz w:val="18"/>
      </w:rPr>
    </w:pPr>
    <w:r>
      <w:rPr>
        <w:noProof/>
        <w:lang w:val="sq-AL" w:eastAsia="sq-AL"/>
      </w:rPr>
      <mc:AlternateContent>
        <mc:Choice Requires="wps">
          <w:drawing>
            <wp:anchor distT="0" distB="0" distL="0" distR="0" simplePos="0" relativeHeight="251667456" behindDoc="1" locked="0" layoutInCell="1" allowOverlap="1" wp14:anchorId="2F770A40" wp14:editId="04D0FBDD">
              <wp:simplePos x="0" y="0"/>
              <wp:positionH relativeFrom="page">
                <wp:posOffset>3635518</wp:posOffset>
              </wp:positionH>
              <wp:positionV relativeFrom="page">
                <wp:posOffset>9737688</wp:posOffset>
              </wp:positionV>
              <wp:extent cx="301625" cy="165100"/>
              <wp:effectExtent l="0" t="0" r="0" b="0"/>
              <wp:wrapNone/>
              <wp:docPr id="97900046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100"/>
                      </a:xfrm>
                      <a:prstGeom prst="rect">
                        <a:avLst/>
                      </a:prstGeom>
                    </wps:spPr>
                    <wps:txbx>
                      <w:txbxContent>
                        <w:p w14:paraId="7BD1F619" w14:textId="77777777" w:rsidR="00892C0E" w:rsidRDefault="00892C0E">
                          <w:pPr>
                            <w:spacing w:line="244" w:lineRule="exact"/>
                            <w:ind w:left="60"/>
                            <w:rPr>
                              <w:rFonts w:ascii="Calibri"/>
                            </w:rPr>
                          </w:pPr>
                        </w:p>
                      </w:txbxContent>
                    </wps:txbx>
                    <wps:bodyPr wrap="square" lIns="0" tIns="0" rIns="0" bIns="0" rtlCol="0">
                      <a:noAutofit/>
                    </wps:bodyPr>
                  </wps:wsp>
                </a:graphicData>
              </a:graphic>
            </wp:anchor>
          </w:drawing>
        </mc:Choice>
        <mc:Fallback>
          <w:pict>
            <v:shapetype w14:anchorId="2F770A40" id="_x0000_t202" coordsize="21600,21600" o:spt="202" path="m,l,21600r21600,l21600,xe">
              <v:stroke joinstyle="miter"/>
              <v:path gradientshapeok="t" o:connecttype="rect"/>
            </v:shapetype>
            <v:shape id="Textbox 2" o:spid="_x0000_s1253" type="#_x0000_t202" style="position:absolute;margin-left:286.25pt;margin-top:766.75pt;width:23.75pt;height:13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" filled="f" stroked="f">
              <v:textbox inset="0,0,0,0">
                <w:txbxContent>
                  <w:p w14:paraId="7BD1F619" w14:textId="77777777" w:rsidR="00892C0E" w:rsidRDefault="00892C0E">
                    <w:pPr>
                      <w:spacing w:line="244" w:lineRule="exact"/>
                      <w:ind w:left="60"/>
                      <w:rPr>
                        <w:rFonts w:ascii="Calibri"/>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39492" w14:textId="77777777" w:rsidR="000C6EFC" w:rsidRDefault="000C6EFC">
    <w:pPr>
      <w:pStyle w:val="TOC3"/>
      <w:spacing w:before="0" w:line="14" w:lineRule="auto"/>
      <w:ind w:left="0"/>
      <w:rPr>
        <w:sz w:val="18"/>
      </w:rPr>
    </w:pPr>
    <w:r>
      <w:rPr>
        <w:noProof/>
        <w:lang w:val="sq-AL" w:eastAsia="sq-AL"/>
      </w:rPr>
      <mc:AlternateContent>
        <mc:Choice Requires="wps">
          <w:drawing>
            <wp:anchor distT="0" distB="0" distL="0" distR="0" simplePos="0" relativeHeight="251661312" behindDoc="1" locked="0" layoutInCell="1" allowOverlap="1" wp14:anchorId="0993261B" wp14:editId="6D29856B">
              <wp:simplePos x="0" y="0"/>
              <wp:positionH relativeFrom="page">
                <wp:posOffset>3635518</wp:posOffset>
              </wp:positionH>
              <wp:positionV relativeFrom="page">
                <wp:posOffset>9737688</wp:posOffset>
              </wp:positionV>
              <wp:extent cx="301625" cy="165100"/>
              <wp:effectExtent l="0" t="0" r="0" b="0"/>
              <wp:wrapNone/>
              <wp:docPr id="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100"/>
                      </a:xfrm>
                      <a:prstGeom prst="rect">
                        <a:avLst/>
                      </a:prstGeom>
                    </wps:spPr>
                    <wps:txbx>
                      <w:txbxContent>
                        <w:p w14:paraId="5E9E3584" w14:textId="77777777" w:rsidR="000C6EFC" w:rsidRDefault="000C6EFC">
                          <w:pPr>
                            <w:spacing w:line="244" w:lineRule="exact"/>
                            <w:ind w:left="60"/>
                            <w:rPr>
                              <w:rFonts w:ascii="Calibri"/>
                            </w:rPr>
                          </w:pPr>
                        </w:p>
                      </w:txbxContent>
                    </wps:txbx>
                    <wps:bodyPr wrap="square" lIns="0" tIns="0" rIns="0" bIns="0" rtlCol="0">
                      <a:noAutofit/>
                    </wps:bodyPr>
                  </wps:wsp>
                </a:graphicData>
              </a:graphic>
            </wp:anchor>
          </w:drawing>
        </mc:Choice>
        <mc:Fallback>
          <w:pict>
            <v:shapetype w14:anchorId="0993261B" id="_x0000_t202" coordsize="21600,21600" o:spt="202" path="m,l,21600r21600,l21600,xe">
              <v:stroke joinstyle="miter"/>
              <v:path gradientshapeok="t" o:connecttype="rect"/>
            </v:shapetype>
            <v:shape id="_x0000_s1254" type="#_x0000_t202" style="position:absolute;margin-left:286.25pt;margin-top:766.75pt;width:23.75pt;height:1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" filled="f" stroked="f">
              <v:textbox inset="0,0,0,0">
                <w:txbxContent>
                  <w:p w14:paraId="5E9E3584" w14:textId="77777777" w:rsidR="000C6EFC" w:rsidRDefault="000C6EFC">
                    <w:pPr>
                      <w:spacing w:line="244" w:lineRule="exact"/>
                      <w:ind w:left="60"/>
                      <w:rPr>
                        <w:rFonts w:ascii="Calibri"/>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6BCB4" w14:textId="77777777" w:rsidR="006C790B" w:rsidRDefault="006C79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0469C" w14:textId="77777777" w:rsidR="006C790B" w:rsidRDefault="006C790B">
    <w:pPr>
      <w:pStyle w:val="BodyText"/>
      <w:spacing w:before="0" w:line="14" w:lineRule="auto"/>
      <w:ind w:left="0" w:right="0"/>
      <w:jc w:val="left"/>
      <w:rPr>
        <w:sz w:val="18"/>
      </w:rPr>
    </w:pPr>
    <w:r>
      <w:rPr>
        <w:noProof/>
      </w:rPr>
      <mc:AlternateContent>
        <mc:Choice Requires="wps">
          <w:drawing>
            <wp:anchor distT="0" distB="0" distL="0" distR="0" simplePos="0" relativeHeight="251665408" behindDoc="1" locked="0" layoutInCell="1" allowOverlap="1" wp14:anchorId="62E9BCBE" wp14:editId="3BFAA5AE">
              <wp:simplePos x="0" y="0"/>
              <wp:positionH relativeFrom="page">
                <wp:posOffset>3635518</wp:posOffset>
              </wp:positionH>
              <wp:positionV relativeFrom="page">
                <wp:posOffset>9737688</wp:posOffset>
              </wp:positionV>
              <wp:extent cx="301625" cy="165100"/>
              <wp:effectExtent l="0" t="0" r="0" b="0"/>
              <wp:wrapNone/>
              <wp:docPr id="1893633947"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100"/>
                      </a:xfrm>
                      <a:prstGeom prst="rect">
                        <a:avLst/>
                      </a:prstGeom>
                    </wps:spPr>
                    <wps:txbx>
                      <w:txbxContent>
                        <w:p w14:paraId="582A33FD" w14:textId="77777777" w:rsidR="006C790B" w:rsidRDefault="006C790B">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100</w:t>
                          </w:r>
                          <w:r>
                            <w:rPr>
                              <w:rFonts w:ascii="Calibri"/>
                              <w:spacing w:val="-5"/>
                            </w:rPr>
                            <w:fldChar w:fldCharType="end"/>
                          </w:r>
                        </w:p>
                      </w:txbxContent>
                    </wps:txbx>
                    <wps:bodyPr wrap="square" lIns="0" tIns="0" rIns="0" bIns="0" rtlCol="0">
                      <a:noAutofit/>
                    </wps:bodyPr>
                  </wps:wsp>
                </a:graphicData>
              </a:graphic>
            </wp:anchor>
          </w:drawing>
        </mc:Choice>
        <mc:Fallback>
          <w:pict>
            <v:shapetype w14:anchorId="62E9BCBE" id="_x0000_t202" coordsize="21600,21600" o:spt="202" path="m,l,21600r21600,l21600,xe">
              <v:stroke joinstyle="miter"/>
              <v:path gradientshapeok="t" o:connecttype="rect"/>
            </v:shapetype>
            <v:shape id="_x0000_s1255" type="#_x0000_t202" style="position:absolute;margin-left:286.25pt;margin-top:766.75pt;width:23.75pt;height:13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" filled="f" stroked="f">
              <v:textbox inset="0,0,0,0">
                <w:txbxContent>
                  <w:p w14:paraId="582A33FD" w14:textId="77777777" w:rsidR="006C790B" w:rsidRDefault="006C790B">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100</w:t>
                    </w:r>
                    <w:r>
                      <w:rPr>
                        <w:rFonts w:ascii="Calibri"/>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752F5" w14:textId="7BD0E857" w:rsidR="000C6EFC" w:rsidRDefault="000C6EFC">
    <w:pPr>
      <w:pStyle w:val="TOC3"/>
      <w:spacing w:before="0" w:line="14" w:lineRule="auto"/>
      <w:ind w:left="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D8DF3" w14:textId="77777777" w:rsidR="008D2BE8" w:rsidRDefault="008D2BE8">
      <w:r>
        <w:separator/>
      </w:r>
    </w:p>
  </w:footnote>
  <w:footnote w:type="continuationSeparator" w:id="0">
    <w:p w14:paraId="7D4FEF5E" w14:textId="77777777" w:rsidR="008D2BE8" w:rsidRDefault="008D2BE8">
      <w:r>
        <w:continuationSeparator/>
      </w:r>
    </w:p>
  </w:footnote>
  <w:footnote w:id="1">
    <w:p w14:paraId="7866512A" w14:textId="77777777" w:rsidR="000C6EFC" w:rsidRPr="00327CB9" w:rsidRDefault="000C6EFC" w:rsidP="00E9592B">
      <w:pPr>
        <w:pStyle w:val="TOC3"/>
        <w:spacing w:before="0"/>
        <w:ind w:left="851" w:right="1067"/>
        <w:jc w:val="both"/>
        <w:rPr>
          <w:rFonts w:ascii="Times New Roman" w:hAnsi="Times New Roman" w:cs="Times New Roman"/>
          <w:lang w:val="sq-AL"/>
        </w:rPr>
      </w:pPr>
      <w:r>
        <w:rPr>
          <w:rStyle w:val="FootnoteReference"/>
        </w:rPr>
        <w:footnoteRef/>
      </w:r>
      <w:r>
        <w:t xml:space="preserve"> </w:t>
      </w:r>
      <w:r w:rsidRPr="00327CB9">
        <w:rPr>
          <w:rFonts w:ascii="Times New Roman" w:hAnsi="Times New Roman" w:cs="Times New Roman"/>
          <w:lang w:val="sq-AL"/>
        </w:rPr>
        <w:t>Ky raport mbulon periudhën nga qershori 2022 deri në qershor 2023. Ai bazohet në të dhëna nga një sërë burimesh, përfshirë kontributet nga qeveria e Shqipërisë, shtetet anëtare të BE-së, raportet e Parlamentit Evropian dhe informacione nga organizata të ndryshme ndërkombëtare dhe joqeveritare. Ai përfshin, gjithashtu, rezultatet e vlerësimeve dhe indekseve krahasuese të prodhuara nga palë të tjera të interesuara, veçanërisht në fushën e sundimit të ligjit.</w:t>
      </w:r>
    </w:p>
    <w:p w14:paraId="0844B445" w14:textId="02BB5EC1" w:rsidR="000C6EFC" w:rsidRPr="00327CB9" w:rsidRDefault="000C6EFC" w:rsidP="00E9592B">
      <w:pPr>
        <w:ind w:left="851" w:right="1067"/>
        <w:jc w:val="both"/>
        <w:rPr>
          <w:i/>
          <w:iCs/>
          <w:sz w:val="20"/>
          <w:szCs w:val="20"/>
          <w:lang w:val="sq-AL" w:eastAsia="en-GB"/>
        </w:rPr>
      </w:pPr>
      <w:r w:rsidRPr="00327CB9">
        <w:rPr>
          <w:i/>
          <w:iCs/>
          <w:sz w:val="20"/>
          <w:szCs w:val="20"/>
          <w:lang w:val="sq-AL"/>
        </w:rPr>
        <w:t>Raporti përdor këto shkallë vlerësimi për të përshkruar gjendjen aktua</w:t>
      </w:r>
      <w:r>
        <w:rPr>
          <w:i/>
          <w:iCs/>
          <w:sz w:val="20"/>
          <w:szCs w:val="20"/>
          <w:lang w:val="sq-AL"/>
        </w:rPr>
        <w:t>le: faza e hershme,</w:t>
      </w:r>
      <w:r w:rsidR="004D53EC">
        <w:rPr>
          <w:i/>
          <w:iCs/>
          <w:sz w:val="20"/>
          <w:szCs w:val="20"/>
          <w:lang w:val="sq-AL"/>
        </w:rPr>
        <w:t xml:space="preserve"> </w:t>
      </w:r>
      <w:r w:rsidRPr="00327CB9">
        <w:rPr>
          <w:i/>
          <w:iCs/>
          <w:sz w:val="20"/>
          <w:szCs w:val="20"/>
          <w:lang w:val="sq-AL"/>
        </w:rPr>
        <w:t>e mjaftueshme,</w:t>
      </w:r>
      <w:r w:rsidR="004D53EC">
        <w:rPr>
          <w:i/>
          <w:iCs/>
          <w:sz w:val="20"/>
          <w:szCs w:val="20"/>
          <w:lang w:val="sq-AL"/>
        </w:rPr>
        <w:t xml:space="preserve"> </w:t>
      </w:r>
      <w:r w:rsidRPr="00327CB9">
        <w:rPr>
          <w:i/>
          <w:iCs/>
          <w:sz w:val="20"/>
          <w:szCs w:val="20"/>
          <w:lang w:val="sq-AL"/>
        </w:rPr>
        <w:t>mesatare,</w:t>
      </w:r>
      <w:r w:rsidR="004D53EC">
        <w:rPr>
          <w:i/>
          <w:iCs/>
          <w:sz w:val="20"/>
          <w:szCs w:val="20"/>
          <w:lang w:val="sq-AL"/>
        </w:rPr>
        <w:t xml:space="preserve"> </w:t>
      </w:r>
      <w:r w:rsidRPr="00327CB9">
        <w:rPr>
          <w:i/>
          <w:iCs/>
          <w:sz w:val="20"/>
          <w:szCs w:val="20"/>
          <w:lang w:val="sq-AL"/>
        </w:rPr>
        <w:t>e mirë dhe</w:t>
      </w:r>
      <w:r w:rsidR="004D53EC">
        <w:rPr>
          <w:i/>
          <w:iCs/>
          <w:sz w:val="20"/>
          <w:szCs w:val="20"/>
          <w:lang w:val="sq-AL"/>
        </w:rPr>
        <w:t xml:space="preserve"> </w:t>
      </w:r>
      <w:r w:rsidRPr="00327CB9">
        <w:rPr>
          <w:i/>
          <w:iCs/>
          <w:sz w:val="20"/>
          <w:szCs w:val="20"/>
          <w:lang w:val="sq-AL"/>
        </w:rPr>
        <w:t>e avancuar. Për të përshkruar progresin e bërë gjatë periudhës së raportimit, përdoren shkallët e mëposhtme: regres, nuk ka progres, progres i kufizuar, progres i mirë dhe progres shumë i mirë. Kur është parë e nevojshme, janë përdorur edhe hapa të ndërmjetëm.</w:t>
      </w:r>
    </w:p>
    <w:p w14:paraId="4EC45FDB" w14:textId="77777777" w:rsidR="000C6EFC" w:rsidRPr="00327CB9" w:rsidRDefault="000C6EFC" w:rsidP="00E9592B">
      <w:pPr>
        <w:pStyle w:val="TOC3"/>
        <w:spacing w:before="0"/>
        <w:ind w:left="851" w:right="1067"/>
        <w:jc w:val="both"/>
        <w:rPr>
          <w:rFonts w:ascii="Times New Roman" w:hAnsi="Times New Roman" w:cs="Times New Roman"/>
          <w:lang w:val="sq-AL"/>
        </w:rPr>
      </w:pPr>
    </w:p>
  </w:footnote>
  <w:footnote w:id="2">
    <w:p w14:paraId="1EB85468" w14:textId="5C44A940" w:rsidR="000C6EFC" w:rsidRDefault="000C6EFC" w:rsidP="00CB3E2D">
      <w:pPr>
        <w:pStyle w:val="FootnoteText"/>
        <w:ind w:left="990"/>
      </w:pPr>
      <w:r>
        <w:rPr>
          <w:rStyle w:val="FootnoteReference"/>
        </w:rPr>
        <w:footnoteRef/>
      </w:r>
      <w:r>
        <w:t xml:space="preserve"> COM (2023) 730 final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1533"/>
    <w:multiLevelType w:val="multilevel"/>
    <w:tmpl w:val="C3EA80AC"/>
    <w:lvl w:ilvl="0">
      <w:start w:val="2"/>
      <w:numFmt w:val="decimal"/>
      <w:lvlText w:val="%1"/>
      <w:lvlJc w:val="left"/>
      <w:pPr>
        <w:ind w:left="1640" w:hanging="600"/>
      </w:pPr>
      <w:rPr>
        <w:rFonts w:hint="default"/>
        <w:lang w:val="en-US" w:eastAsia="en-US" w:bidi="ar-SA"/>
      </w:rPr>
    </w:lvl>
    <w:lvl w:ilvl="1">
      <w:start w:val="1"/>
      <w:numFmt w:val="decimal"/>
      <w:lvlText w:val="%1.%2"/>
      <w:lvlJc w:val="left"/>
      <w:pPr>
        <w:ind w:left="1640" w:hanging="600"/>
      </w:pPr>
      <w:rPr>
        <w:rFonts w:hint="default"/>
        <w:lang w:val="en-US" w:eastAsia="en-US" w:bidi="ar-SA"/>
      </w:rPr>
    </w:lvl>
    <w:lvl w:ilvl="2">
      <w:start w:val="2"/>
      <w:numFmt w:val="decimal"/>
      <w:lvlText w:val="%1.%2.%3."/>
      <w:lvlJc w:val="left"/>
      <w:pPr>
        <w:ind w:left="1640" w:hanging="60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4443" w:hanging="600"/>
      </w:pPr>
      <w:rPr>
        <w:rFonts w:hint="default"/>
        <w:lang w:val="en-US" w:eastAsia="en-US" w:bidi="ar-SA"/>
      </w:rPr>
    </w:lvl>
    <w:lvl w:ilvl="4">
      <w:numFmt w:val="bullet"/>
      <w:lvlText w:val="•"/>
      <w:lvlJc w:val="left"/>
      <w:pPr>
        <w:ind w:left="5378" w:hanging="600"/>
      </w:pPr>
      <w:rPr>
        <w:rFonts w:hint="default"/>
        <w:lang w:val="en-US" w:eastAsia="en-US" w:bidi="ar-SA"/>
      </w:rPr>
    </w:lvl>
    <w:lvl w:ilvl="5">
      <w:numFmt w:val="bullet"/>
      <w:lvlText w:val="•"/>
      <w:lvlJc w:val="left"/>
      <w:pPr>
        <w:ind w:left="6313" w:hanging="600"/>
      </w:pPr>
      <w:rPr>
        <w:rFonts w:hint="default"/>
        <w:lang w:val="en-US" w:eastAsia="en-US" w:bidi="ar-SA"/>
      </w:rPr>
    </w:lvl>
    <w:lvl w:ilvl="6">
      <w:numFmt w:val="bullet"/>
      <w:lvlText w:val="•"/>
      <w:lvlJc w:val="left"/>
      <w:pPr>
        <w:ind w:left="7247" w:hanging="600"/>
      </w:pPr>
      <w:rPr>
        <w:rFonts w:hint="default"/>
        <w:lang w:val="en-US" w:eastAsia="en-US" w:bidi="ar-SA"/>
      </w:rPr>
    </w:lvl>
    <w:lvl w:ilvl="7">
      <w:numFmt w:val="bullet"/>
      <w:lvlText w:val="•"/>
      <w:lvlJc w:val="left"/>
      <w:pPr>
        <w:ind w:left="8182" w:hanging="600"/>
      </w:pPr>
      <w:rPr>
        <w:rFonts w:hint="default"/>
        <w:lang w:val="en-US" w:eastAsia="en-US" w:bidi="ar-SA"/>
      </w:rPr>
    </w:lvl>
    <w:lvl w:ilvl="8">
      <w:numFmt w:val="bullet"/>
      <w:lvlText w:val="•"/>
      <w:lvlJc w:val="left"/>
      <w:pPr>
        <w:ind w:left="9117" w:hanging="600"/>
      </w:pPr>
      <w:rPr>
        <w:rFonts w:hint="default"/>
        <w:lang w:val="en-US" w:eastAsia="en-US" w:bidi="ar-SA"/>
      </w:rPr>
    </w:lvl>
  </w:abstractNum>
  <w:abstractNum w:abstractNumId="1" w15:restartNumberingAfterBreak="0">
    <w:nsid w:val="06A3462A"/>
    <w:multiLevelType w:val="hybridMultilevel"/>
    <w:tmpl w:val="F1BC3F56"/>
    <w:lvl w:ilvl="0" w:tplc="0409000B">
      <w:start w:val="1"/>
      <w:numFmt w:val="bullet"/>
      <w:lvlText w:val=""/>
      <w:lvlJc w:val="left"/>
      <w:pPr>
        <w:ind w:left="690" w:hanging="360"/>
      </w:pPr>
      <w:rPr>
        <w:rFonts w:ascii="Wingdings" w:hAnsi="Wingding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2" w15:restartNumberingAfterBreak="0">
    <w:nsid w:val="0AC01A0D"/>
    <w:multiLevelType w:val="multilevel"/>
    <w:tmpl w:val="B614D2E8"/>
    <w:lvl w:ilvl="0">
      <w:start w:val="2"/>
      <w:numFmt w:val="decimal"/>
      <w:lvlText w:val="%1"/>
      <w:lvlJc w:val="left"/>
      <w:pPr>
        <w:ind w:left="1921" w:hanging="502"/>
      </w:pPr>
      <w:rPr>
        <w:rFonts w:hint="default"/>
        <w:lang w:val="en-US" w:eastAsia="en-US" w:bidi="ar-SA"/>
      </w:rPr>
    </w:lvl>
    <w:lvl w:ilvl="1">
      <w:start w:val="3"/>
      <w:numFmt w:val="decimal"/>
      <w:lvlText w:val="%1.%2"/>
      <w:lvlJc w:val="left"/>
      <w:pPr>
        <w:ind w:left="1921" w:hanging="502"/>
      </w:pPr>
      <w:rPr>
        <w:rFonts w:hint="default"/>
        <w:lang w:val="en-US" w:eastAsia="en-US" w:bidi="ar-SA"/>
      </w:rPr>
    </w:lvl>
    <w:lvl w:ilvl="2">
      <w:start w:val="1"/>
      <w:numFmt w:val="decimal"/>
      <w:lvlText w:val="%1.%2.%3."/>
      <w:lvlJc w:val="left"/>
      <w:pPr>
        <w:ind w:left="1921" w:hanging="502"/>
      </w:pPr>
      <w:rPr>
        <w:rFonts w:ascii="Calibri" w:eastAsia="Calibri" w:hAnsi="Calibri" w:cs="Calibri" w:hint="default"/>
        <w:b w:val="0"/>
        <w:bCs w:val="0"/>
        <w:i/>
        <w:iCs/>
        <w:spacing w:val="-1"/>
        <w:w w:val="100"/>
        <w:sz w:val="20"/>
        <w:szCs w:val="20"/>
        <w:lang w:val="en-US" w:eastAsia="en-US" w:bidi="ar-SA"/>
      </w:rPr>
    </w:lvl>
    <w:lvl w:ilvl="3">
      <w:numFmt w:val="bullet"/>
      <w:lvlText w:val="•"/>
      <w:lvlJc w:val="left"/>
      <w:pPr>
        <w:ind w:left="4639" w:hanging="502"/>
      </w:pPr>
      <w:rPr>
        <w:rFonts w:hint="default"/>
        <w:lang w:val="en-US" w:eastAsia="en-US" w:bidi="ar-SA"/>
      </w:rPr>
    </w:lvl>
    <w:lvl w:ilvl="4">
      <w:numFmt w:val="bullet"/>
      <w:lvlText w:val="•"/>
      <w:lvlJc w:val="left"/>
      <w:pPr>
        <w:ind w:left="5546" w:hanging="502"/>
      </w:pPr>
      <w:rPr>
        <w:rFonts w:hint="default"/>
        <w:lang w:val="en-US" w:eastAsia="en-US" w:bidi="ar-SA"/>
      </w:rPr>
    </w:lvl>
    <w:lvl w:ilvl="5">
      <w:numFmt w:val="bullet"/>
      <w:lvlText w:val="•"/>
      <w:lvlJc w:val="left"/>
      <w:pPr>
        <w:ind w:left="6453" w:hanging="502"/>
      </w:pPr>
      <w:rPr>
        <w:rFonts w:hint="default"/>
        <w:lang w:val="en-US" w:eastAsia="en-US" w:bidi="ar-SA"/>
      </w:rPr>
    </w:lvl>
    <w:lvl w:ilvl="6">
      <w:numFmt w:val="bullet"/>
      <w:lvlText w:val="•"/>
      <w:lvlJc w:val="left"/>
      <w:pPr>
        <w:ind w:left="7359" w:hanging="502"/>
      </w:pPr>
      <w:rPr>
        <w:rFonts w:hint="default"/>
        <w:lang w:val="en-US" w:eastAsia="en-US" w:bidi="ar-SA"/>
      </w:rPr>
    </w:lvl>
    <w:lvl w:ilvl="7">
      <w:numFmt w:val="bullet"/>
      <w:lvlText w:val="•"/>
      <w:lvlJc w:val="left"/>
      <w:pPr>
        <w:ind w:left="8266" w:hanging="502"/>
      </w:pPr>
      <w:rPr>
        <w:rFonts w:hint="default"/>
        <w:lang w:val="en-US" w:eastAsia="en-US" w:bidi="ar-SA"/>
      </w:rPr>
    </w:lvl>
    <w:lvl w:ilvl="8">
      <w:numFmt w:val="bullet"/>
      <w:lvlText w:val="•"/>
      <w:lvlJc w:val="left"/>
      <w:pPr>
        <w:ind w:left="9173" w:hanging="502"/>
      </w:pPr>
      <w:rPr>
        <w:rFonts w:hint="default"/>
        <w:lang w:val="en-US" w:eastAsia="en-US" w:bidi="ar-SA"/>
      </w:rPr>
    </w:lvl>
  </w:abstractNum>
  <w:abstractNum w:abstractNumId="3" w15:restartNumberingAfterBreak="0">
    <w:nsid w:val="0F4D2A56"/>
    <w:multiLevelType w:val="multilevel"/>
    <w:tmpl w:val="A5C02A24"/>
    <w:lvl w:ilvl="0">
      <w:start w:val="2"/>
      <w:numFmt w:val="decimal"/>
      <w:lvlText w:val="%1"/>
      <w:lvlJc w:val="left"/>
      <w:pPr>
        <w:ind w:left="1640" w:hanging="600"/>
      </w:pPr>
      <w:rPr>
        <w:rFonts w:hint="default"/>
        <w:lang w:val="en-US" w:eastAsia="en-US" w:bidi="ar-SA"/>
      </w:rPr>
    </w:lvl>
    <w:lvl w:ilvl="1">
      <w:start w:val="3"/>
      <w:numFmt w:val="decimal"/>
      <w:lvlText w:val="%1.%2"/>
      <w:lvlJc w:val="left"/>
      <w:pPr>
        <w:ind w:left="1640" w:hanging="600"/>
      </w:pPr>
      <w:rPr>
        <w:rFonts w:hint="default"/>
        <w:lang w:val="en-US" w:eastAsia="en-US" w:bidi="ar-SA"/>
      </w:rPr>
    </w:lvl>
    <w:lvl w:ilvl="2">
      <w:start w:val="1"/>
      <w:numFmt w:val="decimal"/>
      <w:lvlText w:val="%1.%2.%3."/>
      <w:lvlJc w:val="left"/>
      <w:pPr>
        <w:ind w:left="1640" w:hanging="60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4443" w:hanging="600"/>
      </w:pPr>
      <w:rPr>
        <w:rFonts w:hint="default"/>
        <w:lang w:val="en-US" w:eastAsia="en-US" w:bidi="ar-SA"/>
      </w:rPr>
    </w:lvl>
    <w:lvl w:ilvl="4">
      <w:numFmt w:val="bullet"/>
      <w:lvlText w:val="•"/>
      <w:lvlJc w:val="left"/>
      <w:pPr>
        <w:ind w:left="5378" w:hanging="600"/>
      </w:pPr>
      <w:rPr>
        <w:rFonts w:hint="default"/>
        <w:lang w:val="en-US" w:eastAsia="en-US" w:bidi="ar-SA"/>
      </w:rPr>
    </w:lvl>
    <w:lvl w:ilvl="5">
      <w:numFmt w:val="bullet"/>
      <w:lvlText w:val="•"/>
      <w:lvlJc w:val="left"/>
      <w:pPr>
        <w:ind w:left="6313" w:hanging="600"/>
      </w:pPr>
      <w:rPr>
        <w:rFonts w:hint="default"/>
        <w:lang w:val="en-US" w:eastAsia="en-US" w:bidi="ar-SA"/>
      </w:rPr>
    </w:lvl>
    <w:lvl w:ilvl="6">
      <w:numFmt w:val="bullet"/>
      <w:lvlText w:val="•"/>
      <w:lvlJc w:val="left"/>
      <w:pPr>
        <w:ind w:left="7247" w:hanging="600"/>
      </w:pPr>
      <w:rPr>
        <w:rFonts w:hint="default"/>
        <w:lang w:val="en-US" w:eastAsia="en-US" w:bidi="ar-SA"/>
      </w:rPr>
    </w:lvl>
    <w:lvl w:ilvl="7">
      <w:numFmt w:val="bullet"/>
      <w:lvlText w:val="•"/>
      <w:lvlJc w:val="left"/>
      <w:pPr>
        <w:ind w:left="8182" w:hanging="600"/>
      </w:pPr>
      <w:rPr>
        <w:rFonts w:hint="default"/>
        <w:lang w:val="en-US" w:eastAsia="en-US" w:bidi="ar-SA"/>
      </w:rPr>
    </w:lvl>
    <w:lvl w:ilvl="8">
      <w:numFmt w:val="bullet"/>
      <w:lvlText w:val="•"/>
      <w:lvlJc w:val="left"/>
      <w:pPr>
        <w:ind w:left="9117" w:hanging="600"/>
      </w:pPr>
      <w:rPr>
        <w:rFonts w:hint="default"/>
        <w:lang w:val="en-US" w:eastAsia="en-US" w:bidi="ar-SA"/>
      </w:rPr>
    </w:lvl>
  </w:abstractNum>
  <w:abstractNum w:abstractNumId="4" w15:restartNumberingAfterBreak="0">
    <w:nsid w:val="1B703D5A"/>
    <w:multiLevelType w:val="multilevel"/>
    <w:tmpl w:val="2C284F8C"/>
    <w:lvl w:ilvl="0">
      <w:start w:val="2"/>
      <w:numFmt w:val="decimal"/>
      <w:lvlText w:val="%1"/>
      <w:lvlJc w:val="left"/>
      <w:pPr>
        <w:ind w:left="2300" w:hanging="880"/>
      </w:pPr>
      <w:rPr>
        <w:rFonts w:hint="default"/>
        <w:lang w:val="en-US" w:eastAsia="en-US" w:bidi="ar-SA"/>
      </w:rPr>
    </w:lvl>
    <w:lvl w:ilvl="1">
      <w:start w:val="2"/>
      <w:numFmt w:val="decimal"/>
      <w:lvlText w:val="%1.%2"/>
      <w:lvlJc w:val="left"/>
      <w:pPr>
        <w:ind w:left="2300" w:hanging="880"/>
      </w:pPr>
      <w:rPr>
        <w:rFonts w:hint="default"/>
        <w:lang w:val="en-US" w:eastAsia="en-US" w:bidi="ar-SA"/>
      </w:rPr>
    </w:lvl>
    <w:lvl w:ilvl="2">
      <w:start w:val="1"/>
      <w:numFmt w:val="decimal"/>
      <w:lvlText w:val="%1.%2.%3."/>
      <w:lvlJc w:val="left"/>
      <w:pPr>
        <w:ind w:left="2157" w:hanging="880"/>
      </w:pPr>
      <w:rPr>
        <w:rFonts w:ascii="Calibri" w:eastAsia="Calibri" w:hAnsi="Calibri" w:cs="Calibri" w:hint="default"/>
        <w:b w:val="0"/>
        <w:bCs w:val="0"/>
        <w:i/>
        <w:iCs/>
        <w:spacing w:val="-1"/>
        <w:w w:val="100"/>
        <w:sz w:val="20"/>
        <w:szCs w:val="20"/>
        <w:lang w:val="en-US" w:eastAsia="en-US" w:bidi="ar-SA"/>
      </w:rPr>
    </w:lvl>
    <w:lvl w:ilvl="3">
      <w:numFmt w:val="bullet"/>
      <w:lvlText w:val="•"/>
      <w:lvlJc w:val="left"/>
      <w:pPr>
        <w:ind w:left="4905" w:hanging="880"/>
      </w:pPr>
      <w:rPr>
        <w:rFonts w:hint="default"/>
        <w:lang w:val="en-US" w:eastAsia="en-US" w:bidi="ar-SA"/>
      </w:rPr>
    </w:lvl>
    <w:lvl w:ilvl="4">
      <w:numFmt w:val="bullet"/>
      <w:lvlText w:val="•"/>
      <w:lvlJc w:val="left"/>
      <w:pPr>
        <w:ind w:left="5774" w:hanging="880"/>
      </w:pPr>
      <w:rPr>
        <w:rFonts w:hint="default"/>
        <w:lang w:val="en-US" w:eastAsia="en-US" w:bidi="ar-SA"/>
      </w:rPr>
    </w:lvl>
    <w:lvl w:ilvl="5">
      <w:numFmt w:val="bullet"/>
      <w:lvlText w:val="•"/>
      <w:lvlJc w:val="left"/>
      <w:pPr>
        <w:ind w:left="6643" w:hanging="880"/>
      </w:pPr>
      <w:rPr>
        <w:rFonts w:hint="default"/>
        <w:lang w:val="en-US" w:eastAsia="en-US" w:bidi="ar-SA"/>
      </w:rPr>
    </w:lvl>
    <w:lvl w:ilvl="6">
      <w:numFmt w:val="bullet"/>
      <w:lvlText w:val="•"/>
      <w:lvlJc w:val="left"/>
      <w:pPr>
        <w:ind w:left="7511" w:hanging="880"/>
      </w:pPr>
      <w:rPr>
        <w:rFonts w:hint="default"/>
        <w:lang w:val="en-US" w:eastAsia="en-US" w:bidi="ar-SA"/>
      </w:rPr>
    </w:lvl>
    <w:lvl w:ilvl="7">
      <w:numFmt w:val="bullet"/>
      <w:lvlText w:val="•"/>
      <w:lvlJc w:val="left"/>
      <w:pPr>
        <w:ind w:left="8380" w:hanging="880"/>
      </w:pPr>
      <w:rPr>
        <w:rFonts w:hint="default"/>
        <w:lang w:val="en-US" w:eastAsia="en-US" w:bidi="ar-SA"/>
      </w:rPr>
    </w:lvl>
    <w:lvl w:ilvl="8">
      <w:numFmt w:val="bullet"/>
      <w:lvlText w:val="•"/>
      <w:lvlJc w:val="left"/>
      <w:pPr>
        <w:ind w:left="9249" w:hanging="880"/>
      </w:pPr>
      <w:rPr>
        <w:rFonts w:hint="default"/>
        <w:lang w:val="en-US" w:eastAsia="en-US" w:bidi="ar-SA"/>
      </w:rPr>
    </w:lvl>
  </w:abstractNum>
  <w:abstractNum w:abstractNumId="5" w15:restartNumberingAfterBreak="0">
    <w:nsid w:val="24FB7CDB"/>
    <w:multiLevelType w:val="multilevel"/>
    <w:tmpl w:val="06EC0032"/>
    <w:lvl w:ilvl="0">
      <w:start w:val="2"/>
      <w:numFmt w:val="decimal"/>
      <w:lvlText w:val="%1"/>
      <w:lvlJc w:val="left"/>
      <w:pPr>
        <w:ind w:left="1490" w:hanging="291"/>
      </w:pPr>
      <w:rPr>
        <w:rFonts w:hint="default"/>
        <w:lang w:val="en-US" w:eastAsia="en-US" w:bidi="ar-SA"/>
      </w:rPr>
    </w:lvl>
    <w:lvl w:ilvl="1">
      <w:start w:val="4"/>
      <w:numFmt w:val="decimal"/>
      <w:lvlText w:val="%1.%2"/>
      <w:lvlJc w:val="left"/>
      <w:pPr>
        <w:ind w:left="1490" w:hanging="291"/>
      </w:pPr>
      <w:rPr>
        <w:rFonts w:ascii="Calibri" w:eastAsia="Calibri" w:hAnsi="Calibri" w:cs="Calibri" w:hint="default"/>
        <w:b w:val="0"/>
        <w:bCs w:val="0"/>
        <w:i w:val="0"/>
        <w:iCs w:val="0"/>
        <w:spacing w:val="-1"/>
        <w:w w:val="100"/>
        <w:sz w:val="20"/>
        <w:szCs w:val="20"/>
        <w:lang w:val="en-US" w:eastAsia="en-US" w:bidi="ar-SA"/>
      </w:rPr>
    </w:lvl>
    <w:lvl w:ilvl="2">
      <w:numFmt w:val="bullet"/>
      <w:lvlText w:val="•"/>
      <w:lvlJc w:val="left"/>
      <w:pPr>
        <w:ind w:left="3397" w:hanging="291"/>
      </w:pPr>
      <w:rPr>
        <w:rFonts w:hint="default"/>
        <w:lang w:val="en-US" w:eastAsia="en-US" w:bidi="ar-SA"/>
      </w:rPr>
    </w:lvl>
    <w:lvl w:ilvl="3">
      <w:numFmt w:val="bullet"/>
      <w:lvlText w:val="•"/>
      <w:lvlJc w:val="left"/>
      <w:pPr>
        <w:ind w:left="4345" w:hanging="291"/>
      </w:pPr>
      <w:rPr>
        <w:rFonts w:hint="default"/>
        <w:lang w:val="en-US" w:eastAsia="en-US" w:bidi="ar-SA"/>
      </w:rPr>
    </w:lvl>
    <w:lvl w:ilvl="4">
      <w:numFmt w:val="bullet"/>
      <w:lvlText w:val="•"/>
      <w:lvlJc w:val="left"/>
      <w:pPr>
        <w:ind w:left="5294" w:hanging="291"/>
      </w:pPr>
      <w:rPr>
        <w:rFonts w:hint="default"/>
        <w:lang w:val="en-US" w:eastAsia="en-US" w:bidi="ar-SA"/>
      </w:rPr>
    </w:lvl>
    <w:lvl w:ilvl="5">
      <w:numFmt w:val="bullet"/>
      <w:lvlText w:val="•"/>
      <w:lvlJc w:val="left"/>
      <w:pPr>
        <w:ind w:left="6243" w:hanging="291"/>
      </w:pPr>
      <w:rPr>
        <w:rFonts w:hint="default"/>
        <w:lang w:val="en-US" w:eastAsia="en-US" w:bidi="ar-SA"/>
      </w:rPr>
    </w:lvl>
    <w:lvl w:ilvl="6">
      <w:numFmt w:val="bullet"/>
      <w:lvlText w:val="•"/>
      <w:lvlJc w:val="left"/>
      <w:pPr>
        <w:ind w:left="7191" w:hanging="291"/>
      </w:pPr>
      <w:rPr>
        <w:rFonts w:hint="default"/>
        <w:lang w:val="en-US" w:eastAsia="en-US" w:bidi="ar-SA"/>
      </w:rPr>
    </w:lvl>
    <w:lvl w:ilvl="7">
      <w:numFmt w:val="bullet"/>
      <w:lvlText w:val="•"/>
      <w:lvlJc w:val="left"/>
      <w:pPr>
        <w:ind w:left="8140" w:hanging="291"/>
      </w:pPr>
      <w:rPr>
        <w:rFonts w:hint="default"/>
        <w:lang w:val="en-US" w:eastAsia="en-US" w:bidi="ar-SA"/>
      </w:rPr>
    </w:lvl>
    <w:lvl w:ilvl="8">
      <w:numFmt w:val="bullet"/>
      <w:lvlText w:val="•"/>
      <w:lvlJc w:val="left"/>
      <w:pPr>
        <w:ind w:left="9089" w:hanging="291"/>
      </w:pPr>
      <w:rPr>
        <w:rFonts w:hint="default"/>
        <w:lang w:val="en-US" w:eastAsia="en-US" w:bidi="ar-SA"/>
      </w:rPr>
    </w:lvl>
  </w:abstractNum>
  <w:abstractNum w:abstractNumId="6" w15:restartNumberingAfterBreak="0">
    <w:nsid w:val="5D2A512E"/>
    <w:multiLevelType w:val="multilevel"/>
    <w:tmpl w:val="EE40D62A"/>
    <w:lvl w:ilvl="0">
      <w:start w:val="2"/>
      <w:numFmt w:val="decimal"/>
      <w:lvlText w:val="%1"/>
      <w:lvlJc w:val="left"/>
      <w:pPr>
        <w:ind w:left="1922" w:hanging="502"/>
      </w:pPr>
      <w:rPr>
        <w:rFonts w:hint="default"/>
        <w:lang w:val="en-US" w:eastAsia="en-US" w:bidi="ar-SA"/>
      </w:rPr>
    </w:lvl>
    <w:lvl w:ilvl="1">
      <w:start w:val="1"/>
      <w:numFmt w:val="decimal"/>
      <w:lvlText w:val="%1.%2"/>
      <w:lvlJc w:val="left"/>
      <w:pPr>
        <w:ind w:left="1922" w:hanging="502"/>
      </w:pPr>
      <w:rPr>
        <w:rFonts w:hint="default"/>
        <w:lang w:val="en-US" w:eastAsia="en-US" w:bidi="ar-SA"/>
      </w:rPr>
    </w:lvl>
    <w:lvl w:ilvl="2">
      <w:start w:val="2"/>
      <w:numFmt w:val="decimal"/>
      <w:lvlText w:val="%1.%2.%3."/>
      <w:lvlJc w:val="left"/>
      <w:pPr>
        <w:ind w:left="1922" w:hanging="502"/>
      </w:pPr>
      <w:rPr>
        <w:rFonts w:ascii="Calibri" w:eastAsia="Calibri" w:hAnsi="Calibri" w:cs="Calibri" w:hint="default"/>
        <w:b w:val="0"/>
        <w:bCs w:val="0"/>
        <w:i/>
        <w:iCs/>
        <w:spacing w:val="-1"/>
        <w:w w:val="100"/>
        <w:sz w:val="20"/>
        <w:szCs w:val="20"/>
        <w:lang w:val="en-US" w:eastAsia="en-US" w:bidi="ar-SA"/>
      </w:rPr>
    </w:lvl>
    <w:lvl w:ilvl="3">
      <w:numFmt w:val="bullet"/>
      <w:lvlText w:val="•"/>
      <w:lvlJc w:val="left"/>
      <w:pPr>
        <w:ind w:left="4639" w:hanging="502"/>
      </w:pPr>
      <w:rPr>
        <w:rFonts w:hint="default"/>
        <w:lang w:val="en-US" w:eastAsia="en-US" w:bidi="ar-SA"/>
      </w:rPr>
    </w:lvl>
    <w:lvl w:ilvl="4">
      <w:numFmt w:val="bullet"/>
      <w:lvlText w:val="•"/>
      <w:lvlJc w:val="left"/>
      <w:pPr>
        <w:ind w:left="5546" w:hanging="502"/>
      </w:pPr>
      <w:rPr>
        <w:rFonts w:hint="default"/>
        <w:lang w:val="en-US" w:eastAsia="en-US" w:bidi="ar-SA"/>
      </w:rPr>
    </w:lvl>
    <w:lvl w:ilvl="5">
      <w:numFmt w:val="bullet"/>
      <w:lvlText w:val="•"/>
      <w:lvlJc w:val="left"/>
      <w:pPr>
        <w:ind w:left="6453" w:hanging="502"/>
      </w:pPr>
      <w:rPr>
        <w:rFonts w:hint="default"/>
        <w:lang w:val="en-US" w:eastAsia="en-US" w:bidi="ar-SA"/>
      </w:rPr>
    </w:lvl>
    <w:lvl w:ilvl="6">
      <w:numFmt w:val="bullet"/>
      <w:lvlText w:val="•"/>
      <w:lvlJc w:val="left"/>
      <w:pPr>
        <w:ind w:left="7359" w:hanging="502"/>
      </w:pPr>
      <w:rPr>
        <w:rFonts w:hint="default"/>
        <w:lang w:val="en-US" w:eastAsia="en-US" w:bidi="ar-SA"/>
      </w:rPr>
    </w:lvl>
    <w:lvl w:ilvl="7">
      <w:numFmt w:val="bullet"/>
      <w:lvlText w:val="•"/>
      <w:lvlJc w:val="left"/>
      <w:pPr>
        <w:ind w:left="8266" w:hanging="502"/>
      </w:pPr>
      <w:rPr>
        <w:rFonts w:hint="default"/>
        <w:lang w:val="en-US" w:eastAsia="en-US" w:bidi="ar-SA"/>
      </w:rPr>
    </w:lvl>
    <w:lvl w:ilvl="8">
      <w:numFmt w:val="bullet"/>
      <w:lvlText w:val="•"/>
      <w:lvlJc w:val="left"/>
      <w:pPr>
        <w:ind w:left="9173" w:hanging="502"/>
      </w:pPr>
      <w:rPr>
        <w:rFonts w:hint="default"/>
        <w:lang w:val="en-US" w:eastAsia="en-US" w:bidi="ar-SA"/>
      </w:rPr>
    </w:lvl>
  </w:abstractNum>
  <w:abstractNum w:abstractNumId="7" w15:restartNumberingAfterBreak="0">
    <w:nsid w:val="5F1D217C"/>
    <w:multiLevelType w:val="multilevel"/>
    <w:tmpl w:val="1CB24B26"/>
    <w:lvl w:ilvl="0">
      <w:start w:val="1"/>
      <w:numFmt w:val="decimal"/>
      <w:lvlText w:val="%1."/>
      <w:lvlJc w:val="left"/>
      <w:pPr>
        <w:ind w:left="1700" w:hanging="720"/>
      </w:pPr>
      <w:rPr>
        <w:rFonts w:ascii="Times New Roman" w:eastAsia="Times New Roman" w:hAnsi="Times New Roman" w:cs="Times New Roman"/>
        <w:b/>
        <w:bCs/>
        <w:i w:val="0"/>
        <w:iCs w:val="0"/>
        <w:spacing w:val="0"/>
        <w:w w:val="100"/>
        <w:sz w:val="24"/>
        <w:szCs w:val="24"/>
        <w:lang w:val="en-US" w:eastAsia="en-US" w:bidi="ar-SA"/>
      </w:rPr>
    </w:lvl>
    <w:lvl w:ilvl="1">
      <w:start w:val="1"/>
      <w:numFmt w:val="decimal"/>
      <w:lvlText w:val="%1.%2."/>
      <w:lvlJc w:val="left"/>
      <w:pPr>
        <w:ind w:left="1700"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58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860" w:hanging="540"/>
      </w:pPr>
      <w:rPr>
        <w:rFonts w:hint="default"/>
        <w:lang w:val="en-US" w:eastAsia="en-US" w:bidi="ar-SA"/>
      </w:rPr>
    </w:lvl>
    <w:lvl w:ilvl="4">
      <w:numFmt w:val="bullet"/>
      <w:lvlText w:val="•"/>
      <w:lvlJc w:val="left"/>
      <w:pPr>
        <w:ind w:left="4021" w:hanging="540"/>
      </w:pPr>
      <w:rPr>
        <w:rFonts w:hint="default"/>
        <w:lang w:val="en-US" w:eastAsia="en-US" w:bidi="ar-SA"/>
      </w:rPr>
    </w:lvl>
    <w:lvl w:ilvl="5">
      <w:numFmt w:val="bullet"/>
      <w:lvlText w:val="•"/>
      <w:lvlJc w:val="left"/>
      <w:pPr>
        <w:ind w:left="5182" w:hanging="540"/>
      </w:pPr>
      <w:rPr>
        <w:rFonts w:hint="default"/>
        <w:lang w:val="en-US" w:eastAsia="en-US" w:bidi="ar-SA"/>
      </w:rPr>
    </w:lvl>
    <w:lvl w:ilvl="6">
      <w:numFmt w:val="bullet"/>
      <w:lvlText w:val="•"/>
      <w:lvlJc w:val="left"/>
      <w:pPr>
        <w:ind w:left="6343" w:hanging="540"/>
      </w:pPr>
      <w:rPr>
        <w:rFonts w:hint="default"/>
        <w:lang w:val="en-US" w:eastAsia="en-US" w:bidi="ar-SA"/>
      </w:rPr>
    </w:lvl>
    <w:lvl w:ilvl="7">
      <w:numFmt w:val="bullet"/>
      <w:lvlText w:val="•"/>
      <w:lvlJc w:val="left"/>
      <w:pPr>
        <w:ind w:left="7504" w:hanging="540"/>
      </w:pPr>
      <w:rPr>
        <w:rFonts w:hint="default"/>
        <w:lang w:val="en-US" w:eastAsia="en-US" w:bidi="ar-SA"/>
      </w:rPr>
    </w:lvl>
    <w:lvl w:ilvl="8">
      <w:numFmt w:val="bullet"/>
      <w:lvlText w:val="•"/>
      <w:lvlJc w:val="left"/>
      <w:pPr>
        <w:ind w:left="8664" w:hanging="540"/>
      </w:pPr>
      <w:rPr>
        <w:rFonts w:hint="default"/>
        <w:lang w:val="en-US" w:eastAsia="en-US" w:bidi="ar-SA"/>
      </w:rPr>
    </w:lvl>
  </w:abstractNum>
  <w:abstractNum w:abstractNumId="8" w15:restartNumberingAfterBreak="0">
    <w:nsid w:val="62360801"/>
    <w:multiLevelType w:val="multilevel"/>
    <w:tmpl w:val="EA402068"/>
    <w:lvl w:ilvl="0">
      <w:start w:val="2"/>
      <w:numFmt w:val="decimal"/>
      <w:lvlText w:val="%1"/>
      <w:lvlJc w:val="left"/>
      <w:pPr>
        <w:ind w:left="1700" w:hanging="660"/>
      </w:pPr>
      <w:rPr>
        <w:rFonts w:hint="default"/>
        <w:lang w:val="en-US" w:eastAsia="en-US" w:bidi="ar-SA"/>
      </w:rPr>
    </w:lvl>
    <w:lvl w:ilvl="1">
      <w:start w:val="2"/>
      <w:numFmt w:val="decimal"/>
      <w:lvlText w:val="%1.%2"/>
      <w:lvlJc w:val="left"/>
      <w:pPr>
        <w:ind w:left="1700" w:hanging="660"/>
      </w:pPr>
      <w:rPr>
        <w:rFonts w:hint="default"/>
        <w:lang w:val="en-US" w:eastAsia="en-US" w:bidi="ar-SA"/>
      </w:rPr>
    </w:lvl>
    <w:lvl w:ilvl="2">
      <w:start w:val="1"/>
      <w:numFmt w:val="decimal"/>
      <w:lvlText w:val="%1.%2.%3."/>
      <w:lvlJc w:val="left"/>
      <w:pPr>
        <w:ind w:left="1700" w:hanging="66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4485" w:hanging="660"/>
      </w:pPr>
      <w:rPr>
        <w:rFonts w:hint="default"/>
        <w:lang w:val="en-US" w:eastAsia="en-US" w:bidi="ar-SA"/>
      </w:rPr>
    </w:lvl>
    <w:lvl w:ilvl="4">
      <w:numFmt w:val="bullet"/>
      <w:lvlText w:val="•"/>
      <w:lvlJc w:val="left"/>
      <w:pPr>
        <w:ind w:left="5414" w:hanging="660"/>
      </w:pPr>
      <w:rPr>
        <w:rFonts w:hint="default"/>
        <w:lang w:val="en-US" w:eastAsia="en-US" w:bidi="ar-SA"/>
      </w:rPr>
    </w:lvl>
    <w:lvl w:ilvl="5">
      <w:numFmt w:val="bullet"/>
      <w:lvlText w:val="•"/>
      <w:lvlJc w:val="left"/>
      <w:pPr>
        <w:ind w:left="6343" w:hanging="660"/>
      </w:pPr>
      <w:rPr>
        <w:rFonts w:hint="default"/>
        <w:lang w:val="en-US" w:eastAsia="en-US" w:bidi="ar-SA"/>
      </w:rPr>
    </w:lvl>
    <w:lvl w:ilvl="6">
      <w:numFmt w:val="bullet"/>
      <w:lvlText w:val="•"/>
      <w:lvlJc w:val="left"/>
      <w:pPr>
        <w:ind w:left="7271" w:hanging="660"/>
      </w:pPr>
      <w:rPr>
        <w:rFonts w:hint="default"/>
        <w:lang w:val="en-US" w:eastAsia="en-US" w:bidi="ar-SA"/>
      </w:rPr>
    </w:lvl>
    <w:lvl w:ilvl="7">
      <w:numFmt w:val="bullet"/>
      <w:lvlText w:val="•"/>
      <w:lvlJc w:val="left"/>
      <w:pPr>
        <w:ind w:left="8200" w:hanging="660"/>
      </w:pPr>
      <w:rPr>
        <w:rFonts w:hint="default"/>
        <w:lang w:val="en-US" w:eastAsia="en-US" w:bidi="ar-SA"/>
      </w:rPr>
    </w:lvl>
    <w:lvl w:ilvl="8">
      <w:numFmt w:val="bullet"/>
      <w:lvlText w:val="•"/>
      <w:lvlJc w:val="left"/>
      <w:pPr>
        <w:ind w:left="9129" w:hanging="660"/>
      </w:pPr>
      <w:rPr>
        <w:rFonts w:hint="default"/>
        <w:lang w:val="en-US" w:eastAsia="en-US" w:bidi="ar-SA"/>
      </w:rPr>
    </w:lvl>
  </w:abstractNum>
  <w:abstractNum w:abstractNumId="9" w15:restartNumberingAfterBreak="0">
    <w:nsid w:val="63EE5B1D"/>
    <w:multiLevelType w:val="multilevel"/>
    <w:tmpl w:val="A0F6A40E"/>
    <w:lvl w:ilvl="0">
      <w:start w:val="1"/>
      <w:numFmt w:val="decimal"/>
      <w:lvlText w:val="%1."/>
      <w:lvlJc w:val="left"/>
      <w:pPr>
        <w:ind w:left="1420" w:hanging="441"/>
      </w:pPr>
      <w:rPr>
        <w:rFonts w:ascii="Calibri" w:eastAsia="Calibri" w:hAnsi="Calibri" w:cs="Calibri" w:hint="default"/>
        <w:b/>
        <w:bCs/>
        <w:i w:val="0"/>
        <w:iCs w:val="0"/>
        <w:spacing w:val="0"/>
        <w:w w:val="100"/>
        <w:sz w:val="20"/>
        <w:szCs w:val="20"/>
        <w:lang w:val="en-US" w:eastAsia="en-US" w:bidi="ar-SA"/>
      </w:rPr>
    </w:lvl>
    <w:lvl w:ilvl="1">
      <w:start w:val="1"/>
      <w:numFmt w:val="decimal"/>
      <w:lvlText w:val="%1.%2."/>
      <w:lvlJc w:val="left"/>
      <w:pPr>
        <w:ind w:left="1859" w:hanging="660"/>
      </w:pPr>
      <w:rPr>
        <w:rFonts w:ascii="Calibri" w:eastAsia="Calibri" w:hAnsi="Calibri" w:cs="Calibri" w:hint="default"/>
        <w:b w:val="0"/>
        <w:bCs w:val="0"/>
        <w:i w:val="0"/>
        <w:iCs w:val="0"/>
        <w:spacing w:val="-1"/>
        <w:w w:val="100"/>
        <w:sz w:val="20"/>
        <w:szCs w:val="20"/>
        <w:lang w:val="en-US" w:eastAsia="en-US" w:bidi="ar-SA"/>
      </w:rPr>
    </w:lvl>
    <w:lvl w:ilvl="2">
      <w:start w:val="1"/>
      <w:numFmt w:val="decimal"/>
      <w:lvlText w:val="%1.%2.%3"/>
      <w:lvlJc w:val="left"/>
      <w:pPr>
        <w:ind w:left="1871" w:hanging="452"/>
      </w:pPr>
      <w:rPr>
        <w:rFonts w:ascii="Calibri" w:eastAsia="Calibri" w:hAnsi="Calibri" w:cs="Calibri" w:hint="default"/>
        <w:b w:val="0"/>
        <w:bCs w:val="0"/>
        <w:i/>
        <w:iCs/>
        <w:spacing w:val="-1"/>
        <w:w w:val="100"/>
        <w:sz w:val="20"/>
        <w:szCs w:val="20"/>
        <w:lang w:val="en-US" w:eastAsia="en-US" w:bidi="ar-SA"/>
      </w:rPr>
    </w:lvl>
    <w:lvl w:ilvl="3">
      <w:numFmt w:val="bullet"/>
      <w:lvlText w:val="•"/>
      <w:lvlJc w:val="left"/>
      <w:pPr>
        <w:ind w:left="1880" w:hanging="452"/>
      </w:pPr>
      <w:rPr>
        <w:rFonts w:hint="default"/>
        <w:lang w:val="en-US" w:eastAsia="en-US" w:bidi="ar-SA"/>
      </w:rPr>
    </w:lvl>
    <w:lvl w:ilvl="4">
      <w:numFmt w:val="bullet"/>
      <w:lvlText w:val="•"/>
      <w:lvlJc w:val="left"/>
      <w:pPr>
        <w:ind w:left="3180" w:hanging="452"/>
      </w:pPr>
      <w:rPr>
        <w:rFonts w:hint="default"/>
        <w:lang w:val="en-US" w:eastAsia="en-US" w:bidi="ar-SA"/>
      </w:rPr>
    </w:lvl>
    <w:lvl w:ilvl="5">
      <w:numFmt w:val="bullet"/>
      <w:lvlText w:val="•"/>
      <w:lvlJc w:val="left"/>
      <w:pPr>
        <w:ind w:left="4481" w:hanging="452"/>
      </w:pPr>
      <w:rPr>
        <w:rFonts w:hint="default"/>
        <w:lang w:val="en-US" w:eastAsia="en-US" w:bidi="ar-SA"/>
      </w:rPr>
    </w:lvl>
    <w:lvl w:ilvl="6">
      <w:numFmt w:val="bullet"/>
      <w:lvlText w:val="•"/>
      <w:lvlJc w:val="left"/>
      <w:pPr>
        <w:ind w:left="5782" w:hanging="452"/>
      </w:pPr>
      <w:rPr>
        <w:rFonts w:hint="default"/>
        <w:lang w:val="en-US" w:eastAsia="en-US" w:bidi="ar-SA"/>
      </w:rPr>
    </w:lvl>
    <w:lvl w:ilvl="7">
      <w:numFmt w:val="bullet"/>
      <w:lvlText w:val="•"/>
      <w:lvlJc w:val="left"/>
      <w:pPr>
        <w:ind w:left="7083" w:hanging="452"/>
      </w:pPr>
      <w:rPr>
        <w:rFonts w:hint="default"/>
        <w:lang w:val="en-US" w:eastAsia="en-US" w:bidi="ar-SA"/>
      </w:rPr>
    </w:lvl>
    <w:lvl w:ilvl="8">
      <w:numFmt w:val="bullet"/>
      <w:lvlText w:val="•"/>
      <w:lvlJc w:val="left"/>
      <w:pPr>
        <w:ind w:left="8384" w:hanging="452"/>
      </w:pPr>
      <w:rPr>
        <w:rFonts w:hint="default"/>
        <w:lang w:val="en-US" w:eastAsia="en-US" w:bidi="ar-SA"/>
      </w:rPr>
    </w:lvl>
  </w:abstractNum>
  <w:abstractNum w:abstractNumId="10" w15:restartNumberingAfterBreak="0">
    <w:nsid w:val="715108CD"/>
    <w:multiLevelType w:val="hybridMultilevel"/>
    <w:tmpl w:val="93EAFFAC"/>
    <w:lvl w:ilvl="0" w:tplc="FD94D1C2">
      <w:start w:val="1"/>
      <w:numFmt w:val="decimal"/>
      <w:lvlText w:val="%1)"/>
      <w:lvlJc w:val="left"/>
      <w:pPr>
        <w:ind w:left="1245" w:hanging="225"/>
      </w:pPr>
      <w:rPr>
        <w:rFonts w:ascii="Times New Roman" w:eastAsia="Times New Roman" w:hAnsi="Times New Roman" w:cs="Times New Roman" w:hint="default"/>
        <w:b w:val="0"/>
        <w:bCs w:val="0"/>
        <w:i/>
        <w:iCs/>
        <w:spacing w:val="0"/>
        <w:w w:val="97"/>
        <w:sz w:val="20"/>
        <w:szCs w:val="20"/>
        <w:lang w:val="en-US" w:eastAsia="en-US" w:bidi="ar-SA"/>
      </w:rPr>
    </w:lvl>
    <w:lvl w:ilvl="1" w:tplc="7C764474">
      <w:numFmt w:val="bullet"/>
      <w:lvlText w:val="•"/>
      <w:lvlJc w:val="left"/>
      <w:pPr>
        <w:ind w:left="2214" w:hanging="225"/>
      </w:pPr>
      <w:rPr>
        <w:rFonts w:hint="default"/>
        <w:lang w:val="en-US" w:eastAsia="en-US" w:bidi="ar-SA"/>
      </w:rPr>
    </w:lvl>
    <w:lvl w:ilvl="2" w:tplc="74D80C14">
      <w:numFmt w:val="bullet"/>
      <w:lvlText w:val="•"/>
      <w:lvlJc w:val="left"/>
      <w:pPr>
        <w:ind w:left="3189" w:hanging="225"/>
      </w:pPr>
      <w:rPr>
        <w:rFonts w:hint="default"/>
        <w:lang w:val="en-US" w:eastAsia="en-US" w:bidi="ar-SA"/>
      </w:rPr>
    </w:lvl>
    <w:lvl w:ilvl="3" w:tplc="A3848E78">
      <w:numFmt w:val="bullet"/>
      <w:lvlText w:val="•"/>
      <w:lvlJc w:val="left"/>
      <w:pPr>
        <w:ind w:left="4163" w:hanging="225"/>
      </w:pPr>
      <w:rPr>
        <w:rFonts w:hint="default"/>
        <w:lang w:val="en-US" w:eastAsia="en-US" w:bidi="ar-SA"/>
      </w:rPr>
    </w:lvl>
    <w:lvl w:ilvl="4" w:tplc="305A787E">
      <w:numFmt w:val="bullet"/>
      <w:lvlText w:val="•"/>
      <w:lvlJc w:val="left"/>
      <w:pPr>
        <w:ind w:left="5138" w:hanging="225"/>
      </w:pPr>
      <w:rPr>
        <w:rFonts w:hint="default"/>
        <w:lang w:val="en-US" w:eastAsia="en-US" w:bidi="ar-SA"/>
      </w:rPr>
    </w:lvl>
    <w:lvl w:ilvl="5" w:tplc="0FE89E16">
      <w:numFmt w:val="bullet"/>
      <w:lvlText w:val="•"/>
      <w:lvlJc w:val="left"/>
      <w:pPr>
        <w:ind w:left="6113" w:hanging="225"/>
      </w:pPr>
      <w:rPr>
        <w:rFonts w:hint="default"/>
        <w:lang w:val="en-US" w:eastAsia="en-US" w:bidi="ar-SA"/>
      </w:rPr>
    </w:lvl>
    <w:lvl w:ilvl="6" w:tplc="4E56AF3E">
      <w:numFmt w:val="bullet"/>
      <w:lvlText w:val="•"/>
      <w:lvlJc w:val="left"/>
      <w:pPr>
        <w:ind w:left="7087" w:hanging="225"/>
      </w:pPr>
      <w:rPr>
        <w:rFonts w:hint="default"/>
        <w:lang w:val="en-US" w:eastAsia="en-US" w:bidi="ar-SA"/>
      </w:rPr>
    </w:lvl>
    <w:lvl w:ilvl="7" w:tplc="8C6C9616">
      <w:numFmt w:val="bullet"/>
      <w:lvlText w:val="•"/>
      <w:lvlJc w:val="left"/>
      <w:pPr>
        <w:ind w:left="8062" w:hanging="225"/>
      </w:pPr>
      <w:rPr>
        <w:rFonts w:hint="default"/>
        <w:lang w:val="en-US" w:eastAsia="en-US" w:bidi="ar-SA"/>
      </w:rPr>
    </w:lvl>
    <w:lvl w:ilvl="8" w:tplc="2F681E46">
      <w:numFmt w:val="bullet"/>
      <w:lvlText w:val="•"/>
      <w:lvlJc w:val="left"/>
      <w:pPr>
        <w:ind w:left="9037" w:hanging="225"/>
      </w:pPr>
      <w:rPr>
        <w:rFonts w:hint="default"/>
        <w:lang w:val="en-US" w:eastAsia="en-US" w:bidi="ar-SA"/>
      </w:rPr>
    </w:lvl>
  </w:abstractNum>
  <w:abstractNum w:abstractNumId="11" w15:restartNumberingAfterBreak="0">
    <w:nsid w:val="77FD663D"/>
    <w:multiLevelType w:val="multilevel"/>
    <w:tmpl w:val="4FF6243E"/>
    <w:lvl w:ilvl="0">
      <w:start w:val="2"/>
      <w:numFmt w:val="decimal"/>
      <w:lvlText w:val="%1"/>
      <w:lvlJc w:val="left"/>
      <w:pPr>
        <w:ind w:left="1328" w:hanging="348"/>
      </w:pPr>
      <w:rPr>
        <w:rFonts w:hint="default"/>
        <w:lang w:val="en-US" w:eastAsia="en-US" w:bidi="ar-SA"/>
      </w:rPr>
    </w:lvl>
    <w:lvl w:ilvl="1">
      <w:start w:val="4"/>
      <w:numFmt w:val="decimal"/>
      <w:lvlText w:val="%1.%2"/>
      <w:lvlJc w:val="left"/>
      <w:pPr>
        <w:ind w:left="1328" w:hanging="348"/>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253" w:hanging="348"/>
      </w:pPr>
      <w:rPr>
        <w:rFonts w:hint="default"/>
        <w:lang w:val="en-US" w:eastAsia="en-US" w:bidi="ar-SA"/>
      </w:rPr>
    </w:lvl>
    <w:lvl w:ilvl="3">
      <w:numFmt w:val="bullet"/>
      <w:lvlText w:val="•"/>
      <w:lvlJc w:val="left"/>
      <w:pPr>
        <w:ind w:left="4219" w:hanging="348"/>
      </w:pPr>
      <w:rPr>
        <w:rFonts w:hint="default"/>
        <w:lang w:val="en-US" w:eastAsia="en-US" w:bidi="ar-SA"/>
      </w:rPr>
    </w:lvl>
    <w:lvl w:ilvl="4">
      <w:numFmt w:val="bullet"/>
      <w:lvlText w:val="•"/>
      <w:lvlJc w:val="left"/>
      <w:pPr>
        <w:ind w:left="5186" w:hanging="348"/>
      </w:pPr>
      <w:rPr>
        <w:rFonts w:hint="default"/>
        <w:lang w:val="en-US" w:eastAsia="en-US" w:bidi="ar-SA"/>
      </w:rPr>
    </w:lvl>
    <w:lvl w:ilvl="5">
      <w:numFmt w:val="bullet"/>
      <w:lvlText w:val="•"/>
      <w:lvlJc w:val="left"/>
      <w:pPr>
        <w:ind w:left="6153" w:hanging="348"/>
      </w:pPr>
      <w:rPr>
        <w:rFonts w:hint="default"/>
        <w:lang w:val="en-US" w:eastAsia="en-US" w:bidi="ar-SA"/>
      </w:rPr>
    </w:lvl>
    <w:lvl w:ilvl="6">
      <w:numFmt w:val="bullet"/>
      <w:lvlText w:val="•"/>
      <w:lvlJc w:val="left"/>
      <w:pPr>
        <w:ind w:left="7119" w:hanging="348"/>
      </w:pPr>
      <w:rPr>
        <w:rFonts w:hint="default"/>
        <w:lang w:val="en-US" w:eastAsia="en-US" w:bidi="ar-SA"/>
      </w:rPr>
    </w:lvl>
    <w:lvl w:ilvl="7">
      <w:numFmt w:val="bullet"/>
      <w:lvlText w:val="•"/>
      <w:lvlJc w:val="left"/>
      <w:pPr>
        <w:ind w:left="8086" w:hanging="348"/>
      </w:pPr>
      <w:rPr>
        <w:rFonts w:hint="default"/>
        <w:lang w:val="en-US" w:eastAsia="en-US" w:bidi="ar-SA"/>
      </w:rPr>
    </w:lvl>
    <w:lvl w:ilvl="8">
      <w:numFmt w:val="bullet"/>
      <w:lvlText w:val="•"/>
      <w:lvlJc w:val="left"/>
      <w:pPr>
        <w:ind w:left="9053" w:hanging="348"/>
      </w:pPr>
      <w:rPr>
        <w:rFonts w:hint="default"/>
        <w:lang w:val="en-US" w:eastAsia="en-US" w:bidi="ar-SA"/>
      </w:rPr>
    </w:lvl>
  </w:abstractNum>
  <w:num w:numId="1" w16cid:durableId="132020798">
    <w:abstractNumId w:val="11"/>
  </w:num>
  <w:num w:numId="2" w16cid:durableId="2081364204">
    <w:abstractNumId w:val="3"/>
  </w:num>
  <w:num w:numId="3" w16cid:durableId="1595825785">
    <w:abstractNumId w:val="10"/>
  </w:num>
  <w:num w:numId="4" w16cid:durableId="759836274">
    <w:abstractNumId w:val="8"/>
  </w:num>
  <w:num w:numId="5" w16cid:durableId="1934433104">
    <w:abstractNumId w:val="0"/>
  </w:num>
  <w:num w:numId="6" w16cid:durableId="222377573">
    <w:abstractNumId w:val="7"/>
  </w:num>
  <w:num w:numId="7" w16cid:durableId="1964532651">
    <w:abstractNumId w:val="5"/>
  </w:num>
  <w:num w:numId="8" w16cid:durableId="1777213159">
    <w:abstractNumId w:val="2"/>
  </w:num>
  <w:num w:numId="9" w16cid:durableId="178590477">
    <w:abstractNumId w:val="4"/>
  </w:num>
  <w:num w:numId="10" w16cid:durableId="1615550557">
    <w:abstractNumId w:val="6"/>
  </w:num>
  <w:num w:numId="11" w16cid:durableId="949387036">
    <w:abstractNumId w:val="9"/>
  </w:num>
  <w:num w:numId="12" w16cid:durableId="1331300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C37"/>
    <w:rsid w:val="0002172A"/>
    <w:rsid w:val="00024B66"/>
    <w:rsid w:val="00026FA9"/>
    <w:rsid w:val="000857D8"/>
    <w:rsid w:val="000C6EFC"/>
    <w:rsid w:val="00104783"/>
    <w:rsid w:val="00117B81"/>
    <w:rsid w:val="00121E3A"/>
    <w:rsid w:val="00133ED6"/>
    <w:rsid w:val="00151994"/>
    <w:rsid w:val="001D7540"/>
    <w:rsid w:val="001F3405"/>
    <w:rsid w:val="0021434A"/>
    <w:rsid w:val="002402C2"/>
    <w:rsid w:val="00256288"/>
    <w:rsid w:val="00286FFA"/>
    <w:rsid w:val="00293C98"/>
    <w:rsid w:val="002F773F"/>
    <w:rsid w:val="0032048B"/>
    <w:rsid w:val="00327CB9"/>
    <w:rsid w:val="00361D5A"/>
    <w:rsid w:val="00380775"/>
    <w:rsid w:val="00395E0F"/>
    <w:rsid w:val="003A2B0A"/>
    <w:rsid w:val="003C157E"/>
    <w:rsid w:val="003E0DBF"/>
    <w:rsid w:val="0041401C"/>
    <w:rsid w:val="0041767C"/>
    <w:rsid w:val="00430D50"/>
    <w:rsid w:val="00450151"/>
    <w:rsid w:val="004D4436"/>
    <w:rsid w:val="004D53EC"/>
    <w:rsid w:val="00501292"/>
    <w:rsid w:val="00507D48"/>
    <w:rsid w:val="00520FFA"/>
    <w:rsid w:val="005358E9"/>
    <w:rsid w:val="005D3CCC"/>
    <w:rsid w:val="005F47F8"/>
    <w:rsid w:val="00617457"/>
    <w:rsid w:val="006C790B"/>
    <w:rsid w:val="007B6604"/>
    <w:rsid w:val="00816B9E"/>
    <w:rsid w:val="00855801"/>
    <w:rsid w:val="0088112C"/>
    <w:rsid w:val="00892C0E"/>
    <w:rsid w:val="008A4049"/>
    <w:rsid w:val="008B3C4C"/>
    <w:rsid w:val="008B6479"/>
    <w:rsid w:val="008D2BE8"/>
    <w:rsid w:val="009156C7"/>
    <w:rsid w:val="009575C2"/>
    <w:rsid w:val="00A10A50"/>
    <w:rsid w:val="00A50FE2"/>
    <w:rsid w:val="00A77AB7"/>
    <w:rsid w:val="00AB29CB"/>
    <w:rsid w:val="00B31C99"/>
    <w:rsid w:val="00B3326D"/>
    <w:rsid w:val="00CB3E2D"/>
    <w:rsid w:val="00CC6F56"/>
    <w:rsid w:val="00CC77B5"/>
    <w:rsid w:val="00D07473"/>
    <w:rsid w:val="00D830BE"/>
    <w:rsid w:val="00DA0377"/>
    <w:rsid w:val="00DB71E6"/>
    <w:rsid w:val="00E247EA"/>
    <w:rsid w:val="00E6279B"/>
    <w:rsid w:val="00E71C37"/>
    <w:rsid w:val="00E9592B"/>
    <w:rsid w:val="00E97628"/>
    <w:rsid w:val="00EE18DF"/>
    <w:rsid w:val="00EE6ACE"/>
    <w:rsid w:val="00F64DCC"/>
    <w:rsid w:val="00F93B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8A76F"/>
  <w15:docId w15:val="{76E3BF85-465B-4F45-8DD3-53AE4A206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12C"/>
    <w:rPr>
      <w:rFonts w:ascii="Times New Roman" w:eastAsia="Times New Roman" w:hAnsi="Times New Roman" w:cs="Times New Roman"/>
    </w:rPr>
  </w:style>
  <w:style w:type="paragraph" w:styleId="Heading1">
    <w:name w:val="heading 1"/>
    <w:basedOn w:val="Normal"/>
    <w:link w:val="Heading1Char"/>
    <w:uiPriority w:val="9"/>
    <w:qFormat/>
    <w:pPr>
      <w:spacing w:before="120"/>
      <w:ind w:left="1040"/>
      <w:jc w:val="both"/>
      <w:outlineLvl w:val="0"/>
    </w:pPr>
    <w:rPr>
      <w:b/>
      <w:bCs/>
      <w:sz w:val="24"/>
      <w:szCs w:val="24"/>
    </w:rPr>
  </w:style>
  <w:style w:type="paragraph" w:styleId="Heading2">
    <w:name w:val="heading 2"/>
    <w:basedOn w:val="Normal"/>
    <w:next w:val="Normal"/>
    <w:link w:val="Heading2Char"/>
    <w:uiPriority w:val="9"/>
    <w:semiHidden/>
    <w:unhideWhenUsed/>
    <w:qFormat/>
    <w:rsid w:val="006C790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6279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775"/>
    <w:rPr>
      <w:rFonts w:ascii="Times New Roman" w:eastAsia="Times New Roman" w:hAnsi="Times New Roman" w:cs="Times New Roman"/>
      <w:b/>
      <w:bCs/>
      <w:sz w:val="24"/>
      <w:szCs w:val="24"/>
    </w:rPr>
  </w:style>
  <w:style w:type="paragraph" w:styleId="TOC1">
    <w:name w:val="toc 1"/>
    <w:basedOn w:val="Normal"/>
    <w:uiPriority w:val="1"/>
    <w:qFormat/>
    <w:pPr>
      <w:spacing w:before="139"/>
      <w:ind w:left="1180" w:hanging="200"/>
    </w:pPr>
    <w:rPr>
      <w:rFonts w:ascii="Calibri" w:eastAsia="Calibri" w:hAnsi="Calibri" w:cs="Calibri"/>
      <w:b/>
      <w:bCs/>
      <w:sz w:val="20"/>
      <w:szCs w:val="20"/>
    </w:rPr>
  </w:style>
  <w:style w:type="paragraph" w:styleId="TOC2">
    <w:name w:val="toc 2"/>
    <w:basedOn w:val="Normal"/>
    <w:uiPriority w:val="1"/>
    <w:qFormat/>
    <w:pPr>
      <w:spacing w:before="19"/>
      <w:ind w:left="1199"/>
    </w:pPr>
    <w:rPr>
      <w:rFonts w:ascii="Calibri" w:eastAsia="Calibri" w:hAnsi="Calibri" w:cs="Calibri"/>
      <w:sz w:val="20"/>
      <w:szCs w:val="20"/>
    </w:rPr>
  </w:style>
  <w:style w:type="paragraph" w:styleId="TOC3">
    <w:name w:val="toc 3"/>
    <w:basedOn w:val="Normal"/>
    <w:uiPriority w:val="1"/>
    <w:qFormat/>
    <w:pPr>
      <w:spacing w:before="20"/>
      <w:ind w:left="1420"/>
    </w:pPr>
    <w:rPr>
      <w:rFonts w:ascii="Calibri" w:eastAsia="Calibri" w:hAnsi="Calibri" w:cs="Calibri"/>
      <w:i/>
      <w:iCs/>
      <w:sz w:val="20"/>
      <w:szCs w:val="20"/>
    </w:rPr>
  </w:style>
  <w:style w:type="paragraph" w:styleId="BodyText">
    <w:name w:val="Body Text"/>
    <w:basedOn w:val="Normal"/>
    <w:link w:val="BodyTextChar"/>
    <w:uiPriority w:val="1"/>
    <w:qFormat/>
    <w:pPr>
      <w:spacing w:before="120"/>
      <w:ind w:left="980" w:right="976"/>
      <w:jc w:val="both"/>
    </w:pPr>
    <w:rPr>
      <w:sz w:val="24"/>
      <w:szCs w:val="24"/>
    </w:rPr>
  </w:style>
  <w:style w:type="character" w:customStyle="1" w:styleId="BodyTextChar">
    <w:name w:val="Body Text Char"/>
    <w:basedOn w:val="DefaultParagraphFont"/>
    <w:link w:val="BodyText"/>
    <w:uiPriority w:val="1"/>
    <w:rsid w:val="00380775"/>
    <w:rPr>
      <w:rFonts w:ascii="Times New Roman" w:eastAsia="Times New Roman" w:hAnsi="Times New Roman" w:cs="Times New Roman"/>
      <w:sz w:val="24"/>
      <w:szCs w:val="24"/>
    </w:rPr>
  </w:style>
  <w:style w:type="paragraph" w:styleId="Title">
    <w:name w:val="Title"/>
    <w:basedOn w:val="Normal"/>
    <w:link w:val="TitleChar"/>
    <w:uiPriority w:val="10"/>
    <w:qFormat/>
    <w:pPr>
      <w:ind w:left="107"/>
    </w:pPr>
    <w:rPr>
      <w:rFonts w:ascii="Arial" w:eastAsia="Arial" w:hAnsi="Arial" w:cs="Arial"/>
      <w:b/>
      <w:bCs/>
      <w:sz w:val="48"/>
      <w:szCs w:val="48"/>
    </w:rPr>
  </w:style>
  <w:style w:type="character" w:customStyle="1" w:styleId="TitleChar">
    <w:name w:val="Title Char"/>
    <w:basedOn w:val="DefaultParagraphFont"/>
    <w:link w:val="Title"/>
    <w:uiPriority w:val="10"/>
    <w:rsid w:val="00380775"/>
    <w:rPr>
      <w:rFonts w:ascii="Arial" w:eastAsia="Arial" w:hAnsi="Arial" w:cs="Arial"/>
      <w:b/>
      <w:bCs/>
      <w:sz w:val="48"/>
      <w:szCs w:val="48"/>
    </w:rPr>
  </w:style>
  <w:style w:type="paragraph" w:styleId="ListParagraph">
    <w:name w:val="List Paragraph"/>
    <w:basedOn w:val="Normal"/>
    <w:uiPriority w:val="1"/>
    <w:qFormat/>
    <w:pPr>
      <w:spacing w:before="120"/>
      <w:ind w:left="1699" w:hanging="660"/>
    </w:pPr>
  </w:style>
  <w:style w:type="paragraph" w:customStyle="1" w:styleId="TableParagraph">
    <w:name w:val="Table Paragraph"/>
    <w:basedOn w:val="Normal"/>
    <w:uiPriority w:val="1"/>
    <w:qFormat/>
    <w:pPr>
      <w:ind w:left="13"/>
      <w:jc w:val="center"/>
    </w:pPr>
  </w:style>
  <w:style w:type="paragraph" w:styleId="Header">
    <w:name w:val="header"/>
    <w:basedOn w:val="Normal"/>
    <w:link w:val="HeaderChar"/>
    <w:uiPriority w:val="99"/>
    <w:unhideWhenUsed/>
    <w:rsid w:val="0041767C"/>
    <w:pPr>
      <w:tabs>
        <w:tab w:val="center" w:pos="4680"/>
        <w:tab w:val="right" w:pos="9360"/>
      </w:tabs>
    </w:pPr>
  </w:style>
  <w:style w:type="character" w:customStyle="1" w:styleId="HeaderChar">
    <w:name w:val="Header Char"/>
    <w:basedOn w:val="DefaultParagraphFont"/>
    <w:link w:val="Header"/>
    <w:uiPriority w:val="99"/>
    <w:rsid w:val="0041767C"/>
    <w:rPr>
      <w:rFonts w:ascii="Times New Roman" w:eastAsia="Times New Roman" w:hAnsi="Times New Roman" w:cs="Times New Roman"/>
    </w:rPr>
  </w:style>
  <w:style w:type="paragraph" w:styleId="Footer">
    <w:name w:val="footer"/>
    <w:basedOn w:val="Normal"/>
    <w:link w:val="FooterChar"/>
    <w:uiPriority w:val="99"/>
    <w:unhideWhenUsed/>
    <w:rsid w:val="0041767C"/>
    <w:pPr>
      <w:tabs>
        <w:tab w:val="center" w:pos="4680"/>
        <w:tab w:val="right" w:pos="9360"/>
      </w:tabs>
    </w:pPr>
  </w:style>
  <w:style w:type="character" w:customStyle="1" w:styleId="FooterChar">
    <w:name w:val="Footer Char"/>
    <w:basedOn w:val="DefaultParagraphFont"/>
    <w:link w:val="Footer"/>
    <w:uiPriority w:val="99"/>
    <w:rsid w:val="0041767C"/>
    <w:rPr>
      <w:rFonts w:ascii="Times New Roman" w:eastAsia="Times New Roman" w:hAnsi="Times New Roman" w:cs="Times New Roman"/>
    </w:rPr>
  </w:style>
  <w:style w:type="character" w:customStyle="1" w:styleId="FootnoteTextChar">
    <w:name w:val="Footnote Text Char"/>
    <w:aliases w:val="Footnote Text Char Char Char Char,Footnote Text Char Char Char1,Fußnote Char,Footnote Char,Footnote Text Char1 Char Char,Footnote Text Char1 Char Char Char Char,Footnote Text Char Char Char Char Char Char,single space Char,fn Char"/>
    <w:basedOn w:val="DefaultParagraphFont"/>
    <w:link w:val="FootnoteText"/>
    <w:qFormat/>
    <w:rsid w:val="00380775"/>
    <w:rPr>
      <w:rFonts w:ascii="Times New Roman" w:eastAsia="Times New Roman" w:hAnsi="Times New Roman" w:cs="Times New Roman"/>
      <w:sz w:val="20"/>
      <w:szCs w:val="20"/>
    </w:rPr>
  </w:style>
  <w:style w:type="paragraph" w:styleId="FootnoteText">
    <w:name w:val="footnote text"/>
    <w:aliases w:val="Footnote Text Char Char Char,Footnote Text Char Char,Fußnote,Footnote,Footnote Text Char1 Char,Footnote Text Char1 Char Char Char,Footnote Text Char Char Char Char Char,Footnote Text Char1 Char1 Char,single space,fn,ADB,footnote text,Plonk"/>
    <w:basedOn w:val="Normal"/>
    <w:link w:val="FootnoteTextChar"/>
    <w:unhideWhenUsed/>
    <w:qFormat/>
    <w:rsid w:val="00380775"/>
    <w:rPr>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BVI fnr,footnote ref,4_G,Footno"/>
    <w:basedOn w:val="DefaultParagraphFont"/>
    <w:link w:val="BVIfnrChar1CharCharChar"/>
    <w:unhideWhenUsed/>
    <w:qFormat/>
    <w:rsid w:val="00380775"/>
    <w:rPr>
      <w:vertAlign w:val="superscript"/>
    </w:rPr>
  </w:style>
  <w:style w:type="character" w:customStyle="1" w:styleId="Heading3Char">
    <w:name w:val="Heading 3 Char"/>
    <w:basedOn w:val="DefaultParagraphFont"/>
    <w:link w:val="Heading3"/>
    <w:uiPriority w:val="9"/>
    <w:semiHidden/>
    <w:rsid w:val="00E6279B"/>
    <w:rPr>
      <w:rFonts w:asciiTheme="majorHAnsi" w:eastAsiaTheme="majorEastAsia" w:hAnsiTheme="majorHAnsi" w:cstheme="majorBidi"/>
      <w:color w:val="243F60" w:themeColor="accent1" w:themeShade="7F"/>
      <w:sz w:val="24"/>
      <w:szCs w:val="24"/>
    </w:r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rsid w:val="00E6279B"/>
    <w:pPr>
      <w:widowControl/>
      <w:autoSpaceDE/>
      <w:autoSpaceDN/>
      <w:spacing w:after="160" w:line="240" w:lineRule="exact"/>
    </w:pPr>
    <w:rPr>
      <w:rFonts w:asciiTheme="minorHAnsi" w:eastAsiaTheme="minorHAnsi" w:hAnsiTheme="minorHAnsi" w:cstheme="minorBidi"/>
      <w:vertAlign w:val="superscript"/>
    </w:rPr>
  </w:style>
  <w:style w:type="character" w:styleId="Hyperlink">
    <w:name w:val="Hyperlink"/>
    <w:basedOn w:val="DefaultParagraphFont"/>
    <w:uiPriority w:val="99"/>
    <w:unhideWhenUsed/>
    <w:rsid w:val="00E6279B"/>
    <w:rPr>
      <w:color w:val="0000FF" w:themeColor="hyperlink"/>
      <w:u w:val="single"/>
    </w:rPr>
  </w:style>
  <w:style w:type="character" w:styleId="UnresolvedMention">
    <w:name w:val="Unresolved Mention"/>
    <w:basedOn w:val="DefaultParagraphFont"/>
    <w:uiPriority w:val="99"/>
    <w:semiHidden/>
    <w:unhideWhenUsed/>
    <w:rsid w:val="00E6279B"/>
    <w:rPr>
      <w:color w:val="605E5C"/>
      <w:shd w:val="clear" w:color="auto" w:fill="E1DFDD"/>
    </w:rPr>
  </w:style>
  <w:style w:type="table" w:styleId="TableGrid">
    <w:name w:val="Table Grid"/>
    <w:basedOn w:val="TableNormal"/>
    <w:uiPriority w:val="39"/>
    <w:rsid w:val="00CC7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C790B"/>
    <w:rPr>
      <w:rFonts w:asciiTheme="majorHAnsi" w:eastAsiaTheme="majorEastAsia" w:hAnsiTheme="majorHAnsi" w:cstheme="majorBidi"/>
      <w:color w:val="365F91" w:themeColor="accent1" w:themeShade="BF"/>
      <w:sz w:val="26"/>
      <w:szCs w:val="26"/>
    </w:rPr>
  </w:style>
  <w:style w:type="paragraph" w:styleId="List">
    <w:name w:val="List"/>
    <w:basedOn w:val="BodyText"/>
    <w:rsid w:val="006C790B"/>
    <w:pPr>
      <w:autoSpaceDE/>
      <w:autoSpaceDN/>
    </w:pPr>
    <w:rPr>
      <w:rFonts w:cs="Arial"/>
    </w:rPr>
  </w:style>
  <w:style w:type="paragraph" w:styleId="HTMLPreformatted">
    <w:name w:val="HTML Preformatted"/>
    <w:basedOn w:val="Normal"/>
    <w:link w:val="HTMLPreformattedChar"/>
    <w:uiPriority w:val="99"/>
    <w:unhideWhenUsed/>
    <w:rsid w:val="006C79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C790B"/>
    <w:rPr>
      <w:rFonts w:ascii="Courier New" w:eastAsia="Times New Roman" w:hAnsi="Courier New" w:cs="Courier New"/>
      <w:sz w:val="20"/>
      <w:szCs w:val="20"/>
    </w:rPr>
  </w:style>
  <w:style w:type="character" w:customStyle="1" w:styleId="y2iqfc">
    <w:name w:val="y2iqfc"/>
    <w:basedOn w:val="DefaultParagraphFont"/>
    <w:rsid w:val="006C790B"/>
  </w:style>
  <w:style w:type="paragraph" w:customStyle="1" w:styleId="Text1">
    <w:name w:val="Text 1"/>
    <w:basedOn w:val="Normal"/>
    <w:rsid w:val="006C790B"/>
    <w:pPr>
      <w:widowControl/>
      <w:autoSpaceDE/>
      <w:autoSpaceDN/>
      <w:spacing w:before="120" w:after="120"/>
      <w:ind w:left="850"/>
      <w:jc w:val="both"/>
    </w:pPr>
    <w:rPr>
      <w:sz w:val="24"/>
      <w:szCs w:val="24"/>
      <w:lang w:val="sq-AL"/>
    </w:rPr>
  </w:style>
  <w:style w:type="paragraph" w:customStyle="1" w:styleId="Default">
    <w:name w:val="Default"/>
    <w:basedOn w:val="Normal"/>
    <w:qFormat/>
    <w:rsid w:val="006C790B"/>
    <w:pPr>
      <w:widowControl/>
    </w:pPr>
    <w:rPr>
      <w:rFonts w:eastAsiaTheme="minorHAnsi"/>
      <w:color w:val="000000"/>
      <w:sz w:val="24"/>
      <w:szCs w:val="24"/>
      <w:lang w:val="sq-AL"/>
    </w:rPr>
  </w:style>
  <w:style w:type="paragraph" w:customStyle="1" w:styleId="P68B1DB1-Normal9">
    <w:name w:val="P68B1DB1-Normal9"/>
    <w:basedOn w:val="Normal"/>
    <w:rsid w:val="006C790B"/>
    <w:pPr>
      <w:widowControl/>
      <w:autoSpaceDE/>
      <w:autoSpaceDN/>
      <w:spacing w:after="160" w:line="259" w:lineRule="auto"/>
    </w:pPr>
    <w:rPr>
      <w:rFonts w:asciiTheme="minorHAnsi" w:eastAsiaTheme="minorHAnsi" w:hAnsiTheme="minorHAnsi" w:cstheme="minorBidi"/>
      <w:i/>
      <w:sz w:val="24"/>
      <w:szCs w:val="20"/>
    </w:rPr>
  </w:style>
  <w:style w:type="paragraph" w:customStyle="1" w:styleId="P68B1DB1-Heading31">
    <w:name w:val="P68B1DB1-Heading31"/>
    <w:basedOn w:val="Heading3"/>
    <w:rsid w:val="006C790B"/>
    <w:pPr>
      <w:keepNext w:val="0"/>
      <w:keepLines w:val="0"/>
      <w:widowControl/>
      <w:autoSpaceDE/>
      <w:autoSpaceDN/>
      <w:spacing w:before="120" w:after="120"/>
      <w:ind w:left="60"/>
    </w:pPr>
    <w:rPr>
      <w:rFonts w:ascii="Times New Roman Bold" w:eastAsia="Calibri" w:hAnsi="Times New Roman Bold" w:cs="Times New Roman"/>
      <w:b/>
      <w:color w:val="auto"/>
      <w:szCs w:val="20"/>
    </w:rPr>
  </w:style>
  <w:style w:type="paragraph" w:customStyle="1" w:styleId="P68B1DB1-Normal14">
    <w:name w:val="P68B1DB1-Normal14"/>
    <w:basedOn w:val="Normal"/>
    <w:rsid w:val="006C790B"/>
    <w:pPr>
      <w:widowControl/>
      <w:autoSpaceDE/>
      <w:autoSpaceDN/>
      <w:spacing w:after="160" w:line="259" w:lineRule="auto"/>
    </w:pPr>
    <w:rPr>
      <w:rFonts w:eastAsia="Calibri"/>
      <w:i/>
      <w:color w:val="000000" w:themeColor="text1"/>
      <w:sz w:val="24"/>
      <w:szCs w:val="20"/>
    </w:rPr>
  </w:style>
  <w:style w:type="paragraph" w:customStyle="1" w:styleId="P68B1DB1-Normal13">
    <w:name w:val="P68B1DB1-Normal13"/>
    <w:basedOn w:val="Normal"/>
    <w:rsid w:val="006C790B"/>
    <w:pPr>
      <w:widowControl/>
      <w:autoSpaceDE/>
      <w:autoSpaceDN/>
      <w:spacing w:after="160" w:line="259" w:lineRule="auto"/>
    </w:pPr>
    <w:rPr>
      <w:color w:val="000000" w:themeColor="text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www.oecd.org/south-east-europe/programme/Labour-Migration-report.pdf"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oecd.org/south-east-europe/programme/labourmigrationinthewesternbalkans-page.htm" TargetMode="External"/><Relationship Id="rId2" Type="http://schemas.openxmlformats.org/officeDocument/2006/relationships/numbering" Target="numbering.xml"/><Relationship Id="rId16" Type="http://schemas.openxmlformats.org/officeDocument/2006/relationships/hyperlink" Target="https://timss.bc.ed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0E313-B162-4FD7-AE88-06568732D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152</Pages>
  <Words>83266</Words>
  <Characters>474617</Characters>
  <Application>Microsoft Office Word</Application>
  <DocSecurity>0</DocSecurity>
  <Lines>3955</Lines>
  <Paragraphs>1113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CSAKI Monika (NEAR)</dc:creator>
  <dc:description/>
  <cp:lastModifiedBy>dell</cp:lastModifiedBy>
  <cp:revision>4</cp:revision>
  <dcterms:created xsi:type="dcterms:W3CDTF">2023-11-17T16:03:00Z</dcterms:created>
  <dcterms:modified xsi:type="dcterms:W3CDTF">2023-11-17T16:05:00Z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TemplateID">
    <vt:lpwstr>CP-025</vt:lpwstr>
  </property>
  <property fmtid="{D5CDD505-2E9C-101B-9397-08002B2CF9AE}" pid="3" name="ContentTypeId">
    <vt:lpwstr>0x010100258AA79CEB83498886A3A0868112325000FFC6C9FD1F8AD243B17D9A9F2789C25C</vt:lpwstr>
  </property>
  <property fmtid="{D5CDD505-2E9C-101B-9397-08002B2CF9AE}" pid="4" name="Created">
    <vt:filetime>2023-11-08T00:00:00Z</vt:filetime>
  </property>
  <property fmtid="{D5CDD505-2E9C-101B-9397-08002B2CF9AE}" pid="5" name="Creator">
    <vt:lpwstr>Acrobat PDFMaker 23 for Word</vt:lpwstr>
  </property>
  <property fmtid="{D5CDD505-2E9C-101B-9397-08002B2CF9AE}" pid="6" name="DocStatus">
    <vt:lpwstr>Green</vt:lpwstr>
  </property>
  <property fmtid="{D5CDD505-2E9C-101B-9397-08002B2CF9AE}" pid="7" name="Last edited using">
    <vt:lpwstr>LW 9.0, Build 20230317</vt:lpwstr>
  </property>
  <property fmtid="{D5CDD505-2E9C-101B-9397-08002B2CF9AE}" pid="8" name="LastSaved">
    <vt:filetime>2023-11-13T00:00:00Z</vt:filetime>
  </property>
  <property fmtid="{D5CDD505-2E9C-101B-9397-08002B2CF9AE}" pid="9" name="Level of sensitivity">
    <vt:lpwstr>Standard treatment</vt:lpwstr>
  </property>
  <property fmtid="{D5CDD505-2E9C-101B-9397-08002B2CF9AE}" pid="10" name="MSIP_Label_6bd9ddd1-4d20-43f6-abfa-fc3c07406f94_ActionId">
    <vt:lpwstr>34171740-03d8-45ff-8204-52bf646154b1</vt:lpwstr>
  </property>
  <property fmtid="{D5CDD505-2E9C-101B-9397-08002B2CF9AE}" pid="11" name="MSIP_Label_6bd9ddd1-4d20-43f6-abfa-fc3c07406f94_ContentBits">
    <vt:lpwstr>0</vt:lpwstr>
  </property>
  <property fmtid="{D5CDD505-2E9C-101B-9397-08002B2CF9AE}" pid="12" name="MSIP_Label_6bd9ddd1-4d20-43f6-abfa-fc3c07406f94_Enabled">
    <vt:lpwstr>true</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etDate">
    <vt:lpwstr>2023-10-11T10:13:12Z</vt:lpwstr>
  </property>
  <property fmtid="{D5CDD505-2E9C-101B-9397-08002B2CF9AE}" pid="16" name="MSIP_Label_6bd9ddd1-4d20-43f6-abfa-fc3c07406f94_SiteId">
    <vt:lpwstr>b24c8b06-522c-46fe-9080-70926f8dddb1</vt:lpwstr>
  </property>
  <property fmtid="{D5CDD505-2E9C-101B-9397-08002B2CF9AE}" pid="17" name="Part">
    <vt:lpwstr>1</vt:lpwstr>
  </property>
  <property fmtid="{D5CDD505-2E9C-101B-9397-08002B2CF9AE}" pid="18" name="Producer">
    <vt:lpwstr>Adobe PDF Library 23.6.96</vt:lpwstr>
  </property>
  <property fmtid="{D5CDD505-2E9C-101B-9397-08002B2CF9AE}" pid="19" name="SourceModified">
    <vt:lpwstr>D:20231108111158</vt:lpwstr>
  </property>
  <property fmtid="{D5CDD505-2E9C-101B-9397-08002B2CF9AE}" pid="20" name="Total parts">
    <vt:lpwstr>1</vt:lpwstr>
  </property>
</Properties>
</file>