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21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>RI</w:t>
      </w:r>
      <w:r w:rsidR="00FE33EE" w:rsidRPr="00FE33EE"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 xml:space="preserve">SHPALLJE </w:t>
      </w:r>
    </w:p>
    <w:p w:rsidR="001C31F2" w:rsidRPr="00FE33EE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</w:p>
    <w:p w:rsidR="00D724D7" w:rsidRDefault="0032321B">
      <w:pPr>
        <w:ind w:left="504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>THIRRJE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S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PER SHPREHJE INTERESI TE KANDIDATEVE PER ANETARE TE</w:t>
      </w:r>
    </w:p>
    <w:p w:rsidR="00D724D7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KOMISIONEVE TE POSAÇME PER PROVIMIN E KUALIFIKIMIT PER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br/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PERKTHYES ZYRTAR PER ÇDO GJUHE TE HUAJ DHE PER PROVIMIN E</w:t>
      </w:r>
    </w:p>
    <w:p w:rsidR="00DD7906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KUALIFIKIMIT PER INTERPRET TE GJUHES SE SHENJAVE</w:t>
      </w:r>
      <w:r w:rsidR="00DD7906"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 </w:t>
      </w:r>
    </w:p>
    <w:p w:rsidR="00DD7906" w:rsidRDefault="00DD7906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nga </w:t>
      </w:r>
    </w:p>
    <w:p w:rsidR="00D724D7" w:rsidRDefault="00DD7906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MINISTRIA E ARSIMIT DHE SPORTIT </w:t>
      </w:r>
    </w:p>
    <w:p w:rsidR="00D724D7" w:rsidRDefault="006944DA">
      <w:pPr>
        <w:spacing w:before="540"/>
        <w:ind w:firstLine="288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Pranë Ministrisë së Drejtësisë, ne Drejtorinë e Përgjithshme Rregullatore të Çështjeve te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Drejtësisë, në Drejtorinë për Marrëdhëniet Juridiksionale dhe Bashkëpunimin Ndërgjyqësor,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funksionon Sektori i Përkthimeve Zyrtare për Bashkëpunimin Ndërgjyqësor dhe Certifikimin 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Marrëveshjeve Ndërkombëtare. Në Fletoren Zyrtare nr. 120 më datë 30.07.2021 është publikuar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ligji nr. 82/2021 dt. 24.06.2021 mbi “Përkthimin zyrtar dhe profesionin e përkthyesit zyrtar”. Ky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ligj ndër të tjera parashikon dhe organizimin një herë në dy vjet të provimit të kualifikimit për kandidatët për përkthyes zyrtar.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Në bazë të nenit 16 pika 8 të ligjit të mësipërm ka dalë urdhri i Ministrit të Drejtësisë nr. 192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datë 04/05/2022 “Për përcaktimin e rregullave më të hollësishme për kriteret, procedurat e </w:t>
      </w:r>
      <w:r>
        <w:rPr>
          <w:rFonts w:ascii="Times New Roman" w:hAnsi="Times New Roman"/>
          <w:color w:val="000000"/>
          <w:spacing w:val="-11"/>
          <w:w w:val="105"/>
          <w:sz w:val="24"/>
        </w:rPr>
        <w:t xml:space="preserve">përzgjedhjes së përfaqësuesve dhe funksionimin e komisioneve të posaçme, tarifat për pjesëmarrje,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organizimin dhe zhvillimin e provimit të kualifikimit për përkthyes zyrtar dhe për interpret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gjuhës së shenjave, si dhe procedurën e mënyrën e vlerësimit të provimeve”.</w:t>
      </w:r>
    </w:p>
    <w:p w:rsidR="00D724D7" w:rsidRDefault="006944DA">
      <w:pPr>
        <w:spacing w:before="288"/>
        <w:jc w:val="both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1) 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Aplikanti që shpreh interesin për të qenë përfaqësues në komisionet e posaçme për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provimin e kualifikimit për përkthyes zyrtar për çdo gjuhë të huaj dhe përfaqësues në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komisionin e posaçëm për provimin e kualifikimit për interpret të gjuhës së shenjave, duhet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të plotësojë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kriteret e përgjithshme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si më poshtë:</w:t>
      </w:r>
    </w:p>
    <w:p w:rsidR="00D724D7" w:rsidRDefault="00FE33EE">
      <w:pPr>
        <w:numPr>
          <w:ilvl w:val="0"/>
          <w:numId w:val="1"/>
        </w:numPr>
        <w:tabs>
          <w:tab w:val="clear" w:pos="216"/>
          <w:tab w:val="decimal" w:pos="576"/>
        </w:tabs>
        <w:spacing w:line="204" w:lineRule="auto"/>
        <w:ind w:left="0" w:firstLine="360"/>
        <w:rPr>
          <w:rFonts w:ascii="Times New Roman" w:hAnsi="Times New Roman"/>
          <w:color w:val="000000"/>
          <w:spacing w:val="4"/>
          <w:w w:val="105"/>
          <w:sz w:val="24"/>
        </w:rPr>
      </w:pPr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 </w:t>
      </w:r>
      <w:r w:rsidR="006944DA">
        <w:rPr>
          <w:rFonts w:ascii="Times New Roman" w:hAnsi="Times New Roman"/>
          <w:color w:val="000000"/>
          <w:spacing w:val="4"/>
          <w:w w:val="105"/>
          <w:sz w:val="24"/>
        </w:rPr>
        <w:t>të jetë shtetas shqiptar;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të zotërojë një diplomë të ciklit të dytë, të lëshuar nga institucionet e arsimit të lartë të licencuara dhe të akredituara sipas dispozitave në fuqi në kohën e lëshimit të diplomës, ose 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zotërojë një diplomë të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njësuar pranë ministrisë përgjegjëse për arsimin;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të mos jetë i dënuar më parë për kryerjen e një vepre penale;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ç) të mos jetë shkarkuar nga ushtrimi i detyrës, funksionit publik ose nga puna në pozicione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tjera pranë personave juridikë privatë për arsye të integritetit etik, me vendim të organit kompetent,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që ka marrë formë të prerë, me përjashtim të rasteve kur kjo masë disiplinore është shuar dhe të mos ketë masë disiplinore në fuqi në çastin e paraqitjes së shprehjes së interesit;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të mos jetë kandidat për përkthyes zyrtar të gjuhës për të cilën njëkohësisht kandidon për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qenë anëtar i komisionit të posaçëm ose kandidat për interpret të gjuhës së shenjave shqipe.</w:t>
      </w:r>
    </w:p>
    <w:p w:rsidR="00D724D7" w:rsidRDefault="006944DA">
      <w:pPr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Aplikanti që shpreh interesin për të qenë përfaqësues në komisionin e posaçëm për provimin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kualifikimit për përkthyes zyrtar për çdo gjuhë të huaj, duhet të plotësojë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Pr="00DD7906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spacing w:val="-4"/>
          <w:w w:val="105"/>
          <w:sz w:val="32"/>
          <w:szCs w:val="32"/>
        </w:rPr>
        <w:t>a) për përfaqësuesit nga Ministria e Drejtësisë dhe ministria përgjegjëse për arsimin:</w:t>
      </w:r>
    </w:p>
    <w:p w:rsidR="00D724D7" w:rsidRPr="00DD7906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w w:val="105"/>
          <w:sz w:val="32"/>
          <w:szCs w:val="32"/>
        </w:rPr>
        <w:t>të ketë statusin e nëpunësit civil;</w:t>
      </w:r>
    </w:p>
    <w:p w:rsidR="00D724D7" w:rsidRPr="00DD7906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w w:val="105"/>
          <w:sz w:val="32"/>
          <w:szCs w:val="32"/>
        </w:rPr>
        <w:lastRenderedPageBreak/>
        <w:t>të ketë jo më pak se 3 vjet përvojë pune si jurist;</w:t>
      </w:r>
    </w:p>
    <w:p w:rsidR="00D724D7" w:rsidRPr="00DD7906" w:rsidRDefault="006944DA">
      <w:pPr>
        <w:ind w:firstLine="288"/>
        <w:rPr>
          <w:rFonts w:ascii="Times New Roman" w:hAnsi="Times New Roman"/>
          <w:color w:val="000000"/>
          <w:spacing w:val="-3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spacing w:val="-3"/>
          <w:w w:val="105"/>
          <w:sz w:val="32"/>
          <w:szCs w:val="32"/>
        </w:rPr>
        <w:t xml:space="preserve">b) për përfaqësuesin nga institucionet publike të arsimit të lartë, që ofrojnë programe studimi </w:t>
      </w:r>
      <w:r w:rsidRPr="00DD7906">
        <w:rPr>
          <w:rFonts w:ascii="Times New Roman" w:hAnsi="Times New Roman"/>
          <w:color w:val="000000"/>
          <w:spacing w:val="-4"/>
          <w:w w:val="105"/>
          <w:sz w:val="32"/>
          <w:szCs w:val="32"/>
        </w:rPr>
        <w:t>në gjuhë të huaja:</w:t>
      </w:r>
    </w:p>
    <w:p w:rsidR="00D724D7" w:rsidRPr="00DD7906" w:rsidRDefault="006944DA">
      <w:pPr>
        <w:numPr>
          <w:ilvl w:val="0"/>
          <w:numId w:val="3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spacing w:val="-8"/>
          <w:w w:val="105"/>
          <w:sz w:val="32"/>
          <w:szCs w:val="32"/>
        </w:rPr>
        <w:t>të jetë pjesë e personelit akade</w:t>
      </w:r>
      <w:bookmarkStart w:id="0" w:name="_GoBack"/>
      <w:bookmarkEnd w:id="0"/>
      <w:r w:rsidRPr="00DD7906">
        <w:rPr>
          <w:rFonts w:ascii="Times New Roman" w:hAnsi="Times New Roman"/>
          <w:color w:val="000000"/>
          <w:spacing w:val="-8"/>
          <w:w w:val="105"/>
          <w:sz w:val="32"/>
          <w:szCs w:val="32"/>
        </w:rPr>
        <w:t xml:space="preserve">mik të institucioneve të arsimit të lartë, i angazhuar me kohë të </w:t>
      </w:r>
      <w:r w:rsidRPr="00DD7906">
        <w:rPr>
          <w:rFonts w:ascii="Times New Roman" w:hAnsi="Times New Roman"/>
          <w:color w:val="000000"/>
          <w:spacing w:val="-4"/>
          <w:w w:val="105"/>
          <w:sz w:val="32"/>
          <w:szCs w:val="32"/>
        </w:rPr>
        <w:t>plotë, i kategorisë lektor ose profesor;</w:t>
      </w:r>
    </w:p>
    <w:p w:rsidR="00D724D7" w:rsidRPr="00DD7906" w:rsidRDefault="006944DA">
      <w:pPr>
        <w:numPr>
          <w:ilvl w:val="0"/>
          <w:numId w:val="3"/>
        </w:numPr>
        <w:tabs>
          <w:tab w:val="decimal" w:pos="576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32"/>
          <w:szCs w:val="32"/>
        </w:rPr>
      </w:pPr>
      <w:r w:rsidRPr="00DD7906">
        <w:rPr>
          <w:rFonts w:ascii="Times New Roman" w:hAnsi="Times New Roman"/>
          <w:color w:val="000000"/>
          <w:spacing w:val="-8"/>
          <w:w w:val="105"/>
          <w:sz w:val="32"/>
          <w:szCs w:val="32"/>
        </w:rPr>
        <w:t xml:space="preserve">të ketë jo më pak se 5 vjet përvojë profesionale në mësimdhënie në gjuhën përkatëse ose të </w:t>
      </w:r>
      <w:r w:rsidRPr="00DD7906">
        <w:rPr>
          <w:rFonts w:ascii="Times New Roman" w:hAnsi="Times New Roman"/>
          <w:color w:val="000000"/>
          <w:spacing w:val="-4"/>
          <w:w w:val="105"/>
          <w:sz w:val="32"/>
          <w:szCs w:val="32"/>
        </w:rPr>
        <w:t>ngjashme me të apo që lidhet me fushën e përkthimit.</w:t>
      </w:r>
    </w:p>
    <w:p w:rsidR="00D724D7" w:rsidRDefault="006944DA">
      <w:pPr>
        <w:spacing w:before="252"/>
        <w:jc w:val="both"/>
        <w:rPr>
          <w:rFonts w:ascii="Times New Roman" w:hAnsi="Times New Roman"/>
          <w:b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Aplikanti qe shpreh interesin për përfaqësues në komisionin e posaçme për provimin e kualifikimit për interpret të gjuhës së shenjave shqipe, duhet të plotësojë 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a) për përfaqësuesit nga Ministria e Drejtësisë dhe nga ministria përgjegjëse për mbrojtjen </w:t>
      </w:r>
      <w:r>
        <w:rPr>
          <w:rFonts w:ascii="Times New Roman" w:hAnsi="Times New Roman"/>
          <w:color w:val="000000"/>
          <w:w w:val="105"/>
          <w:sz w:val="24"/>
        </w:rPr>
        <w:t>sociale: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spacing w:line="211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spacing w:line="273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b) për përfaqësuesin nga radhët e interpretëve të gjuhës së shenjave shqipe:</w:t>
      </w:r>
    </w:p>
    <w:p w:rsidR="00D724D7" w:rsidRDefault="006944DA">
      <w:pPr>
        <w:numPr>
          <w:ilvl w:val="0"/>
          <w:numId w:val="5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të ketë jo më pak se 5 vjet përvojë profesionale në interpretimin e gjuhës së shenjave shqipe, </w:t>
      </w:r>
      <w:r>
        <w:rPr>
          <w:rFonts w:ascii="Times New Roman" w:hAnsi="Times New Roman"/>
          <w:color w:val="000000"/>
          <w:w w:val="105"/>
          <w:sz w:val="24"/>
        </w:rPr>
        <w:t>ose;</w:t>
      </w:r>
    </w:p>
    <w:p w:rsidR="00D724D7" w:rsidRDefault="006944DA">
      <w:pPr>
        <w:numPr>
          <w:ilvl w:val="0"/>
          <w:numId w:val="5"/>
        </w:numPr>
        <w:tabs>
          <w:tab w:val="decimal" w:pos="648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të ketë jo më pak se 5 vjet përvojë profesionale si trajnues i certifikuar i programit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interpretëve të gjuhës së shenjave shqipe.</w:t>
      </w:r>
    </w:p>
    <w:p w:rsidR="00D724D7" w:rsidRDefault="006944DA">
      <w:pPr>
        <w:spacing w:before="288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Përfaqësuesit nga radhët e ministrive nuk mund të jenë anëtarë të më shumë se 2 (dy) komisioneve </w:t>
      </w:r>
      <w:r>
        <w:rPr>
          <w:rFonts w:ascii="Times New Roman" w:hAnsi="Times New Roman"/>
          <w:color w:val="000000"/>
          <w:w w:val="105"/>
          <w:sz w:val="24"/>
        </w:rPr>
        <w:t>të posaçme.</w:t>
      </w:r>
    </w:p>
    <w:p w:rsidR="00D724D7" w:rsidRDefault="006944DA">
      <w:pPr>
        <w:spacing w:before="576"/>
        <w:jc w:val="both"/>
        <w:rPr>
          <w:rFonts w:ascii="Times New Roman" w:hAnsi="Times New Roman"/>
          <w:b/>
          <w:color w:val="000000"/>
          <w:spacing w:val="-2"/>
          <w:w w:val="105"/>
          <w:sz w:val="24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Kandidati për anëtar të komisionit të posaçëm </w:t>
      </w:r>
      <w:r w:rsidR="00DD7906"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NGA MINISTRIA E ARSIMIT 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paraqet pranë Ministrisë së Drejtësisë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shprehjen e interesit dhe dokumentacionin shoqërues </w:t>
      </w:r>
      <w:r w:rsidR="00F375F9"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>BRENDA 7</w:t>
      </w:r>
      <w:r w:rsidR="0063270E" w:rsidRPr="0063270E"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 DITËVE NGA DATA E PUBLIKIMIT </w:t>
      </w:r>
      <w:r w:rsidR="0063270E" w:rsidRPr="0063270E"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TË RITHIRRJES PËR PARAQITJEN E SHPREHJEVE TË INTERESIT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.</w:t>
      </w:r>
      <w:r w:rsidR="0063270E"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Shprehja e interesit nga kandidati përmban këto të dhëna: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emrin, mbiemrin, atësinë, datëlindjen, vendlindjen, numrin personal të identifikimit;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adresën e vendbanimit dhe adresën elektronike, si dhe numrin telefonik të kontaktit të </w:t>
      </w:r>
      <w:r>
        <w:rPr>
          <w:rFonts w:ascii="Times New Roman" w:hAnsi="Times New Roman"/>
          <w:color w:val="000000"/>
          <w:w w:val="105"/>
          <w:sz w:val="24"/>
        </w:rPr>
        <w:t>kandidatit;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spacing w:line="278" w:lineRule="auto"/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përcaktimin se për cilët nga komisionet e posaçme kandidon për të qenë anëtar.</w:t>
      </w:r>
    </w:p>
    <w:p w:rsidR="00D724D7" w:rsidRDefault="006944DA">
      <w:pPr>
        <w:spacing w:before="180"/>
        <w:jc w:val="both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Kandidati për anëtar të komisionit të posaçëm, për të provuar përmbushjen e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kritereve të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u w:val="single"/>
        </w:rPr>
        <w:t>përgjithshme,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 xml:space="preserve"> paraqet pranë Ministrisë së Drejtësisë me postë ose dorazi dokumentacionin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shoqërues si vijon: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68" w:lineRule="auto"/>
        <w:ind w:left="0" w:firstLine="360"/>
        <w:rPr>
          <w:rFonts w:ascii="Times New Roman" w:hAnsi="Times New Roman"/>
          <w:color w:val="000000"/>
          <w:spacing w:val="3"/>
          <w:w w:val="105"/>
          <w:sz w:val="24"/>
        </w:rPr>
      </w:pPr>
      <w:r>
        <w:rPr>
          <w:rFonts w:ascii="Times New Roman" w:hAnsi="Times New Roman"/>
          <w:color w:val="000000"/>
          <w:spacing w:val="3"/>
          <w:w w:val="105"/>
          <w:sz w:val="24"/>
        </w:rPr>
        <w:t>kopje të mjetit të identifikimit;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13" w:lineRule="auto"/>
        <w:ind w:left="360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jetëshkrimin;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kopje të njehsuar me origjinalin të diplomës së ciklit të dytë, të lëshuar nga institucionet e </w:t>
      </w:r>
      <w:r>
        <w:rPr>
          <w:rFonts w:ascii="Times New Roman" w:hAnsi="Times New Roman"/>
          <w:color w:val="000000"/>
          <w:spacing w:val="-1"/>
          <w:w w:val="105"/>
          <w:sz w:val="24"/>
        </w:rPr>
        <w:t>arsimit të lartë të licencuara dhe të akredituara sipas dispozitave në fuqi në kohën e lëshimit të</w:t>
      </w:r>
    </w:p>
    <w:p w:rsidR="00D724D7" w:rsidRDefault="00D724D7">
      <w:pPr>
        <w:sectPr w:rsidR="00D724D7">
          <w:pgSz w:w="12240" w:h="15840"/>
          <w:pgMar w:top="1480" w:right="1389" w:bottom="1330" w:left="1411" w:header="720" w:footer="720" w:gutter="0"/>
          <w:cols w:space="720"/>
        </w:sectPr>
      </w:pPr>
    </w:p>
    <w:p w:rsidR="00D724D7" w:rsidRDefault="006944DA">
      <w:pPr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lastRenderedPageBreak/>
        <w:t xml:space="preserve">diplomës, ose diplomën e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njehsuar pranë ministrisë përgjegjës për arsimin;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ç) vërtetim nga institucionet dhe personat juridikë privatë ku ka ushtruar detyrën ose funksionin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publik apo me të cilat ka lidhur marrëdhënien e punës se ndaj tij nuk është dhënë masa disiplinore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e shkarkimit për arsye të integritetit etik, me vendim të organit kompetent, ose nëse është dhënë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kjo masë, vërtetim që kjo masë disiplinore është shuar, sipas legjislacionit në fuqi;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spacing w:line="266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dh) vërtetim nga institucioni ku punon kandidati;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spacing w:line="268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ë) formularin e vetëdeklarimit të gjendjes gjyqësore të plotësuar dhe nënshkruar.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Kandidati për anëtar i komisionit të posaçëm për provimin e kualifikimit, për të provuar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përmbushjen e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u w:val="single"/>
        </w:rPr>
        <w:t>kritereve të posaçme,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 paraqet dokumentacionin shoqërues si vijon:</w:t>
      </w:r>
    </w:p>
    <w:p w:rsidR="00D724D7" w:rsidRDefault="006944DA">
      <w:pPr>
        <w:numPr>
          <w:ilvl w:val="0"/>
          <w:numId w:val="9"/>
        </w:numPr>
        <w:tabs>
          <w:tab w:val="clear" w:pos="432"/>
          <w:tab w:val="decimal" w:pos="792"/>
        </w:tabs>
        <w:ind w:left="0" w:firstLine="360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përfaqësuesi nga ministra e Drejtësisë, ministria përgjegjëse për arsimin dhe ministria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përgjegjëse për mbrojtjen sociale paraqesin vërtetime nga ministria përkatëse mbi zotërimin 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statusit të nëpunësit civil;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përfaqësuesi nga institucionet publike të arsimit të lartë, që ofrojnë programe studimi në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gjuhë të huaja paraqesin vërtetim nga institucioni i arsimit të lartë që vërtetojnë se kandidati është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pjesë e personelit akademik të tij, i angazhuar me kohë të plotë, i kategorisë lektor ose profesor,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me përvojë profesionale në mësimdhënie jo më pak se 5 vjet, në gjuhën përkatëse ose të ngjashme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me të, ose që lidhet me fushën e përkthimit;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spacing w:before="36" w:line="216" w:lineRule="auto"/>
        <w:ind w:left="0" w:firstLine="360"/>
        <w:jc w:val="both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përfaqësuesit nga radhët e interpretëve paraqesin: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përvojë profesionale në interpretimin e gjuhës së shenjave shqipe, ose;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përvojë profesionale si trajnues i certifikuar i programit të interpretëve të gjuhës së shenjave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shqipe, shoqëruar me dokumentacionin që provon certifikimin e tij.</w:t>
      </w:r>
    </w:p>
    <w:p w:rsidR="00D724D7" w:rsidRDefault="006944DA">
      <w:pPr>
        <w:spacing w:before="288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paraprake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kualifikuar për të qenë anëtarë të komisioneve të posaçme dhe të kandidatëve të shkualifikuar publikohet në faqen zyrtare të Ministrisë së Drejtësisë. Kandidatët e shkualifikuar njoftohen me shkrim, individualisht dhe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mënyrë të arsyetuar për shkaqet e përjashtimit.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përfundimtare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zgjedhur si anëtarë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komisioneve të posaçme, si dhe të kandidatëve të zgjedhur si anëtarë zëvendësues publikohet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faqen zyrtare të Ministrisë së Drejtësisë.</w:t>
      </w:r>
    </w:p>
    <w:sectPr w:rsidR="00D724D7">
      <w:pgSz w:w="12240" w:h="15840"/>
      <w:pgMar w:top="1460" w:right="1368" w:bottom="4070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9AB"/>
    <w:multiLevelType w:val="multilevel"/>
    <w:tmpl w:val="D584B022"/>
    <w:lvl w:ilvl="0">
      <w:start w:val="1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53FFC"/>
    <w:multiLevelType w:val="multilevel"/>
    <w:tmpl w:val="CB98FF0E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1634A"/>
    <w:multiLevelType w:val="multilevel"/>
    <w:tmpl w:val="A4BA26D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95214"/>
    <w:multiLevelType w:val="multilevel"/>
    <w:tmpl w:val="2294E3DA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A3DB3"/>
    <w:multiLevelType w:val="multilevel"/>
    <w:tmpl w:val="8034C426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F732A"/>
    <w:multiLevelType w:val="multilevel"/>
    <w:tmpl w:val="AE80158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102CD6"/>
    <w:multiLevelType w:val="multilevel"/>
    <w:tmpl w:val="B5701F0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DA49C5"/>
    <w:multiLevelType w:val="multilevel"/>
    <w:tmpl w:val="95EC1A2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C49E5"/>
    <w:multiLevelType w:val="multilevel"/>
    <w:tmpl w:val="580AEFB0"/>
    <w:lvl w:ilvl="0">
      <w:start w:val="4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436CE"/>
    <w:multiLevelType w:val="multilevel"/>
    <w:tmpl w:val="942E3E00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D7"/>
    <w:rsid w:val="001C31F2"/>
    <w:rsid w:val="0032321B"/>
    <w:rsid w:val="004346FF"/>
    <w:rsid w:val="004B5C21"/>
    <w:rsid w:val="0063270E"/>
    <w:rsid w:val="006944DA"/>
    <w:rsid w:val="009206F2"/>
    <w:rsid w:val="00C64F76"/>
    <w:rsid w:val="00D724D7"/>
    <w:rsid w:val="00DD7906"/>
    <w:rsid w:val="00F375F9"/>
    <w:rsid w:val="00FE0151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3651"/>
  <w15:docId w15:val="{CB4F52CD-DEA8-4D88-A508-FFC8CAE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1232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Enkela Xhamaj</dc:creator>
  <cp:lastModifiedBy>Vilma Xhullima</cp:lastModifiedBy>
  <cp:revision>2</cp:revision>
  <cp:lastPrinted>2022-09-09T12:05:00Z</cp:lastPrinted>
  <dcterms:created xsi:type="dcterms:W3CDTF">2024-04-15T13:58:00Z</dcterms:created>
  <dcterms:modified xsi:type="dcterms:W3CDTF">2024-04-15T13:58:00Z</dcterms:modified>
</cp:coreProperties>
</file>