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C074E" w14:textId="77777777" w:rsidR="00665A22" w:rsidRPr="00665A22" w:rsidRDefault="00665A22" w:rsidP="00665A22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0" w:firstLine="0"/>
        <w:contextualSpacing/>
        <w:jc w:val="both"/>
        <w:rPr>
          <w:sz w:val="24"/>
          <w:szCs w:val="24"/>
        </w:rPr>
      </w:pPr>
      <w:r w:rsidRPr="00665A22">
        <w:rPr>
          <w:sz w:val="24"/>
          <w:szCs w:val="24"/>
        </w:rPr>
        <w:t xml:space="preserve">Më datë </w:t>
      </w:r>
      <w:r w:rsidRPr="00E317CE">
        <w:rPr>
          <w:b/>
          <w:sz w:val="24"/>
          <w:szCs w:val="24"/>
        </w:rPr>
        <w:t>23 korrik 2024 në ambientet e Ministrisë së Drejtësisë</w:t>
      </w:r>
      <w:r w:rsidRPr="00665A22">
        <w:rPr>
          <w:sz w:val="24"/>
          <w:szCs w:val="24"/>
        </w:rPr>
        <w:t xml:space="preserve"> u zhvillua takimi i radhës GNPIE për Kapitullin 23 “Gjyqësori dhe të drejtat themelore”. </w:t>
      </w:r>
    </w:p>
    <w:p w14:paraId="43912D14" w14:textId="77777777" w:rsidR="00665A22" w:rsidRPr="00665A22" w:rsidRDefault="00665A22" w:rsidP="00665A22">
      <w:pPr>
        <w:pStyle w:val="ListParagraph"/>
        <w:ind w:left="0"/>
        <w:jc w:val="both"/>
        <w:rPr>
          <w:sz w:val="24"/>
          <w:szCs w:val="24"/>
        </w:rPr>
      </w:pPr>
    </w:p>
    <w:p w14:paraId="337B27EA" w14:textId="77777777" w:rsidR="00665A22" w:rsidRPr="00665A22" w:rsidRDefault="00665A22" w:rsidP="00665A22">
      <w:pPr>
        <w:pStyle w:val="ListParagraph"/>
        <w:ind w:left="0"/>
        <w:jc w:val="both"/>
        <w:rPr>
          <w:sz w:val="24"/>
          <w:szCs w:val="24"/>
        </w:rPr>
      </w:pPr>
      <w:r w:rsidRPr="00665A22">
        <w:rPr>
          <w:sz w:val="24"/>
          <w:szCs w:val="24"/>
        </w:rPr>
        <w:t xml:space="preserve">      Takimi u drejtua nga Zëvendësministri i Drejtësisë, z. Tedi Dobi, njëkohësisht Negociator i këtij kapitulli. </w:t>
      </w:r>
    </w:p>
    <w:p w14:paraId="16B71912" w14:textId="5FBC8206" w:rsidR="00665A22" w:rsidRPr="00665A22" w:rsidRDefault="00665A22" w:rsidP="00665A22">
      <w:pPr>
        <w:jc w:val="both"/>
        <w:rPr>
          <w:lang w:val="sq-AL"/>
        </w:rPr>
      </w:pPr>
      <w:r w:rsidRPr="00665A22">
        <w:rPr>
          <w:lang w:val="sq-AL"/>
        </w:rPr>
        <w:t>Takimi kishte si qëllim të informonte anëtarët e GNPIE mbi përgatitj</w:t>
      </w:r>
      <w:r w:rsidR="00074D47">
        <w:rPr>
          <w:lang w:val="sq-AL"/>
        </w:rPr>
        <w:t>en</w:t>
      </w:r>
      <w:r w:rsidRPr="00665A22">
        <w:rPr>
          <w:lang w:val="sq-AL"/>
        </w:rPr>
        <w:t xml:space="preserve"> e deritanishme </w:t>
      </w:r>
      <w:r w:rsidR="00074D47" w:rsidRPr="00665A22">
        <w:rPr>
          <w:lang w:val="sq-AL"/>
        </w:rPr>
        <w:t>të</w:t>
      </w:r>
      <w:r w:rsidRPr="00665A22">
        <w:rPr>
          <w:lang w:val="sq-AL"/>
        </w:rPr>
        <w:t xml:space="preserve"> Shqipërisë për procesin e anëtarësimit në Bashkimin Evropian, sfidat që na presin përpara, si dhe roli i GNPIE-së në këtë proces. Në këtë kuadër gjatë takimit u diskutua mbi hartimin e kontributit  të II-të të Qeverisë Shqiptare për Raportin e Komisionit Evropian për Shqipërinë për vitin 2024 dhe ecurinë e punës për përgatitjen e Raportit për Sundimin e Ligjit si dhe të komenteve të tij. </w:t>
      </w:r>
    </w:p>
    <w:p w14:paraId="094991F2" w14:textId="77777777" w:rsidR="00665A22" w:rsidRPr="00665A22" w:rsidRDefault="00665A22" w:rsidP="00665A22">
      <w:pPr>
        <w:jc w:val="both"/>
        <w:rPr>
          <w:lang w:val="sq-AL"/>
        </w:rPr>
      </w:pPr>
      <w:r w:rsidRPr="00665A22">
        <w:rPr>
          <w:lang w:val="sq-AL"/>
        </w:rPr>
        <w:t>Në takim u prezantua gjithashtu gjendja dhe statusi i hartimit të mekanizmit për monitorimin e udhërrëfyesit për Shtetin e së Drejtës dhe u trajtua nevoja për trajnimet dhe aksesimi në platformën elektronike për strukturat e integrimit, PIEA.</w:t>
      </w:r>
    </w:p>
    <w:p w14:paraId="6670B28D" w14:textId="77777777" w:rsidR="00665A22" w:rsidRPr="00665A22" w:rsidRDefault="00665A22" w:rsidP="00665A22">
      <w:pPr>
        <w:jc w:val="both"/>
        <w:rPr>
          <w:lang w:val="sq-AL"/>
        </w:rPr>
      </w:pPr>
    </w:p>
    <w:p w14:paraId="7491C7E0" w14:textId="3BD481B6" w:rsidR="00665A22" w:rsidRDefault="00665A22" w:rsidP="00665A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extAlignment w:val="baseline"/>
      </w:pPr>
      <w:proofErr w:type="spellStart"/>
      <w:r w:rsidRPr="00665A22">
        <w:rPr>
          <w:rFonts w:eastAsia="Times New Roman"/>
          <w:bCs/>
          <w:bdr w:val="none" w:sz="0" w:space="0" w:color="auto"/>
        </w:rPr>
        <w:t>Konkluzioni</w:t>
      </w:r>
      <w:proofErr w:type="spellEnd"/>
      <w:r w:rsidRPr="00665A22">
        <w:rPr>
          <w:rFonts w:eastAsia="Times New Roman"/>
          <w:bCs/>
          <w:bdr w:val="none" w:sz="0" w:space="0" w:color="auto"/>
        </w:rPr>
        <w:t xml:space="preserve"> </w:t>
      </w:r>
      <w:proofErr w:type="spellStart"/>
      <w:r w:rsidRPr="00665A22">
        <w:rPr>
          <w:rFonts w:eastAsia="Times New Roman"/>
          <w:bCs/>
          <w:bdr w:val="none" w:sz="0" w:space="0" w:color="auto"/>
        </w:rPr>
        <w:t>i</w:t>
      </w:r>
      <w:proofErr w:type="spellEnd"/>
      <w:r w:rsidRPr="00665A22">
        <w:rPr>
          <w:rFonts w:eastAsia="Times New Roman"/>
          <w:bCs/>
          <w:bdr w:val="none" w:sz="0" w:space="0" w:color="auto"/>
        </w:rPr>
        <w:t xml:space="preserve"> </w:t>
      </w:r>
      <w:proofErr w:type="spellStart"/>
      <w:r w:rsidRPr="00665A22">
        <w:rPr>
          <w:rFonts w:eastAsia="Times New Roman"/>
          <w:bCs/>
          <w:bdr w:val="none" w:sz="0" w:space="0" w:color="auto"/>
        </w:rPr>
        <w:t>k</w:t>
      </w:r>
      <w:r w:rsidRPr="00665A22">
        <w:t>ë</w:t>
      </w:r>
      <w:r w:rsidRPr="00665A22">
        <w:rPr>
          <w:rFonts w:eastAsia="Times New Roman"/>
          <w:bCs/>
          <w:bdr w:val="none" w:sz="0" w:space="0" w:color="auto"/>
        </w:rPr>
        <w:t>tij</w:t>
      </w:r>
      <w:proofErr w:type="spellEnd"/>
      <w:r w:rsidRPr="00665A22">
        <w:rPr>
          <w:rFonts w:eastAsia="Times New Roman"/>
          <w:bCs/>
          <w:bdr w:val="none" w:sz="0" w:space="0" w:color="auto"/>
        </w:rPr>
        <w:t xml:space="preserve"> </w:t>
      </w:r>
      <w:proofErr w:type="spellStart"/>
      <w:r w:rsidRPr="00665A22">
        <w:rPr>
          <w:rFonts w:eastAsia="Times New Roman"/>
          <w:bCs/>
          <w:bdr w:val="none" w:sz="0" w:space="0" w:color="auto" w:frame="1"/>
        </w:rPr>
        <w:t>takim</w:t>
      </w:r>
      <w:r w:rsidRPr="00665A22">
        <w:rPr>
          <w:rFonts w:eastAsia="Times New Roman"/>
          <w:bCs/>
          <w:bdr w:val="none" w:sz="0" w:space="0" w:color="auto"/>
        </w:rPr>
        <w:t>it</w:t>
      </w:r>
      <w:proofErr w:type="spellEnd"/>
      <w:r w:rsidRPr="00665A22">
        <w:rPr>
          <w:rFonts w:eastAsia="Times New Roman"/>
          <w:bCs/>
          <w:bdr w:val="none" w:sz="0" w:space="0" w:color="auto"/>
        </w:rPr>
        <w:t xml:space="preserve"> </w:t>
      </w:r>
      <w:proofErr w:type="spellStart"/>
      <w:r w:rsidRPr="00665A22">
        <w:t>ë</w:t>
      </w:r>
      <w:r w:rsidRPr="00665A22">
        <w:rPr>
          <w:rFonts w:eastAsia="Times New Roman"/>
          <w:bCs/>
          <w:bdr w:val="none" w:sz="0" w:space="0" w:color="auto"/>
        </w:rPr>
        <w:t>sht</w:t>
      </w:r>
      <w:r w:rsidRPr="00665A22">
        <w:t>ë</w:t>
      </w:r>
      <w:proofErr w:type="spellEnd"/>
      <w:r>
        <w:t>,</w:t>
      </w:r>
      <w:r>
        <w:rPr>
          <w:rFonts w:eastAsia="Times New Roman"/>
          <w:b/>
          <w:bCs/>
          <w:bdr w:val="none" w:sz="0" w:space="0" w:color="auto"/>
        </w:rPr>
        <w:t xml:space="preserve"> </w:t>
      </w:r>
      <w:bookmarkStart w:id="0" w:name="_GoBack"/>
      <w:bookmarkEnd w:id="0"/>
      <w:proofErr w:type="spellStart"/>
      <w:r w:rsidRPr="00665A22">
        <w:t>Hartimi</w:t>
      </w:r>
      <w:proofErr w:type="spellEnd"/>
      <w:r w:rsidRPr="00665A22">
        <w:t xml:space="preserve"> </w:t>
      </w:r>
      <w:proofErr w:type="spellStart"/>
      <w:r w:rsidRPr="00665A22">
        <w:t>i</w:t>
      </w:r>
      <w:proofErr w:type="spellEnd"/>
      <w:r w:rsidRPr="00665A22">
        <w:t xml:space="preserve"> </w:t>
      </w:r>
      <w:proofErr w:type="spellStart"/>
      <w:r w:rsidRPr="00665A22">
        <w:t>kontributit</w:t>
      </w:r>
      <w:proofErr w:type="spellEnd"/>
      <w:r w:rsidRPr="00665A22">
        <w:t xml:space="preserve"> </w:t>
      </w:r>
      <w:proofErr w:type="spellStart"/>
      <w:r w:rsidRPr="00665A22">
        <w:t>të</w:t>
      </w:r>
      <w:proofErr w:type="spellEnd"/>
      <w:r w:rsidRPr="00665A22">
        <w:t xml:space="preserve"> II-të të Qeverisë Shqiptare për Raportin e Komisionit Evropian për Shqipërinë </w:t>
      </w:r>
      <w:proofErr w:type="spellStart"/>
      <w:r w:rsidRPr="00665A22">
        <w:t>për</w:t>
      </w:r>
      <w:proofErr w:type="spellEnd"/>
      <w:r w:rsidRPr="00665A22">
        <w:t xml:space="preserve"> </w:t>
      </w:r>
      <w:proofErr w:type="spellStart"/>
      <w:r w:rsidRPr="00665A22">
        <w:t>vitin</w:t>
      </w:r>
      <w:proofErr w:type="spellEnd"/>
      <w:r w:rsidRPr="00665A22">
        <w:t xml:space="preserve"> 2024 </w:t>
      </w:r>
      <w:proofErr w:type="spellStart"/>
      <w:r w:rsidRPr="00665A22">
        <w:t>dhe</w:t>
      </w:r>
      <w:proofErr w:type="spellEnd"/>
      <w:r w:rsidRPr="00665A22">
        <w:t xml:space="preserve"> e </w:t>
      </w:r>
      <w:proofErr w:type="spellStart"/>
      <w:r w:rsidRPr="00665A22">
        <w:t>Raportit</w:t>
      </w:r>
      <w:proofErr w:type="spellEnd"/>
      <w:r w:rsidRPr="00665A22">
        <w:t xml:space="preserve"> </w:t>
      </w:r>
      <w:proofErr w:type="spellStart"/>
      <w:r w:rsidRPr="00665A22">
        <w:t>për</w:t>
      </w:r>
      <w:proofErr w:type="spellEnd"/>
      <w:r w:rsidRPr="00665A22">
        <w:t xml:space="preserve"> </w:t>
      </w:r>
      <w:proofErr w:type="spellStart"/>
      <w:r w:rsidRPr="00665A22">
        <w:t>Sundimin</w:t>
      </w:r>
      <w:proofErr w:type="spellEnd"/>
      <w:r w:rsidRPr="00665A22">
        <w:t xml:space="preserve"> e </w:t>
      </w:r>
      <w:proofErr w:type="spellStart"/>
      <w:r w:rsidRPr="00665A22">
        <w:t>Ligjit</w:t>
      </w:r>
      <w:proofErr w:type="spellEnd"/>
      <w:r w:rsidRPr="00665A22">
        <w:t>.</w:t>
      </w:r>
    </w:p>
    <w:p w14:paraId="72A42157" w14:textId="1DA006E3" w:rsidR="00090E86" w:rsidRDefault="00090E86" w:rsidP="00665A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extAlignment w:val="baseline"/>
      </w:pPr>
    </w:p>
    <w:p w14:paraId="1F34E4BE" w14:textId="3F554BBD" w:rsidR="00090E86" w:rsidRDefault="00090E86" w:rsidP="00665A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extAlignment w:val="baseline"/>
      </w:pPr>
    </w:p>
    <w:p w14:paraId="46476EB9" w14:textId="5FAD95C1" w:rsidR="00E317CE" w:rsidRDefault="00E317CE" w:rsidP="00074D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center"/>
        <w:textAlignment w:val="baseline"/>
      </w:pPr>
      <w:r>
        <w:rPr>
          <w:noProof/>
        </w:rPr>
        <w:drawing>
          <wp:inline distT="0" distB="0" distL="0" distR="0" wp14:anchorId="2156F27E" wp14:editId="4EDA387C">
            <wp:extent cx="4769510" cy="27868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762" t="5698" r="15596" b="-5698"/>
                    <a:stretch/>
                  </pic:blipFill>
                  <pic:spPr bwMode="auto">
                    <a:xfrm>
                      <a:off x="0" y="0"/>
                      <a:ext cx="4802178" cy="280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D3776"/>
    <w:multiLevelType w:val="multilevel"/>
    <w:tmpl w:val="D162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6D3293"/>
    <w:multiLevelType w:val="hybridMultilevel"/>
    <w:tmpl w:val="C8F0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28"/>
    <w:rsid w:val="00074D47"/>
    <w:rsid w:val="00090E86"/>
    <w:rsid w:val="0016605E"/>
    <w:rsid w:val="0025306A"/>
    <w:rsid w:val="00282728"/>
    <w:rsid w:val="003319AB"/>
    <w:rsid w:val="00431196"/>
    <w:rsid w:val="004D1195"/>
    <w:rsid w:val="005368BE"/>
    <w:rsid w:val="00665A22"/>
    <w:rsid w:val="00B97044"/>
    <w:rsid w:val="00BE5401"/>
    <w:rsid w:val="00E317CE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DC128"/>
  <w15:chartTrackingRefBased/>
  <w15:docId w15:val="{740FE768-9CFA-473F-BCC6-C3918D4E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65A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link w:val="ListParagraphChar"/>
    <w:uiPriority w:val="34"/>
    <w:qFormat/>
    <w:rsid w:val="00665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308" w:hanging="360"/>
    </w:pPr>
    <w:rPr>
      <w:rFonts w:ascii="Times New Roman" w:eastAsia="Times New Roman" w:hAnsi="Times New Roman" w:cs="Times New Roman"/>
      <w:color w:val="000000"/>
      <w:u w:color="000000"/>
      <w:bdr w:val="nil"/>
      <w:lang w:val="sq-AL" w:eastAsia="sq-AL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665A22"/>
    <w:rPr>
      <w:rFonts w:ascii="Times New Roman" w:eastAsia="Times New Roman" w:hAnsi="Times New Roman" w:cs="Times New Roman"/>
      <w:color w:val="000000"/>
      <w:u w:color="000000"/>
      <w:bdr w:val="nil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Eneida Dadaj</dc:creator>
  <cp:keywords/>
  <dc:description/>
  <cp:lastModifiedBy>Eneida Dadaj</cp:lastModifiedBy>
  <cp:revision>24</cp:revision>
  <dcterms:created xsi:type="dcterms:W3CDTF">2024-10-09T08:25:00Z</dcterms:created>
  <dcterms:modified xsi:type="dcterms:W3CDTF">2024-10-09T12:39:00Z</dcterms:modified>
</cp:coreProperties>
</file>